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E4915" w14:textId="3A169E05" w:rsidR="00AB4F64" w:rsidRDefault="00AB4F64" w:rsidP="00AB4F64">
      <w:pPr>
        <w:pStyle w:val="Heading2"/>
      </w:pPr>
      <w:r>
        <w:t xml:space="preserve">1AC </w:t>
      </w:r>
    </w:p>
    <w:p w14:paraId="384CAC74" w14:textId="2C8F495D"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w:t>
      </w:r>
      <w:r w:rsidRPr="00152276">
        <w:rPr>
          <w:rStyle w:val="StyleUnderline"/>
        </w:rPr>
        <w:t xml:space="preserve">estate could also </w:t>
      </w:r>
      <w:r w:rsidRPr="0056459B">
        <w:rPr>
          <w:rStyle w:val="StyleUnderline"/>
          <w:highlight w:val="yellow"/>
        </w:rPr>
        <w:t xml:space="preserve">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w:t>
      </w:r>
      <w:r w:rsidRPr="0082497D">
        <w:rPr>
          <w:sz w:val="16"/>
        </w:rPr>
        <w:t xml:space="preserve">that </w:t>
      </w:r>
      <w:r w:rsidRPr="0082497D">
        <w:rPr>
          <w:rStyle w:val="StyleUnderline"/>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152276">
        <w:rPr>
          <w:rStyle w:val="StyleUnderline"/>
          <w:highlight w:val="yellow"/>
        </w:rPr>
        <w:t>Kessler Effect"</w:t>
      </w:r>
      <w:r w:rsidRPr="00152276">
        <w:rPr>
          <w:sz w:val="12"/>
          <w:highlight w:val="yellow"/>
        </w:rPr>
        <w:t>,</w:t>
      </w:r>
      <w:r w:rsidRPr="00EC104B">
        <w:rPr>
          <w:sz w:val="12"/>
        </w:rPr>
        <w:t xml:space="preserve"> after the NASA scientist who first warned of its dangers, these debris objects, now numbering in the millions, </w:t>
      </w:r>
      <w:r w:rsidRPr="00152276">
        <w:rPr>
          <w:rStyle w:val="StyleUnderline"/>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56459B">
        <w:rPr>
          <w:rStyle w:val="Emphasis"/>
          <w:highlight w:val="yellow"/>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w:t>
      </w:r>
      <w:r w:rsidRPr="00152276">
        <w:rPr>
          <w:rStyle w:val="StyleUnderline"/>
        </w:rPr>
        <w:t xml:space="preserve">of a </w:t>
      </w:r>
      <w:r w:rsidRPr="00152276">
        <w:rPr>
          <w:rStyle w:val="Emphasis"/>
        </w:rPr>
        <w:t xml:space="preserve">nuclear </w:t>
      </w:r>
      <w:r w:rsidRPr="00175C24">
        <w:rPr>
          <w:rStyle w:val="Emphasis"/>
          <w:highlight w:val="yellow"/>
        </w:rPr>
        <w:t>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w:t>
      </w:r>
      <w:r w:rsidRPr="00152276">
        <w:rPr>
          <w:rStyle w:val="StyleUnderline"/>
        </w:rPr>
        <w:t>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which could 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E81E2F">
        <w:rPr>
          <w:rStyle w:val="StyleUnderline"/>
          <w:highlight w:val="yellow"/>
        </w:rPr>
        <w:t>The PTD offers</w:t>
      </w:r>
      <w:r w:rsidRPr="00EC104B">
        <w:rPr>
          <w:rStyle w:val="StyleUnderline"/>
        </w:rPr>
        <w:t xml:space="preserve"> both </w:t>
      </w:r>
      <w:r w:rsidRPr="00E81E2F">
        <w:rPr>
          <w:rStyle w:val="StyleUnderline"/>
          <w:highlight w:val="yellow"/>
        </w:rPr>
        <w:t xml:space="preserve">an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81E2F">
        <w:rPr>
          <w:rStyle w:val="StyleUnderline"/>
          <w:highlight w:val="yellow"/>
        </w:rPr>
        <w:t>the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E81E2F">
        <w:rPr>
          <w:rStyle w:val="StyleUnderline"/>
          <w:highlight w:val="yellow"/>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79689B2C" w14:textId="77777777" w:rsidR="00F92D96" w:rsidRPr="00F9220C" w:rsidRDefault="00F92D96" w:rsidP="00F92D96">
      <w:pPr>
        <w:pStyle w:val="Heading4"/>
        <w:rPr>
          <w:u w:val="single"/>
        </w:rPr>
      </w:pPr>
      <w:r>
        <w:t xml:space="preserve">PTDs are </w:t>
      </w:r>
      <w:r w:rsidRPr="00F9220C">
        <w:rPr>
          <w:u w:val="single"/>
        </w:rPr>
        <w:t>empirically best</w:t>
      </w:r>
      <w:r>
        <w:t xml:space="preserve"> for </w:t>
      </w:r>
      <w:r w:rsidRPr="00F9220C">
        <w:t xml:space="preserve">regulating </w:t>
      </w:r>
      <w:r w:rsidRPr="006A3701">
        <w:rPr>
          <w:u w:val="single"/>
        </w:rPr>
        <w:t>environmental issues</w:t>
      </w:r>
      <w:r>
        <w:t xml:space="preserve">- they can be </w:t>
      </w:r>
      <w:r w:rsidRPr="006A3701">
        <w:rPr>
          <w:u w:val="single"/>
        </w:rPr>
        <w:t>internationalized</w:t>
      </w:r>
      <w:r>
        <w:t xml:space="preserve">, ensure </w:t>
      </w:r>
      <w:r w:rsidRPr="006A3701">
        <w:rPr>
          <w:u w:val="single"/>
        </w:rPr>
        <w:t>sustainability</w:t>
      </w:r>
      <w:r>
        <w:t xml:space="preserve">, AND allow </w:t>
      </w:r>
      <w:r w:rsidRPr="006A3701">
        <w:rPr>
          <w:u w:val="single"/>
        </w:rPr>
        <w:t>licensing</w:t>
      </w:r>
      <w:r>
        <w:t xml:space="preserve">- answers </w:t>
      </w:r>
      <w:r>
        <w:rPr>
          <w:u w:val="single"/>
        </w:rPr>
        <w:t>every deficit</w:t>
      </w:r>
    </w:p>
    <w:p w14:paraId="3D15E23E" w14:textId="77777777" w:rsidR="00F92D96" w:rsidRDefault="00F92D96" w:rsidP="00F92D96">
      <w:proofErr w:type="spellStart"/>
      <w:r w:rsidRPr="005A74FF">
        <w:rPr>
          <w:rStyle w:val="Style13ptBold"/>
        </w:rPr>
        <w:t>Orangias</w:t>
      </w:r>
      <w:proofErr w:type="spellEnd"/>
      <w:r w:rsidRPr="005A74FF">
        <w:rPr>
          <w:rStyle w:val="Style13ptBold"/>
        </w:rPr>
        <w:t>, 21</w:t>
      </w:r>
      <w:r>
        <w:t xml:space="preserve"> -- Faculty of Law, University of Cape Town, Cape Town, South Africa</w:t>
      </w:r>
    </w:p>
    <w:p w14:paraId="0B9536B9" w14:textId="77777777" w:rsidR="00F92D96" w:rsidRDefault="00F92D96" w:rsidP="00F92D96">
      <w:r>
        <w:t xml:space="preserve">[Joseph </w:t>
      </w:r>
      <w:proofErr w:type="spellStart"/>
      <w:r>
        <w:t>Orangias</w:t>
      </w:r>
      <w:proofErr w:type="spellEnd"/>
      <w:r>
        <w:t xml:space="preserve">, School of Law, Utrecht University, Utrecht, Netherlands; Tilburg Law School, Tilburg University, Tilburg, Netherlands, "Towards global public trust doctrines: an analysis of the </w:t>
      </w:r>
      <w:proofErr w:type="spellStart"/>
      <w:r>
        <w:t>transnationalisation</w:t>
      </w:r>
      <w:proofErr w:type="spellEnd"/>
      <w:r>
        <w:t xml:space="preserve"> of state stewardship duties," Transnational Legal Theory, Taylor &amp; Francis, 2021, </w:t>
      </w:r>
      <w:hyperlink r:id="rId31" w:history="1">
        <w:r w:rsidRPr="00222D27">
          <w:rPr>
            <w:rStyle w:val="Hyperlink"/>
          </w:rPr>
          <w:t>https://doi.org/10.1080/20414005.2021.2006030</w:t>
        </w:r>
      </w:hyperlink>
      <w:r>
        <w:t>, accessed 1-30-22]</w:t>
      </w:r>
    </w:p>
    <w:p w14:paraId="766114A5" w14:textId="77777777" w:rsidR="00F92D96" w:rsidRDefault="00F92D96" w:rsidP="00F92D96"/>
    <w:p w14:paraId="0561FC0D" w14:textId="77777777" w:rsidR="00F92D96" w:rsidRPr="000A18CE" w:rsidRDefault="00F92D96" w:rsidP="00F92D96">
      <w:pPr>
        <w:rPr>
          <w:sz w:val="12"/>
        </w:rPr>
      </w:pPr>
      <w:r w:rsidRPr="000A18CE">
        <w:rPr>
          <w:sz w:val="12"/>
        </w:rPr>
        <w:t xml:space="preserve">The dominant legal order around the globe is rooted in the Westphalian state sovereignty system.1 Sovereign states are comprised of governments that exercise power over populations within defined territories and enter into relations with other states.2 International law largely </w:t>
      </w:r>
      <w:proofErr w:type="spellStart"/>
      <w:r w:rsidRPr="000A18CE">
        <w:rPr>
          <w:sz w:val="12"/>
        </w:rPr>
        <w:t>centres</w:t>
      </w:r>
      <w:proofErr w:type="spellEnd"/>
      <w:r w:rsidRPr="000A18CE">
        <w:rPr>
          <w:sz w:val="12"/>
        </w:rPr>
        <w:t xml:space="preserve"> on and reinforces state sovereignty and territorial jurisdiction.3 The limitations of this order in the era of </w:t>
      </w:r>
      <w:proofErr w:type="spellStart"/>
      <w:r w:rsidRPr="000A18CE">
        <w:rPr>
          <w:sz w:val="12"/>
        </w:rPr>
        <w:t>globalisation</w:t>
      </w:r>
      <w:proofErr w:type="spellEnd"/>
      <w:r w:rsidRPr="000A18CE">
        <w:rPr>
          <w:sz w:val="12"/>
        </w:rPr>
        <w:t xml:space="preserve"> and widespread dissatisfaction with it have been well recorded.4 </w:t>
      </w:r>
      <w:r w:rsidRPr="005A74FF">
        <w:rPr>
          <w:rStyle w:val="StyleUnderline"/>
        </w:rPr>
        <w:t>Global issues</w:t>
      </w:r>
      <w:r w:rsidRPr="000A18CE">
        <w:rPr>
          <w:sz w:val="12"/>
        </w:rPr>
        <w:t xml:space="preserve">, such as biodiversity loss, climate change, cybersecurity, pandemics, poverty and war, pervade individual states and </w:t>
      </w:r>
      <w:r w:rsidRPr="005A74FF">
        <w:rPr>
          <w:rStyle w:val="StyleUnderline"/>
        </w:rPr>
        <w:t>are not easily resolvable with territorial jurisdictions</w:t>
      </w:r>
      <w:r w:rsidRPr="000A18CE">
        <w:rPr>
          <w:sz w:val="12"/>
        </w:rPr>
        <w:t>.5</w:t>
      </w:r>
      <w:r w:rsidRPr="005A74FF">
        <w:rPr>
          <w:rStyle w:val="StyleUnderline"/>
        </w:rPr>
        <w:t xml:space="preserve"> The emerging project of global law was thus </w:t>
      </w:r>
      <w:proofErr w:type="spellStart"/>
      <w:r w:rsidRPr="005A74FF">
        <w:rPr>
          <w:rStyle w:val="StyleUnderline"/>
        </w:rPr>
        <w:t>conceptualised</w:t>
      </w:r>
      <w:proofErr w:type="spellEnd"/>
      <w:r w:rsidRPr="005A74FF">
        <w:rPr>
          <w:rStyle w:val="StyleUnderline"/>
        </w:rPr>
        <w:t xml:space="preserve"> as ‘a world legal order that governs the ambit of justice as it affects humanity as a whole’</w:t>
      </w:r>
      <w:r w:rsidRPr="000A18CE">
        <w:rPr>
          <w:sz w:val="12"/>
        </w:rPr>
        <w:t xml:space="preserve">.6 </w:t>
      </w:r>
      <w:r w:rsidRPr="005A74FF">
        <w:rPr>
          <w:rStyle w:val="StyleUnderline"/>
        </w:rPr>
        <w:t>Alongside national and international law, global law draws on the world's myriad of legal systems and traditions to employ a ‘legal metalanguage’ that can effectively address global issues across national territories</w:t>
      </w:r>
      <w:r w:rsidRPr="000A18CE">
        <w:rPr>
          <w:sz w:val="12"/>
        </w:rPr>
        <w:t xml:space="preserve">.7 </w:t>
      </w:r>
      <w:r w:rsidRPr="005A74FF">
        <w:rPr>
          <w:rStyle w:val="StyleUnderline"/>
        </w:rPr>
        <w:t xml:space="preserve">This includes the </w:t>
      </w:r>
      <w:proofErr w:type="spellStart"/>
      <w:r w:rsidRPr="005A74FF">
        <w:rPr>
          <w:rStyle w:val="StyleUnderline"/>
        </w:rPr>
        <w:t>transnationalisation</w:t>
      </w:r>
      <w:proofErr w:type="spellEnd"/>
      <w:r w:rsidRPr="005A74FF">
        <w:rPr>
          <w:rStyle w:val="StyleUnderline"/>
        </w:rPr>
        <w:t xml:space="preserve"> of legal principles</w:t>
      </w:r>
      <w:r w:rsidRPr="000A18CE">
        <w:rPr>
          <w:sz w:val="12"/>
        </w:rPr>
        <w:t xml:space="preserve"> and procedures and more effective governance and participation across borders.8 The emergence of global environmental law is evidenced in the </w:t>
      </w:r>
      <w:proofErr w:type="spellStart"/>
      <w:r w:rsidRPr="000A18CE">
        <w:rPr>
          <w:sz w:val="12"/>
        </w:rPr>
        <w:t>transnationalisation</w:t>
      </w:r>
      <w:proofErr w:type="spellEnd"/>
      <w:r w:rsidRPr="000A18CE">
        <w:rPr>
          <w:sz w:val="12"/>
        </w:rPr>
        <w:t xml:space="preserve"> of a set of environmental law principles and procedures.9 Under this theoretical framework, </w:t>
      </w:r>
      <w:r w:rsidRPr="005A74FF">
        <w:rPr>
          <w:rStyle w:val="StyleUnderline"/>
        </w:rPr>
        <w:t xml:space="preserve">this article specifically analyses the </w:t>
      </w:r>
      <w:proofErr w:type="spellStart"/>
      <w:r w:rsidRPr="005A74FF">
        <w:rPr>
          <w:rStyle w:val="StyleUnderline"/>
        </w:rPr>
        <w:t>transnationalisation</w:t>
      </w:r>
      <w:proofErr w:type="spellEnd"/>
      <w:r w:rsidRPr="005A74FF">
        <w:rPr>
          <w:rStyle w:val="StyleUnderline"/>
        </w:rPr>
        <w:t xml:space="preserve"> of</w:t>
      </w:r>
      <w:r w:rsidRPr="000A18CE">
        <w:rPr>
          <w:sz w:val="12"/>
        </w:rPr>
        <w:t xml:space="preserve"> public trust doctrines (</w:t>
      </w:r>
      <w:r w:rsidRPr="005A74FF">
        <w:rPr>
          <w:rStyle w:val="StyleUnderline"/>
        </w:rPr>
        <w:t>PTDs</w:t>
      </w:r>
      <w:r w:rsidRPr="000A18CE">
        <w:rPr>
          <w:sz w:val="12"/>
        </w:rPr>
        <w:t>) and asks whether global PTDs10 are emerging in response to global environmental issues.</w:t>
      </w:r>
    </w:p>
    <w:p w14:paraId="1B0F26D0" w14:textId="77777777" w:rsidR="00F92D96" w:rsidRPr="000A18CE" w:rsidRDefault="00F92D96" w:rsidP="00F92D96">
      <w:pPr>
        <w:rPr>
          <w:sz w:val="12"/>
        </w:rPr>
      </w:pPr>
      <w:r w:rsidRPr="000A18CE">
        <w:rPr>
          <w:sz w:val="12"/>
        </w:rPr>
        <w:t>1.1. Definitions and concepts</w:t>
      </w:r>
    </w:p>
    <w:p w14:paraId="2F50B3DC" w14:textId="77777777" w:rsidR="00F92D96" w:rsidRPr="000A18CE" w:rsidRDefault="00F92D96" w:rsidP="00F92D96">
      <w:pPr>
        <w:rPr>
          <w:sz w:val="12"/>
        </w:rPr>
      </w:pPr>
      <w:r w:rsidRPr="000A18CE">
        <w:rPr>
          <w:rStyle w:val="StyleUnderline"/>
          <w:highlight w:val="yellow"/>
        </w:rPr>
        <w:t>PTDs</w:t>
      </w:r>
      <w:r w:rsidRPr="005A74FF">
        <w:rPr>
          <w:rStyle w:val="StyleUnderline"/>
        </w:rPr>
        <w:t xml:space="preserve"> generally </w:t>
      </w:r>
      <w:r w:rsidRPr="000A18CE">
        <w:rPr>
          <w:rStyle w:val="StyleUnderline"/>
          <w:highlight w:val="yellow"/>
        </w:rPr>
        <w:t>provide</w:t>
      </w:r>
      <w:r w:rsidRPr="005A74FF">
        <w:rPr>
          <w:rStyle w:val="StyleUnderline"/>
        </w:rPr>
        <w:t xml:space="preserve"> </w:t>
      </w:r>
      <w:proofErr w:type="gramStart"/>
      <w:r w:rsidRPr="005A74FF">
        <w:rPr>
          <w:rStyle w:val="StyleUnderline"/>
        </w:rPr>
        <w:t xml:space="preserve">that </w:t>
      </w:r>
      <w:r w:rsidRPr="000A18CE">
        <w:rPr>
          <w:rStyle w:val="StyleUnderline"/>
          <w:highlight w:val="yellow"/>
        </w:rPr>
        <w:t>certain</w:t>
      </w:r>
      <w:r w:rsidRPr="005A74FF">
        <w:rPr>
          <w:rStyle w:val="StyleUnderline"/>
        </w:rPr>
        <w:t xml:space="preserve"> natural </w:t>
      </w:r>
      <w:r w:rsidRPr="000A18CE">
        <w:rPr>
          <w:rStyle w:val="StyleUnderline"/>
          <w:highlight w:val="yellow"/>
        </w:rPr>
        <w:t>resources</w:t>
      </w:r>
      <w:proofErr w:type="gramEnd"/>
      <w:r w:rsidRPr="005A74FF">
        <w:rPr>
          <w:rStyle w:val="StyleUnderline"/>
        </w:rPr>
        <w:t xml:space="preserve"> within national territories </w:t>
      </w:r>
      <w:r w:rsidRPr="000A18CE">
        <w:rPr>
          <w:rStyle w:val="StyleUnderline"/>
          <w:highlight w:val="yellow"/>
        </w:rPr>
        <w:t xml:space="preserve">are </w:t>
      </w:r>
      <w:r w:rsidRPr="00BA7AA7">
        <w:rPr>
          <w:rStyle w:val="Emphasis"/>
          <w:highlight w:val="yellow"/>
        </w:rPr>
        <w:t>common</w:t>
      </w:r>
      <w:r w:rsidRPr="005A74FF">
        <w:rPr>
          <w:rStyle w:val="StyleUnderline"/>
        </w:rPr>
        <w:t xml:space="preserve">, shared property among citizens </w:t>
      </w:r>
      <w:r w:rsidRPr="000A18CE">
        <w:rPr>
          <w:rStyle w:val="StyleUnderline"/>
          <w:highlight w:val="yellow"/>
        </w:rPr>
        <w:t>and should</w:t>
      </w:r>
      <w:r w:rsidRPr="005A74FF">
        <w:rPr>
          <w:rStyle w:val="StyleUnderline"/>
        </w:rPr>
        <w:t xml:space="preserve"> therefore </w:t>
      </w:r>
      <w:r w:rsidRPr="000A18CE">
        <w:rPr>
          <w:rStyle w:val="StyleUnderline"/>
          <w:highlight w:val="yellow"/>
        </w:rPr>
        <w:t xml:space="preserve">be </w:t>
      </w:r>
      <w:r w:rsidRPr="00BA7AA7">
        <w:rPr>
          <w:rStyle w:val="Emphasis"/>
          <w:highlight w:val="yellow"/>
        </w:rPr>
        <w:t>stewarded</w:t>
      </w:r>
      <w:r w:rsidRPr="00BA7AA7">
        <w:rPr>
          <w:rStyle w:val="Emphasis"/>
        </w:rPr>
        <w:t xml:space="preserve"> in perpetuity </w:t>
      </w:r>
      <w:r w:rsidRPr="00BA7AA7">
        <w:rPr>
          <w:rStyle w:val="Emphasis"/>
          <w:highlight w:val="yellow"/>
        </w:rPr>
        <w:t>by the state</w:t>
      </w:r>
      <w:r w:rsidRPr="000A18CE">
        <w:rPr>
          <w:sz w:val="12"/>
        </w:rPr>
        <w:t xml:space="preserve">.11 Every PTD has been developed in a different legal context and encompasses a different set of natural resources, different stewardship duties and different objectives. This article broadly </w:t>
      </w:r>
      <w:proofErr w:type="spellStart"/>
      <w:r w:rsidRPr="000A18CE">
        <w:rPr>
          <w:sz w:val="12"/>
        </w:rPr>
        <w:t>conceptualises</w:t>
      </w:r>
      <w:proofErr w:type="spellEnd"/>
      <w:r w:rsidRPr="000A18CE">
        <w:rPr>
          <w:sz w:val="12"/>
        </w:rPr>
        <w:t xml:space="preserve"> and classifies PTDs as either: (1) </w:t>
      </w:r>
      <w:proofErr w:type="spellStart"/>
      <w:r w:rsidRPr="000A18CE">
        <w:rPr>
          <w:sz w:val="12"/>
        </w:rPr>
        <w:t>formalised</w:t>
      </w:r>
      <w:proofErr w:type="spellEnd"/>
      <w:r w:rsidRPr="000A18CE">
        <w:rPr>
          <w:sz w:val="12"/>
        </w:rPr>
        <w:t xml:space="preserve"> PTDs that are inscribed and explicitly named in law; or (2) implicit PTDs that are implied through existing state stewardship duties that create a public trust regime without naming the doctrine as such. Other scholars have used a similar distinction in </w:t>
      </w:r>
      <w:proofErr w:type="spellStart"/>
      <w:r w:rsidRPr="000A18CE">
        <w:rPr>
          <w:sz w:val="12"/>
        </w:rPr>
        <w:t>analysing</w:t>
      </w:r>
      <w:proofErr w:type="spellEnd"/>
      <w:r w:rsidRPr="000A18CE">
        <w:rPr>
          <w:sz w:val="12"/>
        </w:rPr>
        <w:t xml:space="preserve"> the ‘direct’ or ‘implied’ application of PTDs.12 The scope of this current article includes analysis of both types of PTDs: </w:t>
      </w:r>
      <w:proofErr w:type="spellStart"/>
      <w:r w:rsidRPr="000A18CE">
        <w:rPr>
          <w:sz w:val="12"/>
        </w:rPr>
        <w:t>formalised</w:t>
      </w:r>
      <w:proofErr w:type="spellEnd"/>
      <w:r w:rsidRPr="000A18CE">
        <w:rPr>
          <w:sz w:val="12"/>
        </w:rPr>
        <w:t xml:space="preserve"> and implicit. Moreover, PTDs can also be classified at the level at which they exist: (1) PTDs of international law instruments (international level); (2) PTDs of nation states (national level); or (3) PTDs of sub-national governments (sub-national level). PTDs at the sub-national level require sub-national governments (as defined in the specific nation state) to act as trustees for their specific sub-national populations. This article however focuses its analyses on PTDs at the international and national levels unless otherwise stated.</w:t>
      </w:r>
    </w:p>
    <w:p w14:paraId="4610BE89" w14:textId="77777777" w:rsidR="00F92D96" w:rsidRPr="000A18CE" w:rsidRDefault="00F92D96" w:rsidP="00F92D96">
      <w:pPr>
        <w:rPr>
          <w:sz w:val="8"/>
          <w:szCs w:val="18"/>
        </w:rPr>
      </w:pPr>
      <w:r w:rsidRPr="000A18CE">
        <w:rPr>
          <w:sz w:val="8"/>
          <w:szCs w:val="18"/>
        </w:rPr>
        <w:t xml:space="preserve">This article uses a stewardship lens to </w:t>
      </w:r>
      <w:proofErr w:type="spellStart"/>
      <w:r w:rsidRPr="000A18CE">
        <w:rPr>
          <w:sz w:val="8"/>
          <w:szCs w:val="18"/>
        </w:rPr>
        <w:t>analyse</w:t>
      </w:r>
      <w:proofErr w:type="spellEnd"/>
      <w:r w:rsidRPr="000A18CE">
        <w:rPr>
          <w:sz w:val="8"/>
          <w:szCs w:val="18"/>
        </w:rPr>
        <w:t xml:space="preserve"> the duties of states under PTDs. In environmental law scholarship, stewardship has been broadly defined as ‘a general, universal duty to care for the planet’.13 This definition relates to the broader concepts associated with PTDs, such as custodianship and guardianship. Stewardship has also been defined as a ‘duty requiring landowners to carefully manage their land’.14 This more specific definition relates to the practical obligations of PTDs, such as conserving natural resources for citizens. Although stewardship theory outlines various actors that owe stewardship duties, this article specifically analyses state stewardship duties under PTDs. Other lenses have and could be used to </w:t>
      </w:r>
      <w:proofErr w:type="spellStart"/>
      <w:r w:rsidRPr="000A18CE">
        <w:rPr>
          <w:sz w:val="8"/>
          <w:szCs w:val="18"/>
        </w:rPr>
        <w:t>analyse</w:t>
      </w:r>
      <w:proofErr w:type="spellEnd"/>
      <w:r w:rsidRPr="000A18CE">
        <w:rPr>
          <w:sz w:val="8"/>
          <w:szCs w:val="18"/>
        </w:rPr>
        <w:t xml:space="preserve"> PTDs, including in accordance with the varying objectives of different PTDs, such as ensuring that citizens’ public use, commerce, </w:t>
      </w:r>
      <w:proofErr w:type="gramStart"/>
      <w:r w:rsidRPr="000A18CE">
        <w:rPr>
          <w:sz w:val="8"/>
          <w:szCs w:val="18"/>
        </w:rPr>
        <w:t>navigation</w:t>
      </w:r>
      <w:proofErr w:type="gramEnd"/>
      <w:r w:rsidRPr="000A18CE">
        <w:rPr>
          <w:sz w:val="8"/>
          <w:szCs w:val="18"/>
        </w:rPr>
        <w:t xml:space="preserve"> or environmental rights are upheld in the management of natural resources. However, as this article largely focuses on environmental developments of PTDs, environmental stewardship advancing in many states and international law instruments with public trust regimes, a stewardship lens is warranted for this research inquiry which crosses numerous PTDs.</w:t>
      </w:r>
    </w:p>
    <w:p w14:paraId="0B6A6FC7" w14:textId="77777777" w:rsidR="00F92D96" w:rsidRPr="000A18CE" w:rsidRDefault="00F92D96" w:rsidP="00F92D96">
      <w:pPr>
        <w:rPr>
          <w:sz w:val="8"/>
          <w:szCs w:val="18"/>
        </w:rPr>
      </w:pPr>
      <w:r w:rsidRPr="000A18CE">
        <w:rPr>
          <w:sz w:val="8"/>
          <w:szCs w:val="18"/>
        </w:rPr>
        <w:t xml:space="preserve">Overtime, PTDs have </w:t>
      </w:r>
      <w:proofErr w:type="spellStart"/>
      <w:r w:rsidRPr="000A18CE">
        <w:rPr>
          <w:sz w:val="8"/>
          <w:szCs w:val="18"/>
        </w:rPr>
        <w:t>internationalised</w:t>
      </w:r>
      <w:proofErr w:type="spellEnd"/>
      <w:r w:rsidRPr="000A18CE">
        <w:rPr>
          <w:sz w:val="8"/>
          <w:szCs w:val="18"/>
        </w:rPr>
        <w:t xml:space="preserve"> through three observed processes, including: (1) states spreading them to other national and/or international legal systems; (2) states applying international environmental law principles that inform PTDs; and (3) states ratifying international law instruments containing public trust regimes.15 However, PTDs and public trust scholarship, including analysis on these processes, have mostly remained limited to individual state territories, and they have not fully investigated how PTDs can address global environmental issues. Thus, this article also explores how PTDs have </w:t>
      </w:r>
      <w:proofErr w:type="spellStart"/>
      <w:r w:rsidRPr="000A18CE">
        <w:rPr>
          <w:sz w:val="8"/>
          <w:szCs w:val="18"/>
        </w:rPr>
        <w:t>transnationalised</w:t>
      </w:r>
      <w:proofErr w:type="spellEnd"/>
      <w:r w:rsidRPr="000A18CE">
        <w:rPr>
          <w:sz w:val="8"/>
          <w:szCs w:val="18"/>
        </w:rPr>
        <w:t xml:space="preserve"> through three observed processes, including: (1) states stewarding natural resources within and beyond their territories; (2) states stewarding natural resources for the benefit of their citizens and all of Earth's current and future inhabitants; and (3) states jointly stewarding natural resources with other states and non-state actors. To the extent that a PTD goes through one or more of these processes, this article considers it to be a global PTD. Analysis of these </w:t>
      </w:r>
      <w:proofErr w:type="spellStart"/>
      <w:r w:rsidRPr="000A18CE">
        <w:rPr>
          <w:sz w:val="8"/>
          <w:szCs w:val="18"/>
        </w:rPr>
        <w:t>transnationalisation</w:t>
      </w:r>
      <w:proofErr w:type="spellEnd"/>
      <w:r w:rsidRPr="000A18CE">
        <w:rPr>
          <w:sz w:val="8"/>
          <w:szCs w:val="18"/>
        </w:rPr>
        <w:t xml:space="preserve"> processes is needed to understand the suitability of using PTDs to hold states accountable for issues that pervade national territories.</w:t>
      </w:r>
    </w:p>
    <w:p w14:paraId="0D4EEF40" w14:textId="77777777" w:rsidR="00F92D96" w:rsidRPr="000A18CE" w:rsidRDefault="00F92D96" w:rsidP="00F92D96">
      <w:pPr>
        <w:rPr>
          <w:sz w:val="8"/>
          <w:szCs w:val="18"/>
        </w:rPr>
      </w:pPr>
      <w:r w:rsidRPr="000A18CE">
        <w:rPr>
          <w:sz w:val="8"/>
          <w:szCs w:val="18"/>
        </w:rPr>
        <w:t>1.2. Analytical approach and structure of the article</w:t>
      </w:r>
    </w:p>
    <w:p w14:paraId="283D2871" w14:textId="77777777" w:rsidR="00F92D96" w:rsidRPr="000A18CE" w:rsidRDefault="00F92D96" w:rsidP="00F92D96">
      <w:pPr>
        <w:rPr>
          <w:sz w:val="8"/>
          <w:szCs w:val="18"/>
        </w:rPr>
      </w:pPr>
      <w:r w:rsidRPr="000A18CE">
        <w:rPr>
          <w:sz w:val="8"/>
          <w:szCs w:val="18"/>
        </w:rPr>
        <w:t>The analytic approach pursued in this article is primarily conceptual analysis of two types of sources. Conceptual aspects of PTDs are identified in primary sources of public trust regimes (</w:t>
      </w:r>
      <w:proofErr w:type="spellStart"/>
      <w:proofErr w:type="gramStart"/>
      <w:r w:rsidRPr="000A18CE">
        <w:rPr>
          <w:sz w:val="8"/>
          <w:szCs w:val="18"/>
        </w:rPr>
        <w:t>eg</w:t>
      </w:r>
      <w:proofErr w:type="spellEnd"/>
      <w:proofErr w:type="gramEnd"/>
      <w:r w:rsidRPr="000A18CE">
        <w:rPr>
          <w:sz w:val="8"/>
          <w:szCs w:val="18"/>
        </w:rPr>
        <w:t xml:space="preserve"> laws) and secondary sources (</w:t>
      </w:r>
      <w:proofErr w:type="spellStart"/>
      <w:r w:rsidRPr="000A18CE">
        <w:rPr>
          <w:sz w:val="8"/>
          <w:szCs w:val="18"/>
        </w:rPr>
        <w:t>eg</w:t>
      </w:r>
      <w:proofErr w:type="spellEnd"/>
      <w:r w:rsidRPr="000A18CE">
        <w:rPr>
          <w:sz w:val="8"/>
          <w:szCs w:val="18"/>
        </w:rPr>
        <w:t xml:space="preserve"> literature on public trust regimes) capturing a diverse range of states (</w:t>
      </w:r>
      <w:proofErr w:type="spellStart"/>
      <w:r w:rsidRPr="000A18CE">
        <w:rPr>
          <w:sz w:val="8"/>
          <w:szCs w:val="18"/>
        </w:rPr>
        <w:t>ie</w:t>
      </w:r>
      <w:proofErr w:type="spellEnd"/>
      <w:r w:rsidRPr="000A18CE">
        <w:rPr>
          <w:sz w:val="8"/>
          <w:szCs w:val="18"/>
        </w:rPr>
        <w:t xml:space="preserve"> Australia, Brazil, Canada, Colombia, England, France, India, Pakistan, the Philippines, South Africa, Uganda and the United States). Conceptual analysis is also conducted of key international law instruments (</w:t>
      </w:r>
      <w:proofErr w:type="spellStart"/>
      <w:proofErr w:type="gramStart"/>
      <w:r w:rsidRPr="000A18CE">
        <w:rPr>
          <w:sz w:val="8"/>
          <w:szCs w:val="18"/>
        </w:rPr>
        <w:t>eg</w:t>
      </w:r>
      <w:proofErr w:type="spellEnd"/>
      <w:proofErr w:type="gramEnd"/>
      <w:r w:rsidRPr="000A18CE">
        <w:rPr>
          <w:sz w:val="8"/>
          <w:szCs w:val="18"/>
        </w:rPr>
        <w:t xml:space="preserve"> international treaties), some of which have near universal application and therefore inform the many states unnamed in this article that have ratified the treaties covered. The presented conceptual analysis aims to inform and provide a conceptual framework for further analysis on and applications of individual PTDs and discussions on public trusteeship across jurisdictions.</w:t>
      </w:r>
    </w:p>
    <w:p w14:paraId="4D4547C0" w14:textId="77777777" w:rsidR="00F92D96" w:rsidRPr="000A18CE" w:rsidRDefault="00F92D96" w:rsidP="00F92D96">
      <w:pPr>
        <w:rPr>
          <w:sz w:val="8"/>
          <w:szCs w:val="18"/>
        </w:rPr>
      </w:pPr>
      <w:r w:rsidRPr="000A18CE">
        <w:rPr>
          <w:sz w:val="8"/>
          <w:szCs w:val="18"/>
        </w:rPr>
        <w:t xml:space="preserve">Overall, this article contributes a new conceptual framework for </w:t>
      </w:r>
      <w:proofErr w:type="spellStart"/>
      <w:r w:rsidRPr="000A18CE">
        <w:rPr>
          <w:sz w:val="8"/>
          <w:szCs w:val="18"/>
        </w:rPr>
        <w:t>analysing</w:t>
      </w:r>
      <w:proofErr w:type="spellEnd"/>
      <w:r w:rsidRPr="000A18CE">
        <w:rPr>
          <w:sz w:val="8"/>
          <w:szCs w:val="18"/>
        </w:rPr>
        <w:t xml:space="preserve"> and applying PTDs against global environmental issues.16 Section 2 provides a general overview and evaluation of PTDs, including their: (1) origins and legal sources; (2) scopes and objectives; and (3) application to global environmental issues. It is based on a review and synthesis of public trust scholarship, </w:t>
      </w:r>
      <w:proofErr w:type="gramStart"/>
      <w:r w:rsidRPr="000A18CE">
        <w:rPr>
          <w:sz w:val="8"/>
          <w:szCs w:val="18"/>
        </w:rPr>
        <w:t>laws</w:t>
      </w:r>
      <w:proofErr w:type="gramEnd"/>
      <w:r w:rsidRPr="000A18CE">
        <w:rPr>
          <w:sz w:val="8"/>
          <w:szCs w:val="18"/>
        </w:rPr>
        <w:t xml:space="preserve"> and judgments across the sub-national, national and international levels. This section also argues that PTDs can be further adapted to apply to global environmental issues. Section 3 defines and presents examples of the three observed </w:t>
      </w:r>
      <w:proofErr w:type="spellStart"/>
      <w:r w:rsidRPr="000A18CE">
        <w:rPr>
          <w:sz w:val="8"/>
          <w:szCs w:val="18"/>
        </w:rPr>
        <w:t>internationalisation</w:t>
      </w:r>
      <w:proofErr w:type="spellEnd"/>
      <w:r w:rsidRPr="000A18CE">
        <w:rPr>
          <w:sz w:val="8"/>
          <w:szCs w:val="18"/>
        </w:rPr>
        <w:t xml:space="preserve"> processes of PTDs. Public trust scholarship often frames these processes under the pretext of a one-size-fits-all doctrine emerging from England, maturing in the United </w:t>
      </w:r>
      <w:proofErr w:type="gramStart"/>
      <w:r w:rsidRPr="000A18CE">
        <w:rPr>
          <w:sz w:val="8"/>
          <w:szCs w:val="18"/>
        </w:rPr>
        <w:t>States</w:t>
      </w:r>
      <w:proofErr w:type="gramEnd"/>
      <w:r w:rsidRPr="000A18CE">
        <w:rPr>
          <w:sz w:val="8"/>
          <w:szCs w:val="18"/>
        </w:rPr>
        <w:t xml:space="preserve"> and then spreading elsewhere. However, such framing overshadows and discredits pre-existing stewardship systems, particularly Indigenous ones, that constitute implicit PTDs themselves or have informed the </w:t>
      </w:r>
      <w:proofErr w:type="spellStart"/>
      <w:r w:rsidRPr="000A18CE">
        <w:rPr>
          <w:sz w:val="8"/>
          <w:szCs w:val="18"/>
        </w:rPr>
        <w:t>formalisation</w:t>
      </w:r>
      <w:proofErr w:type="spellEnd"/>
      <w:r w:rsidRPr="000A18CE">
        <w:rPr>
          <w:sz w:val="8"/>
          <w:szCs w:val="18"/>
        </w:rPr>
        <w:t xml:space="preserve"> of PTDs.17 This section therefore also offers critical analysis of these </w:t>
      </w:r>
      <w:proofErr w:type="spellStart"/>
      <w:r w:rsidRPr="000A18CE">
        <w:rPr>
          <w:sz w:val="8"/>
          <w:szCs w:val="18"/>
        </w:rPr>
        <w:t>internationalisation</w:t>
      </w:r>
      <w:proofErr w:type="spellEnd"/>
      <w:r w:rsidRPr="000A18CE">
        <w:rPr>
          <w:sz w:val="8"/>
          <w:szCs w:val="18"/>
        </w:rPr>
        <w:t xml:space="preserve"> processes. Section 4 defines and presents examples of the three observed </w:t>
      </w:r>
      <w:proofErr w:type="spellStart"/>
      <w:r w:rsidRPr="000A18CE">
        <w:rPr>
          <w:sz w:val="8"/>
          <w:szCs w:val="18"/>
        </w:rPr>
        <w:t>transnationalisation</w:t>
      </w:r>
      <w:proofErr w:type="spellEnd"/>
      <w:r w:rsidRPr="000A18CE">
        <w:rPr>
          <w:sz w:val="8"/>
          <w:szCs w:val="18"/>
        </w:rPr>
        <w:t xml:space="preserve"> processes of PTDs. As this analysis is more exploratory, understanding the full complexity and impact of each process on individual PTDs requires additional analysis. Finally, Section 5 concludes with remarks on whether these </w:t>
      </w:r>
      <w:proofErr w:type="spellStart"/>
      <w:r w:rsidRPr="000A18CE">
        <w:rPr>
          <w:sz w:val="8"/>
          <w:szCs w:val="18"/>
        </w:rPr>
        <w:t>transnationalisation</w:t>
      </w:r>
      <w:proofErr w:type="spellEnd"/>
      <w:r w:rsidRPr="000A18CE">
        <w:rPr>
          <w:sz w:val="8"/>
          <w:szCs w:val="18"/>
        </w:rPr>
        <w:t xml:space="preserve"> processes are trailblazing global PTDs.</w:t>
      </w:r>
    </w:p>
    <w:p w14:paraId="75DE5C46" w14:textId="77777777" w:rsidR="00F92D96" w:rsidRPr="000A18CE" w:rsidRDefault="00F92D96" w:rsidP="00F92D96">
      <w:pPr>
        <w:rPr>
          <w:sz w:val="8"/>
          <w:szCs w:val="18"/>
        </w:rPr>
      </w:pPr>
      <w:r w:rsidRPr="000A18CE">
        <w:rPr>
          <w:sz w:val="8"/>
          <w:szCs w:val="18"/>
        </w:rPr>
        <w:t>2. Public trust doctrines: background</w:t>
      </w:r>
    </w:p>
    <w:p w14:paraId="6E86ED3A" w14:textId="77777777" w:rsidR="00F92D96" w:rsidRPr="000A18CE" w:rsidRDefault="00F92D96" w:rsidP="00F92D96">
      <w:pPr>
        <w:rPr>
          <w:sz w:val="8"/>
          <w:szCs w:val="18"/>
        </w:rPr>
      </w:pPr>
      <w:r w:rsidRPr="000A18CE">
        <w:rPr>
          <w:sz w:val="8"/>
          <w:szCs w:val="18"/>
        </w:rPr>
        <w:t xml:space="preserve">The core concept of PTDs is that states steward natural resources for the benefit of the public.18 This section provides an overview of how this concept has evolved over time and the different objectives that have motivated it. While some legal systems have </w:t>
      </w:r>
      <w:proofErr w:type="spellStart"/>
      <w:r w:rsidRPr="000A18CE">
        <w:rPr>
          <w:sz w:val="8"/>
          <w:szCs w:val="18"/>
        </w:rPr>
        <w:t>formalised</w:t>
      </w:r>
      <w:proofErr w:type="spellEnd"/>
      <w:r w:rsidRPr="000A18CE">
        <w:rPr>
          <w:sz w:val="8"/>
          <w:szCs w:val="18"/>
        </w:rPr>
        <w:t xml:space="preserve"> their PTDs, most have implicit PTDs whereby existing stewardship duties create public trust regimes without explicitly naming the doctrine (as defined above). This section </w:t>
      </w:r>
      <w:proofErr w:type="spellStart"/>
      <w:r w:rsidRPr="000A18CE">
        <w:rPr>
          <w:sz w:val="8"/>
          <w:szCs w:val="18"/>
        </w:rPr>
        <w:t>theorises</w:t>
      </w:r>
      <w:proofErr w:type="spellEnd"/>
      <w:r w:rsidRPr="000A18CE">
        <w:rPr>
          <w:sz w:val="8"/>
          <w:szCs w:val="18"/>
        </w:rPr>
        <w:t xml:space="preserve"> PTDs with respect to both </w:t>
      </w:r>
      <w:proofErr w:type="spellStart"/>
      <w:r w:rsidRPr="000A18CE">
        <w:rPr>
          <w:sz w:val="8"/>
          <w:szCs w:val="18"/>
        </w:rPr>
        <w:t>formalised</w:t>
      </w:r>
      <w:proofErr w:type="spellEnd"/>
      <w:r w:rsidRPr="000A18CE">
        <w:rPr>
          <w:sz w:val="8"/>
          <w:szCs w:val="18"/>
        </w:rPr>
        <w:t xml:space="preserve"> and implicit PTDs and names specific legal systems when referring to a specific PTD. Moreover, one common feature across PTDs is their adaptability; they have shown to be receptive to new information and applicable to changing elements of the environment and changing value systems. This section therefore argues that the core concept and the adaptability of PTDs make them suitable doctrines to apply to global environmental issues.</w:t>
      </w:r>
    </w:p>
    <w:p w14:paraId="4947B764" w14:textId="77777777" w:rsidR="00F92D96" w:rsidRPr="000A18CE" w:rsidRDefault="00F92D96" w:rsidP="00F92D96">
      <w:pPr>
        <w:rPr>
          <w:sz w:val="8"/>
          <w:szCs w:val="18"/>
        </w:rPr>
      </w:pPr>
      <w:r w:rsidRPr="000A18CE">
        <w:rPr>
          <w:sz w:val="8"/>
          <w:szCs w:val="18"/>
        </w:rPr>
        <w:t>2.1. Origins and legal sources</w:t>
      </w:r>
    </w:p>
    <w:p w14:paraId="5F5351C4" w14:textId="77777777" w:rsidR="00F92D96" w:rsidRPr="000A18CE" w:rsidRDefault="00F92D96" w:rsidP="00F92D96">
      <w:pPr>
        <w:rPr>
          <w:sz w:val="8"/>
          <w:szCs w:val="18"/>
        </w:rPr>
      </w:pPr>
      <w:r w:rsidRPr="000A18CE">
        <w:rPr>
          <w:sz w:val="8"/>
          <w:szCs w:val="18"/>
        </w:rPr>
        <w:t xml:space="preserve">Historians have traced PTDs back to the Roman law concept res communis, to which Justinian proclaimed, ‘By the law of nature these things are common to all mankind, the air, running water, the sea and consequently the shores of the sea’.19 Natural law thereunto held that the public had communal rights to access and use these natural resources.20 This concept was transplanted into the thirteenth century Spanish code Las </w:t>
      </w:r>
      <w:proofErr w:type="spellStart"/>
      <w:r w:rsidRPr="000A18CE">
        <w:rPr>
          <w:sz w:val="8"/>
          <w:szCs w:val="18"/>
        </w:rPr>
        <w:t>Siete</w:t>
      </w:r>
      <w:proofErr w:type="spellEnd"/>
      <w:r w:rsidRPr="000A18CE">
        <w:rPr>
          <w:sz w:val="8"/>
          <w:szCs w:val="18"/>
        </w:rPr>
        <w:t xml:space="preserve"> </w:t>
      </w:r>
      <w:proofErr w:type="spellStart"/>
      <w:r w:rsidRPr="000A18CE">
        <w:rPr>
          <w:sz w:val="8"/>
          <w:szCs w:val="18"/>
        </w:rPr>
        <w:t>Partidas</w:t>
      </w:r>
      <w:proofErr w:type="spellEnd"/>
      <w:r w:rsidRPr="000A18CE">
        <w:rPr>
          <w:sz w:val="8"/>
          <w:szCs w:val="18"/>
        </w:rPr>
        <w:t xml:space="preserve"> and English Magna Carta, later promoted across Europe and, through European colonialism, subsequently around the globe.21 Spain and England are recorded to have provided levels of protection over natural resources within their territories for public access and use rights. This included easements for certain privately held resources. However, historians have found no evidence that the public ever enforced their rights against state infringements.22 This widely accepted historical narrative suggests that PTDs have developed under the notion of states owning and controlling natural resources within their territories and stewarding them for their citizens.</w:t>
      </w:r>
    </w:p>
    <w:p w14:paraId="1A74AF43" w14:textId="77777777" w:rsidR="00F92D96" w:rsidRPr="000A18CE" w:rsidRDefault="00F92D96" w:rsidP="00F92D96">
      <w:pPr>
        <w:rPr>
          <w:sz w:val="8"/>
          <w:szCs w:val="18"/>
        </w:rPr>
      </w:pPr>
      <w:r w:rsidRPr="000A18CE">
        <w:rPr>
          <w:sz w:val="8"/>
          <w:szCs w:val="18"/>
        </w:rPr>
        <w:t xml:space="preserve">Up to the 1970s, PTDs were primarily applied as public access and use doctrines.23 The environmental movement, accompanied by a wave of new environmental laws around the globe,24 and Joseph Sax's seminal text contributed to PTDs adapting to also being used as environmental doctrines.25 Sax observed that PTDs apply when a public right that is substantially harmonious with the environment is enforceable against the state.26 Section 2.2 will provide further analysis on the objectives of PTDs in ensuring public access and use and environmental protection in the present day. Although PTDs transitioned into also being tools for environmental protection and started reflecting Indigenous stewardship traditions, this adaptation has been </w:t>
      </w:r>
      <w:proofErr w:type="spellStart"/>
      <w:r w:rsidRPr="000A18CE">
        <w:rPr>
          <w:sz w:val="8"/>
          <w:szCs w:val="18"/>
        </w:rPr>
        <w:t>criticised</w:t>
      </w:r>
      <w:proofErr w:type="spellEnd"/>
      <w:r w:rsidRPr="000A18CE">
        <w:rPr>
          <w:sz w:val="8"/>
          <w:szCs w:val="18"/>
        </w:rPr>
        <w:t xml:space="preserve"> for not embracing Indigenous stewardship systems or those who sustainably stewarded Earth for thousands of years prior to the European colonial project.27 Indigenous environmentalist Winona LaDuke argued that the environmental movement, which included this PTD adaptation, failed to address environmental colonialism. She explained that many Indigenous societies in the conterminous United States ‘see themselves as belonging to [the land] rather than it to them’ and that connections between the land and its occupants are preserved in ‘ceremony, spiritual instruction, naming, travel knowledge and intergenerational residence’.28 Yet PTDs continued to </w:t>
      </w:r>
      <w:proofErr w:type="spellStart"/>
      <w:r w:rsidRPr="000A18CE">
        <w:rPr>
          <w:sz w:val="8"/>
          <w:szCs w:val="18"/>
        </w:rPr>
        <w:t>centre</w:t>
      </w:r>
      <w:proofErr w:type="spellEnd"/>
      <w:r w:rsidRPr="000A18CE">
        <w:rPr>
          <w:sz w:val="8"/>
          <w:szCs w:val="18"/>
        </w:rPr>
        <w:t xml:space="preserve"> on Western notions of states protecting parts of Earth that they owned.29 PTDs can thus be compared and contrasted to the concepts and practices of diverse legal systems and traditions and environmental and social movements.30</w:t>
      </w:r>
    </w:p>
    <w:p w14:paraId="097455C4" w14:textId="77777777" w:rsidR="00F92D96" w:rsidRPr="000A18CE" w:rsidRDefault="00F92D96" w:rsidP="00F92D96">
      <w:pPr>
        <w:rPr>
          <w:sz w:val="8"/>
          <w:szCs w:val="18"/>
        </w:rPr>
      </w:pPr>
      <w:r w:rsidRPr="000A18CE">
        <w:rPr>
          <w:sz w:val="8"/>
          <w:szCs w:val="18"/>
        </w:rPr>
        <w:t xml:space="preserve">Public trust regimes have emerged from various legal sources. The most common include case law, constitutional law, economic law, environmental law, Indigenous law, international law and natural law, and combinations thereof. These regimes arise when such legal sources prescribe states with duties to steward natural resources for beneficiaries.31 PTDs </w:t>
      </w:r>
      <w:proofErr w:type="spellStart"/>
      <w:r w:rsidRPr="000A18CE">
        <w:rPr>
          <w:sz w:val="8"/>
          <w:szCs w:val="18"/>
        </w:rPr>
        <w:t>formalise</w:t>
      </w:r>
      <w:proofErr w:type="spellEnd"/>
      <w:r w:rsidRPr="000A18CE">
        <w:rPr>
          <w:sz w:val="8"/>
          <w:szCs w:val="18"/>
        </w:rPr>
        <w:t xml:space="preserve"> when legal sources expressly name the doctrine; they are implicit when legal sources align legal systems with stewardship duties that form public trust regimes without inscribing the doctrine's name into law. Public trust scholarship often focuses on how PTDs are identified and </w:t>
      </w:r>
      <w:proofErr w:type="spellStart"/>
      <w:r w:rsidRPr="000A18CE">
        <w:rPr>
          <w:sz w:val="8"/>
          <w:szCs w:val="18"/>
        </w:rPr>
        <w:t>formalised</w:t>
      </w:r>
      <w:proofErr w:type="spellEnd"/>
      <w:r w:rsidRPr="000A18CE">
        <w:rPr>
          <w:sz w:val="8"/>
          <w:szCs w:val="18"/>
        </w:rPr>
        <w:t xml:space="preserve"> in case law in common law systems; however, PTDs are not exclusive to common law systems and even PTDs in common law systems have multiple legal sources beyond case law.32 Many constitutions require states to ensure persons have the right to a healthy or protected environment, and many statutes, including from different areas of law, mandate states to protect natural resources for their populations.</w:t>
      </w:r>
    </w:p>
    <w:p w14:paraId="4F0AEB10" w14:textId="77777777" w:rsidR="00F92D96" w:rsidRPr="000A18CE" w:rsidRDefault="00F92D96" w:rsidP="00F92D96">
      <w:pPr>
        <w:rPr>
          <w:sz w:val="8"/>
          <w:szCs w:val="18"/>
        </w:rPr>
      </w:pPr>
      <w:r w:rsidRPr="000A18CE">
        <w:rPr>
          <w:sz w:val="8"/>
          <w:szCs w:val="18"/>
        </w:rPr>
        <w:t xml:space="preserve">Reviewing examples of how specific PTDs have been identified in legal sources offers clarity before moving forward. In South Africa, Section 24(b) of the Constitution provides that ‘everyone has the right to have the environment protected for the benefit of present and future generations, through reasonable legislative and other measures’.33 This fundamental right, which scholars refer to as the prima facie origin of South Africa's PTD, illustrates an implicit PTD as it mandates the South African government to protect the environment for its citizens without expressly labelling it a PTD.34 On this basis, South Africa's PTD was later </w:t>
      </w:r>
      <w:proofErr w:type="spellStart"/>
      <w:r w:rsidRPr="000A18CE">
        <w:rPr>
          <w:sz w:val="8"/>
          <w:szCs w:val="18"/>
        </w:rPr>
        <w:t>formalised</w:t>
      </w:r>
      <w:proofErr w:type="spellEnd"/>
      <w:r w:rsidRPr="000A18CE">
        <w:rPr>
          <w:sz w:val="8"/>
          <w:szCs w:val="18"/>
        </w:rPr>
        <w:t xml:space="preserve"> through statutes. For example, the National Water Act indicates:</w:t>
      </w:r>
    </w:p>
    <w:p w14:paraId="70E89AC1" w14:textId="77777777" w:rsidR="00F92D96" w:rsidRPr="000A18CE" w:rsidRDefault="00F92D96" w:rsidP="00F92D96">
      <w:pPr>
        <w:rPr>
          <w:sz w:val="8"/>
          <w:szCs w:val="18"/>
        </w:rPr>
      </w:pPr>
      <w:r w:rsidRPr="000A18CE">
        <w:rPr>
          <w:sz w:val="8"/>
          <w:szCs w:val="18"/>
        </w:rPr>
        <w:t xml:space="preserve">As the public trustee of the nation's water resources the National Government, acting through the Minister, must ensure that water is protected, used, developed, conserved, </w:t>
      </w:r>
      <w:proofErr w:type="gramStart"/>
      <w:r w:rsidRPr="000A18CE">
        <w:rPr>
          <w:sz w:val="8"/>
          <w:szCs w:val="18"/>
        </w:rPr>
        <w:t>managed</w:t>
      </w:r>
      <w:proofErr w:type="gramEnd"/>
      <w:r w:rsidRPr="000A18CE">
        <w:rPr>
          <w:sz w:val="8"/>
          <w:szCs w:val="18"/>
        </w:rPr>
        <w:t xml:space="preserve"> and controlled in a sustainable and equitable manner, for the benefit of all persons and in accordance with its constitutional mandate.35</w:t>
      </w:r>
    </w:p>
    <w:p w14:paraId="2685C511" w14:textId="77777777" w:rsidR="00F92D96" w:rsidRPr="000A18CE" w:rsidRDefault="00F92D96" w:rsidP="00F92D96">
      <w:pPr>
        <w:rPr>
          <w:sz w:val="8"/>
          <w:szCs w:val="18"/>
        </w:rPr>
      </w:pPr>
      <w:r w:rsidRPr="000A18CE">
        <w:rPr>
          <w:sz w:val="8"/>
          <w:szCs w:val="18"/>
        </w:rPr>
        <w:t xml:space="preserve">Many legal sources prescribe states with lists of duties, some of which can lead to conflicting obligations, such as to ensure water is ‘protected’ versus ‘developed’, and sometimes this requires governments or judges to make priority decisions. As another example, in Pakistan, Articles 9 and 14 of the Constitution provide the right to life and the inviolability of dignity of man, respectively.36 In the landmark Zia judgment, Pakistan's Supreme Court defined these articles as engulfing environmental rights and </w:t>
      </w:r>
      <w:proofErr w:type="spellStart"/>
      <w:r w:rsidRPr="000A18CE">
        <w:rPr>
          <w:sz w:val="8"/>
          <w:szCs w:val="18"/>
        </w:rPr>
        <w:t>recognised</w:t>
      </w:r>
      <w:proofErr w:type="spellEnd"/>
      <w:r w:rsidRPr="000A18CE">
        <w:rPr>
          <w:sz w:val="8"/>
          <w:szCs w:val="18"/>
        </w:rPr>
        <w:t xml:space="preserve"> the government's duty to ensure life is protected, including by preventing hazards in the environment and pollution of it.37 This provided a conceptual framework that was later used by judiciaries to name and thereby </w:t>
      </w:r>
      <w:proofErr w:type="spellStart"/>
      <w:r w:rsidRPr="000A18CE">
        <w:rPr>
          <w:sz w:val="8"/>
          <w:szCs w:val="18"/>
        </w:rPr>
        <w:t>formalise</w:t>
      </w:r>
      <w:proofErr w:type="spellEnd"/>
      <w:r w:rsidRPr="000A18CE">
        <w:rPr>
          <w:sz w:val="8"/>
          <w:szCs w:val="18"/>
        </w:rPr>
        <w:t xml:space="preserve"> the country's PTD through case law.38 The South African and Pakistani examples illustrate how two PTDs, which were initially implicit and eventually </w:t>
      </w:r>
      <w:proofErr w:type="spellStart"/>
      <w:r w:rsidRPr="000A18CE">
        <w:rPr>
          <w:sz w:val="8"/>
          <w:szCs w:val="18"/>
        </w:rPr>
        <w:t>formalised</w:t>
      </w:r>
      <w:proofErr w:type="spellEnd"/>
      <w:r w:rsidRPr="000A18CE">
        <w:rPr>
          <w:sz w:val="8"/>
          <w:szCs w:val="18"/>
        </w:rPr>
        <w:t xml:space="preserve"> through statutory and case law, are identifiable within the substance of pre-existing constitutional rights. </w:t>
      </w:r>
      <w:proofErr w:type="spellStart"/>
      <w:r w:rsidRPr="000A18CE">
        <w:rPr>
          <w:sz w:val="8"/>
          <w:szCs w:val="18"/>
        </w:rPr>
        <w:t>Formalised</w:t>
      </w:r>
      <w:proofErr w:type="spellEnd"/>
      <w:r w:rsidRPr="000A18CE">
        <w:rPr>
          <w:sz w:val="8"/>
          <w:szCs w:val="18"/>
        </w:rPr>
        <w:t xml:space="preserve"> and implicit PTDs can be similarly traced in other legal systems and sources.39</w:t>
      </w:r>
    </w:p>
    <w:p w14:paraId="74E5E6D4" w14:textId="77777777" w:rsidR="00F92D96" w:rsidRPr="000A18CE" w:rsidRDefault="00F92D96" w:rsidP="00F92D96">
      <w:pPr>
        <w:rPr>
          <w:sz w:val="8"/>
          <w:szCs w:val="18"/>
        </w:rPr>
      </w:pPr>
      <w:r w:rsidRPr="000A18CE">
        <w:rPr>
          <w:sz w:val="8"/>
          <w:szCs w:val="18"/>
        </w:rPr>
        <w:t>2.2. Scopes and objectives</w:t>
      </w:r>
    </w:p>
    <w:p w14:paraId="32D5420F" w14:textId="77777777" w:rsidR="00F92D96" w:rsidRPr="000A18CE" w:rsidRDefault="00F92D96" w:rsidP="00F92D96">
      <w:pPr>
        <w:rPr>
          <w:sz w:val="8"/>
          <w:szCs w:val="18"/>
        </w:rPr>
      </w:pPr>
      <w:r w:rsidRPr="000A18CE">
        <w:rPr>
          <w:sz w:val="8"/>
          <w:szCs w:val="18"/>
        </w:rPr>
        <w:t xml:space="preserve">PTDs have over time proven to be adaptable doctrines. In transitioning from purely public access and use doctrines to also being environmental ones, many PTDs have substantially changed in both scope and objective. First, the material and geographic scopes of PTDs have widened over the last five decades. Material scopes increasingly encompass more public trust resources.40 Today, air, ecologically fragile lands, forests, minerals, running waters and seashores are the most common public trust resources. Some legal systems include the atmosphere, oceans and even ‘all natural resources’.41 For PTDs with such seemingly indefinite material scopes, some judiciaries have been called upon to clarify the definition of ‘natural resources’ and the materials and substances it encompasses.42 For example, the Supreme Court of India interpreted internet access to be a natural resource held in public trust.43 Strategically invoking PTDs thus has potential to further delineate their material scopes according to new societal developments and changing environments.44 This possibility of continually adapting the natural resources that are covered might lead to problems in </w:t>
      </w:r>
      <w:proofErr w:type="spellStart"/>
      <w:r w:rsidRPr="000A18CE">
        <w:rPr>
          <w:sz w:val="8"/>
          <w:szCs w:val="18"/>
        </w:rPr>
        <w:t>analysing</w:t>
      </w:r>
      <w:proofErr w:type="spellEnd"/>
      <w:r w:rsidRPr="000A18CE">
        <w:rPr>
          <w:sz w:val="8"/>
          <w:szCs w:val="18"/>
        </w:rPr>
        <w:t xml:space="preserve"> the full potential of PTDs; however, such problems would be more theoretical than real, because applying PTDs always coincides with how fundamental rights, laws and/or regulations require states to steward specific natural resources.</w:t>
      </w:r>
    </w:p>
    <w:p w14:paraId="3A541AC8" w14:textId="77777777" w:rsidR="00F92D96" w:rsidRPr="000A18CE" w:rsidRDefault="00F92D96" w:rsidP="00F92D96">
      <w:pPr>
        <w:rPr>
          <w:sz w:val="8"/>
          <w:szCs w:val="18"/>
        </w:rPr>
      </w:pPr>
      <w:r w:rsidRPr="000A18CE">
        <w:rPr>
          <w:sz w:val="8"/>
          <w:szCs w:val="18"/>
        </w:rPr>
        <w:t>The widening of the geographic scopes of PTDs has been much more contentious across legal systems.45 While PTDs of nations inherently apply to public trust resources within their territories, the geographic scopes of PTDs become convoluted when public trust resources are held in private domains therein or when they move or extend beyond national borders. Much case law and public trust scholarship, especially from the United States, ask whether individual property rights trump state stewardship duties and the extent of state powers to regulate privately owned resources.46 Such cases determine how far state duties extend to protecting natural resources within private property. For example, in South Carolina, United States, the state has the exclusive right to control land bordering navigable waters that is below the high water mark for the public benefit.47 In McQueen v SC Coastal Council, the South Carolina Supreme Court concluded that privately-owned land that had reverted to tidelands (</w:t>
      </w:r>
      <w:proofErr w:type="spellStart"/>
      <w:r w:rsidRPr="000A18CE">
        <w:rPr>
          <w:sz w:val="8"/>
          <w:szCs w:val="18"/>
        </w:rPr>
        <w:t>ie</w:t>
      </w:r>
      <w:proofErr w:type="spellEnd"/>
      <w:r w:rsidRPr="000A18CE">
        <w:rPr>
          <w:sz w:val="8"/>
          <w:szCs w:val="18"/>
        </w:rPr>
        <w:t xml:space="preserve"> below the high water mark) due to the forces of nature and the owner's lack of vigilance in protecting it, was public trust property of the state; therefore, the owner was restricted from building the retaining walls needed to develop other parts of his land.48 This provides an example of South Carolina's PTD extending into private property. The political and economic landscapes of specific legal systems determine such private-public delineations. In response to this dilemma, Sax postulated that ‘certain interests are so particularly the gifts of nature's bounty that they ought to be reserved for the whole of the populace’.49 Withal, both sides of this debate apparently rely on Western conceptions of ownership of natural resources within national territories.50</w:t>
      </w:r>
    </w:p>
    <w:p w14:paraId="4794429F" w14:textId="77777777" w:rsidR="00F92D96" w:rsidRPr="000A18CE" w:rsidRDefault="00F92D96" w:rsidP="00F92D96">
      <w:pPr>
        <w:rPr>
          <w:sz w:val="12"/>
        </w:rPr>
      </w:pPr>
      <w:r w:rsidRPr="003B2F8B">
        <w:rPr>
          <w:rStyle w:val="StyleUnderline"/>
        </w:rPr>
        <w:t>The increasing recognition of public trust resources that transcend national territories is pressuring the geographic scopes of PTDs to adapt</w:t>
      </w:r>
      <w:r w:rsidRPr="003B2F8B">
        <w:rPr>
          <w:sz w:val="12"/>
        </w:rPr>
        <w:t xml:space="preserve">. Peter Sand provides an example in his analysis of public trusteeship and oceans. He observed that </w:t>
      </w:r>
      <w:r w:rsidRPr="003B2F8B">
        <w:rPr>
          <w:rStyle w:val="StyleUnderline"/>
        </w:rPr>
        <w:t>the geographic scopes of some PTDs traditionally required</w:t>
      </w:r>
      <w:r w:rsidRPr="005A74FF">
        <w:rPr>
          <w:rStyle w:val="StyleUnderline"/>
        </w:rPr>
        <w:t xml:space="preserve"> states to steward oceans up to the outer limits of their territorial sea, entailing up to 12 nautical miles from the low-water lines on states’ coasts</w:t>
      </w:r>
      <w:r w:rsidRPr="000A18CE">
        <w:rPr>
          <w:sz w:val="12"/>
        </w:rPr>
        <w:t>.51 States have sovereignty over their territorial sea, save the right of innocent passage for vessels.52 More recently, some states have enacted laws that require them to protect oceans at distances beyond their territorial sea.53 For example, France established an ecological protection zone that extended 60 miles beyond its territorial sea, to which several European countries followed;54 Brazil's constitution deemed its territorial waters and the natural resources of its continental shelf and exclusive economic zone to be its property, thereby requiring the state to extend its environmental protections accordingly.55 States have sovereignty over their continental shelf beyond the territorial sea, but only certain sovereign rights within the water column between the outer limits of their territorial sea and within their exclusive economic zone, which entails up to 200 nautical miles from the low-water lines on their coasts.56 This illustrates how certain states have extended the geographic scopes of their PTDs beyond their territories. Section 4 analyses additional examples and their implications on state sovereignty.</w:t>
      </w:r>
    </w:p>
    <w:p w14:paraId="1DCCB10B" w14:textId="77777777" w:rsidR="00F92D96" w:rsidRPr="00BA7AA7" w:rsidRDefault="00F92D96" w:rsidP="00F92D96">
      <w:pPr>
        <w:rPr>
          <w:sz w:val="8"/>
          <w:szCs w:val="18"/>
        </w:rPr>
      </w:pPr>
      <w:r w:rsidRPr="00BA7AA7">
        <w:rPr>
          <w:sz w:val="8"/>
          <w:szCs w:val="18"/>
        </w:rPr>
        <w:t xml:space="preserve">The objectives of PTDs have also adapted during this transition. Historical objectives include ensuring that the public has access and use rights of natural resources, including for commerce, fishing and navigation.57 These objectives continue to persist and remain central to public trust litigation and scholarship within certain jurisdictions, like in the United States.58 More recently pursued environmental objectives include: conservation, the equitable distribution of natural resources, sustainable development, pollution protection, recreation and ecology.59 For example, in India in 2009, the Supreme Court </w:t>
      </w:r>
      <w:proofErr w:type="spellStart"/>
      <w:r w:rsidRPr="00BA7AA7">
        <w:rPr>
          <w:sz w:val="8"/>
          <w:szCs w:val="18"/>
        </w:rPr>
        <w:t>recognised</w:t>
      </w:r>
      <w:proofErr w:type="spellEnd"/>
      <w:r w:rsidRPr="00BA7AA7">
        <w:rPr>
          <w:sz w:val="8"/>
          <w:szCs w:val="18"/>
        </w:rPr>
        <w:t xml:space="preserve"> that ‘[t]he Indian society has, since time immemorial, been conscious of the necessity of protecting environment and ecology’.60 This public trust judgment, albeit one of many judgments contributing to the development of India's PTD, describes humans harmoniously living with nature and respecting Earth with traditional knowledge. Judiciaries beyond India have also motivated the ecological objective of PTDs with the protection of fundamental rights, whereby states causing or permitting ecological harm was attributed to human rights violations.61 Such environmental objectives are apparent in recent and ongoing public trust litigation, like the Zia judgment introduced in Section 2.1.62 This rise in environmental objectives has run parallel to many states and international law instruments advancing environmental stewardship efforts. However, as introduced in the South African example above, invoking PTDs often requires asking whether the public would benefit more from economic development in exploiting natural resources or more from environmental protection. This balancing act is at the core of much public trust litigation and has been the inquiry of much public trust scholarship.</w:t>
      </w:r>
    </w:p>
    <w:p w14:paraId="50B0C052" w14:textId="77777777" w:rsidR="00F92D96" w:rsidRPr="00BA7AA7" w:rsidRDefault="00F92D96" w:rsidP="00F92D96">
      <w:pPr>
        <w:rPr>
          <w:sz w:val="8"/>
          <w:szCs w:val="18"/>
        </w:rPr>
      </w:pPr>
      <w:r w:rsidRPr="00BA7AA7">
        <w:rPr>
          <w:sz w:val="8"/>
          <w:szCs w:val="18"/>
        </w:rPr>
        <w:t xml:space="preserve">Additional objectives of PTDs can be explored in other legal developments. One example involves the recognition of Indigenous Peoples as stewards or co-stewards of natural resources. 144 member states of the United Nations General Assembly voted to adopt the Declaration on the Rights of Indigenous Peoples.63 In signing this declaration, states acknowledged the Article 29 right of Indigenous Peoples to conserve and protect the environment and their lands and natural resources.64 Furthermore, 24 states ratified the Indigenous and Tribal Peoples Convention.65 Article 7(4) provides that ‘governments shall take measures, in co-operation with the peoples concerned, to protect and preserve the environment of the territories they inhabit’.66 State parties with PTDs are thus obliged to cooperate with Indigenous Peoples in their stewardship duties of protecting and preserving such areas. How Article 7(4) of the Convention has been implemented at the national level will be </w:t>
      </w:r>
      <w:proofErr w:type="spellStart"/>
      <w:r w:rsidRPr="00BA7AA7">
        <w:rPr>
          <w:sz w:val="8"/>
          <w:szCs w:val="18"/>
        </w:rPr>
        <w:t>analysed</w:t>
      </w:r>
      <w:proofErr w:type="spellEnd"/>
      <w:r w:rsidRPr="00BA7AA7">
        <w:rPr>
          <w:sz w:val="8"/>
          <w:szCs w:val="18"/>
        </w:rPr>
        <w:t xml:space="preserve"> in Section 3.3. For the purposes of this background section, states that implement the Declaration67 and/or the Convention68 should respectively </w:t>
      </w:r>
      <w:proofErr w:type="spellStart"/>
      <w:r w:rsidRPr="00BA7AA7">
        <w:rPr>
          <w:sz w:val="8"/>
          <w:szCs w:val="18"/>
        </w:rPr>
        <w:t>recognise</w:t>
      </w:r>
      <w:proofErr w:type="spellEnd"/>
      <w:r w:rsidRPr="00BA7AA7">
        <w:rPr>
          <w:sz w:val="8"/>
          <w:szCs w:val="18"/>
        </w:rPr>
        <w:t xml:space="preserve"> Indigenous Peoples as independent and/or co-operative stewards of their territories. If states implement these international law instruments and </w:t>
      </w:r>
      <w:proofErr w:type="spellStart"/>
      <w:r w:rsidRPr="00BA7AA7">
        <w:rPr>
          <w:sz w:val="8"/>
          <w:szCs w:val="18"/>
        </w:rPr>
        <w:t>honour</w:t>
      </w:r>
      <w:proofErr w:type="spellEnd"/>
      <w:r w:rsidRPr="00BA7AA7">
        <w:rPr>
          <w:sz w:val="8"/>
          <w:szCs w:val="18"/>
        </w:rPr>
        <w:t xml:space="preserve"> Indigenous Peoples’ right to self-determination, PTDs could move towards an additional objective of environmental </w:t>
      </w:r>
      <w:proofErr w:type="spellStart"/>
      <w:r w:rsidRPr="00BA7AA7">
        <w:rPr>
          <w:sz w:val="8"/>
          <w:szCs w:val="18"/>
        </w:rPr>
        <w:t>decolonisation</w:t>
      </w:r>
      <w:proofErr w:type="spellEnd"/>
      <w:r w:rsidRPr="00BA7AA7">
        <w:rPr>
          <w:sz w:val="8"/>
          <w:szCs w:val="18"/>
        </w:rPr>
        <w:t>.</w:t>
      </w:r>
    </w:p>
    <w:p w14:paraId="27CEF503" w14:textId="77777777" w:rsidR="00F92D96" w:rsidRPr="00BA7AA7" w:rsidRDefault="00F92D96" w:rsidP="00F92D96">
      <w:pPr>
        <w:rPr>
          <w:sz w:val="8"/>
          <w:szCs w:val="18"/>
        </w:rPr>
      </w:pPr>
      <w:r w:rsidRPr="00BA7AA7">
        <w:rPr>
          <w:sz w:val="8"/>
          <w:szCs w:val="18"/>
        </w:rPr>
        <w:t xml:space="preserve">Overall, PTDs’ changing scopes and objectives demonstrate their adaptability. Robin </w:t>
      </w:r>
      <w:proofErr w:type="spellStart"/>
      <w:r w:rsidRPr="00BA7AA7">
        <w:rPr>
          <w:sz w:val="8"/>
          <w:szCs w:val="18"/>
        </w:rPr>
        <w:t>Kundis</w:t>
      </w:r>
      <w:proofErr w:type="spellEnd"/>
      <w:r w:rsidRPr="00BA7AA7">
        <w:rPr>
          <w:sz w:val="8"/>
          <w:szCs w:val="18"/>
        </w:rPr>
        <w:t xml:space="preserve"> Craig argues that PTDs’ adaptability is related to their responsiveness to ‘new information, new articulations of values, and new public and private needs and opportunities’.69 Her theory is supported by the fact that decades of environmental and Indigenous activism, research in environmental sciences and new legislation and litigation foreran PTDs becoming environmental doctrines. For example, numerous environmental laws and regulations were adopted across the United States in the 1960s and 1970s, providing a basis for invoking environmental rights in public trust litigation.70 Redwood National Park was established through legislation in 1968.71 In Sierra Club v US Department of the Interior in 1975, the court reviewed research on damage and threats of damage to this park and </w:t>
      </w:r>
      <w:proofErr w:type="spellStart"/>
      <w:r w:rsidRPr="00BA7AA7">
        <w:rPr>
          <w:sz w:val="8"/>
          <w:szCs w:val="18"/>
        </w:rPr>
        <w:t>recognised</w:t>
      </w:r>
      <w:proofErr w:type="spellEnd"/>
      <w:r w:rsidRPr="00BA7AA7">
        <w:rPr>
          <w:sz w:val="8"/>
          <w:szCs w:val="18"/>
        </w:rPr>
        <w:t xml:space="preserve"> the National Park Service's trust duty ‘to conserve scenery and natural and historic objects and wildlife … and to provide for the enjoyment of the same in such manner … as will leave them unimpaired for the enjoyment of future generations’.72 While motivated on the enjoyment of future generations, the court ordered the Secretary of Interior to afford protections to Redwood National Park against the adverse consequences of timbering and land-use practices.73 This demonstrates how research and new legislation helped focus a PTD on environmental protection and not purely on public use or commerce.74 While all PTDs differ, including in their legal sources, scopes and objectives, their common receptiveness to new information, values and needs, as Craig postulates, allows their application to persist through the ever-changing environment.75 Strategically </w:t>
      </w:r>
      <w:proofErr w:type="spellStart"/>
      <w:r w:rsidRPr="00BA7AA7">
        <w:rPr>
          <w:sz w:val="8"/>
          <w:szCs w:val="18"/>
        </w:rPr>
        <w:t>utilising</w:t>
      </w:r>
      <w:proofErr w:type="spellEnd"/>
      <w:r w:rsidRPr="00BA7AA7">
        <w:rPr>
          <w:sz w:val="8"/>
          <w:szCs w:val="18"/>
        </w:rPr>
        <w:t xml:space="preserve"> this adaptability offers a unique opportunity to attune diverse legal systems that have PTDs to the same novel global environmental issues.</w:t>
      </w:r>
    </w:p>
    <w:p w14:paraId="499A4B28" w14:textId="77777777" w:rsidR="00F92D96" w:rsidRPr="000A18CE" w:rsidRDefault="00F92D96" w:rsidP="00F92D96">
      <w:pPr>
        <w:rPr>
          <w:sz w:val="12"/>
        </w:rPr>
      </w:pPr>
      <w:r w:rsidRPr="000A18CE">
        <w:rPr>
          <w:sz w:val="12"/>
        </w:rPr>
        <w:t>2.3. Application to global environmental issues</w:t>
      </w:r>
    </w:p>
    <w:p w14:paraId="3F4219EB" w14:textId="77777777" w:rsidR="00F92D96" w:rsidRPr="000A18CE" w:rsidRDefault="00F92D96" w:rsidP="00F92D96">
      <w:pPr>
        <w:rPr>
          <w:sz w:val="12"/>
        </w:rPr>
      </w:pPr>
      <w:r w:rsidRPr="000A18CE">
        <w:rPr>
          <w:sz w:val="12"/>
        </w:rPr>
        <w:t xml:space="preserve">This sub-section </w:t>
      </w:r>
      <w:r w:rsidRPr="00DA7873">
        <w:rPr>
          <w:sz w:val="12"/>
        </w:rPr>
        <w:t xml:space="preserve">argues that </w:t>
      </w:r>
      <w:r w:rsidRPr="00DA7873">
        <w:rPr>
          <w:rStyle w:val="StyleUnderline"/>
        </w:rPr>
        <w:t>PTDs are suitable doctrines for holding public authorities accountable for</w:t>
      </w:r>
      <w:r w:rsidRPr="0007305B">
        <w:rPr>
          <w:rStyle w:val="StyleUnderline"/>
        </w:rPr>
        <w:t xml:space="preserve"> global environmental issues for four reasons, as demonstrated using climate change as an example</w:t>
      </w:r>
      <w:r w:rsidRPr="000A18CE">
        <w:rPr>
          <w:sz w:val="12"/>
        </w:rPr>
        <w:t xml:space="preserve">. </w:t>
      </w:r>
      <w:r w:rsidRPr="0007305B">
        <w:rPr>
          <w:rStyle w:val="StyleUnderline"/>
        </w:rPr>
        <w:t xml:space="preserve">First, </w:t>
      </w:r>
      <w:r w:rsidRPr="000A18CE">
        <w:rPr>
          <w:rStyle w:val="StyleUnderline"/>
          <w:highlight w:val="yellow"/>
        </w:rPr>
        <w:t xml:space="preserve">PTDs are </w:t>
      </w:r>
      <w:r w:rsidRPr="00BA7AA7">
        <w:rPr>
          <w:rStyle w:val="Emphasis"/>
          <w:highlight w:val="yellow"/>
        </w:rPr>
        <w:t>receptive to new info</w:t>
      </w:r>
      <w:r w:rsidRPr="000A18CE">
        <w:rPr>
          <w:rStyle w:val="StyleUnderline"/>
        </w:rPr>
        <w:t>rmation</w:t>
      </w:r>
      <w:r w:rsidRPr="000A18CE">
        <w:rPr>
          <w:sz w:val="12"/>
        </w:rPr>
        <w:t xml:space="preserve">.76 Climatology and attribution studies77 have already motivated legislation and litigation that aim to redirect state stewardship duties towards this global issue and towards protecting specific public trust resources, such as the atmosphere.78 Several litigation examples will be explored in Section 4. This reflects when prior evidence on environmental degradation led lawmakers and judiciaries to write new law79 and widen the material scopes of many PTDs.80 </w:t>
      </w:r>
      <w:r w:rsidRPr="0007305B">
        <w:rPr>
          <w:rStyle w:val="StyleUnderline"/>
        </w:rPr>
        <w:t xml:space="preserve">Second, </w:t>
      </w:r>
      <w:r w:rsidRPr="000A18CE">
        <w:rPr>
          <w:rStyle w:val="StyleUnderline"/>
        </w:rPr>
        <w:t>applying</w:t>
      </w:r>
      <w:r w:rsidRPr="0007305B">
        <w:rPr>
          <w:rStyle w:val="StyleUnderline"/>
        </w:rPr>
        <w:t xml:space="preserve"> PTDs in </w:t>
      </w:r>
      <w:r w:rsidRPr="00DA7873">
        <w:rPr>
          <w:rStyle w:val="StyleUnderline"/>
        </w:rPr>
        <w:t xml:space="preserve">litigation </w:t>
      </w:r>
      <w:r w:rsidRPr="003B2F8B">
        <w:rPr>
          <w:rStyle w:val="StyleUnderline"/>
        </w:rPr>
        <w:t>can</w:t>
      </w:r>
      <w:r w:rsidRPr="0007305B">
        <w:rPr>
          <w:rStyle w:val="StyleUnderline"/>
        </w:rPr>
        <w:t xml:space="preserve"> </w:t>
      </w:r>
      <w:r w:rsidRPr="00BA7AA7">
        <w:rPr>
          <w:rStyle w:val="Emphasis"/>
        </w:rPr>
        <w:t xml:space="preserve">publicly </w:t>
      </w:r>
      <w:r w:rsidRPr="00BA7AA7">
        <w:rPr>
          <w:rStyle w:val="Emphasis"/>
          <w:highlight w:val="yellow"/>
        </w:rPr>
        <w:t>highlight</w:t>
      </w:r>
      <w:r w:rsidRPr="00BA7AA7">
        <w:rPr>
          <w:rStyle w:val="Emphasis"/>
        </w:rPr>
        <w:t xml:space="preserve"> the </w:t>
      </w:r>
      <w:r w:rsidRPr="00BA7AA7">
        <w:rPr>
          <w:rStyle w:val="Emphasis"/>
          <w:highlight w:val="yellow"/>
        </w:rPr>
        <w:t>adverse impacts</w:t>
      </w:r>
      <w:r w:rsidRPr="0007305B">
        <w:rPr>
          <w:rStyle w:val="StyleUnderline"/>
        </w:rPr>
        <w:t xml:space="preserve"> of global environmental issues, including impacts on public trust resources and related rights, such as the environmental rights of humans</w:t>
      </w:r>
      <w:r w:rsidRPr="000A18CE">
        <w:rPr>
          <w:sz w:val="12"/>
        </w:rPr>
        <w:t xml:space="preserve">.81 A few landmark public trust cases and their media coverage have already increased public awareness on climate change and coincided with legislatures and administrations developing climate adaptation and mitigation measures.82 </w:t>
      </w:r>
      <w:r w:rsidRPr="0007305B">
        <w:rPr>
          <w:rStyle w:val="StyleUnderline"/>
        </w:rPr>
        <w:t xml:space="preserve">Third, </w:t>
      </w:r>
      <w:r w:rsidRPr="00DA7873">
        <w:rPr>
          <w:rStyle w:val="StyleUnderline"/>
        </w:rPr>
        <w:t xml:space="preserve">judiciaries can use PTDs to </w:t>
      </w:r>
      <w:r w:rsidRPr="00DA7873">
        <w:rPr>
          <w:rStyle w:val="Emphasis"/>
        </w:rPr>
        <w:t xml:space="preserve">further </w:t>
      </w:r>
      <w:r w:rsidRPr="00BA7AA7">
        <w:rPr>
          <w:rStyle w:val="Emphasis"/>
          <w:highlight w:val="yellow"/>
        </w:rPr>
        <w:t>delineate public and private rights</w:t>
      </w:r>
      <w:r w:rsidRPr="0007305B">
        <w:rPr>
          <w:rStyle w:val="StyleUnderline"/>
        </w:rPr>
        <w:t xml:space="preserve"> according to measures required to combat global environmental issues</w:t>
      </w:r>
      <w:r w:rsidRPr="000A18CE">
        <w:rPr>
          <w:sz w:val="12"/>
        </w:rPr>
        <w:t xml:space="preserve">. Much scholarly debate on this issue has occurred within the United States.83 Although such delineations might empower regulatory states, strengthening environmental protections against issues in the past has proven to enhance public welfare overtime.84 Preventing or reducing climate change would have a similar effect, since </w:t>
      </w:r>
      <w:proofErr w:type="spellStart"/>
      <w:r w:rsidRPr="000A18CE">
        <w:rPr>
          <w:sz w:val="12"/>
        </w:rPr>
        <w:t>stabilising</w:t>
      </w:r>
      <w:proofErr w:type="spellEnd"/>
      <w:r w:rsidRPr="000A18CE">
        <w:rPr>
          <w:sz w:val="12"/>
        </w:rPr>
        <w:t xml:space="preserve"> the climate would </w:t>
      </w:r>
      <w:proofErr w:type="spellStart"/>
      <w:r w:rsidRPr="000A18CE">
        <w:rPr>
          <w:sz w:val="12"/>
        </w:rPr>
        <w:t>minimise</w:t>
      </w:r>
      <w:proofErr w:type="spellEnd"/>
      <w:r w:rsidRPr="000A18CE">
        <w:rPr>
          <w:sz w:val="12"/>
        </w:rPr>
        <w:t xml:space="preserve"> adverse impacts (mitigation) and uphold related fundamental rights. Moreover, in implementing and enforcing regulations, states indirectly fulfil their stewardship duties by partially transferring their duties to natural or legal persons.85</w:t>
      </w:r>
    </w:p>
    <w:p w14:paraId="65E924C9" w14:textId="77777777" w:rsidR="00F92D96" w:rsidRPr="000A18CE" w:rsidRDefault="00F92D96" w:rsidP="00F92D96">
      <w:pPr>
        <w:rPr>
          <w:sz w:val="12"/>
        </w:rPr>
      </w:pPr>
      <w:r w:rsidRPr="0007305B">
        <w:rPr>
          <w:rStyle w:val="StyleUnderline"/>
        </w:rPr>
        <w:t xml:space="preserve">Lastly, </w:t>
      </w:r>
      <w:r w:rsidRPr="000A18CE">
        <w:rPr>
          <w:rStyle w:val="StyleUnderline"/>
          <w:highlight w:val="yellow"/>
        </w:rPr>
        <w:t xml:space="preserve">PTDs can be applied to resources that </w:t>
      </w:r>
      <w:r w:rsidRPr="00BA7AA7">
        <w:rPr>
          <w:rStyle w:val="Emphasis"/>
          <w:highlight w:val="yellow"/>
        </w:rPr>
        <w:t>transcend national territories</w:t>
      </w:r>
      <w:r w:rsidRPr="000A18CE">
        <w:rPr>
          <w:sz w:val="12"/>
        </w:rPr>
        <w:t xml:space="preserve">. </w:t>
      </w:r>
      <w:r w:rsidRPr="0007305B">
        <w:rPr>
          <w:rStyle w:val="StyleUnderline"/>
        </w:rPr>
        <w:t xml:space="preserve">This presents various challenges </w:t>
      </w:r>
      <w:r w:rsidRPr="003B2F8B">
        <w:rPr>
          <w:rStyle w:val="StyleUnderline"/>
        </w:rPr>
        <w:t>but widening the geographic scopes of PTDs is not new and is increasingly done in both</w:t>
      </w:r>
      <w:r w:rsidRPr="0007305B">
        <w:rPr>
          <w:rStyle w:val="StyleUnderline"/>
        </w:rPr>
        <w:t xml:space="preserve"> national and international legal systems</w:t>
      </w:r>
      <w:r w:rsidRPr="000A18CE">
        <w:rPr>
          <w:sz w:val="12"/>
        </w:rPr>
        <w:t>. In a comparison of the geographic scopes of PTDs across sub-national states within the United States, Mary Turnipseed and colleagues noted:</w:t>
      </w:r>
    </w:p>
    <w:p w14:paraId="3C3519BF" w14:textId="77777777" w:rsidR="00F92D96" w:rsidRPr="000A18CE" w:rsidRDefault="00F92D96" w:rsidP="00F92D96">
      <w:pPr>
        <w:rPr>
          <w:sz w:val="12"/>
        </w:rPr>
      </w:pPr>
      <w:r w:rsidRPr="000A18CE">
        <w:rPr>
          <w:sz w:val="12"/>
        </w:rPr>
        <w:t>That the doctrine exists only at the state level seems illogical, given the enormous expanse of ocean waters outside of coastal states’ jurisdictions, the large area of terrestrial lands under the jurisdiction of the federal government, and the unequivocal evidence that ecosystem functions and connections cross the artificial boundaries set by state and federal jurisdictions.86</w:t>
      </w:r>
    </w:p>
    <w:p w14:paraId="5C298F59" w14:textId="77777777" w:rsidR="00F92D96" w:rsidRPr="000A18CE" w:rsidRDefault="00F92D96" w:rsidP="00F92D96">
      <w:pPr>
        <w:rPr>
          <w:sz w:val="12"/>
        </w:rPr>
      </w:pPr>
      <w:r w:rsidRPr="0007305B">
        <w:rPr>
          <w:rStyle w:val="StyleUnderline"/>
        </w:rPr>
        <w:t>While PTDs developed within national</w:t>
      </w:r>
      <w:r w:rsidRPr="000A18CE">
        <w:rPr>
          <w:sz w:val="12"/>
        </w:rPr>
        <w:t xml:space="preserve"> or, in some </w:t>
      </w:r>
      <w:r w:rsidRPr="0007305B">
        <w:rPr>
          <w:rStyle w:val="StyleUnderline"/>
        </w:rPr>
        <w:t>federations</w:t>
      </w:r>
      <w:r w:rsidRPr="000A18CE">
        <w:rPr>
          <w:sz w:val="12"/>
        </w:rPr>
        <w:t xml:space="preserve">, sub-national territories, </w:t>
      </w:r>
      <w:r w:rsidRPr="0007305B">
        <w:rPr>
          <w:rStyle w:val="StyleUnderline"/>
        </w:rPr>
        <w:t>territorially-restricting their geographic scopes can hardly be effective or justified within the context of global environmental issues, which pose threats to public trust resources and related human rights</w:t>
      </w:r>
      <w:r w:rsidRPr="000A18CE">
        <w:rPr>
          <w:sz w:val="12"/>
        </w:rPr>
        <w:t xml:space="preserve">.87 However, this understanding has been considered a ‘significant departure from the doctrine as it has been traditionally applied’.88 Section 4 will explore how PTDs are nevertheless </w:t>
      </w:r>
      <w:proofErr w:type="spellStart"/>
      <w:r w:rsidRPr="000A18CE">
        <w:rPr>
          <w:sz w:val="12"/>
        </w:rPr>
        <w:t>transnationalising</w:t>
      </w:r>
      <w:proofErr w:type="spellEnd"/>
      <w:r w:rsidRPr="000A18CE">
        <w:rPr>
          <w:sz w:val="12"/>
        </w:rPr>
        <w:t>.</w:t>
      </w:r>
    </w:p>
    <w:p w14:paraId="416D36CD" w14:textId="77777777" w:rsidR="00F92D96" w:rsidRPr="00BA7AA7" w:rsidRDefault="00F92D96" w:rsidP="00F92D96">
      <w:pPr>
        <w:rPr>
          <w:sz w:val="8"/>
          <w:szCs w:val="18"/>
        </w:rPr>
      </w:pPr>
      <w:r w:rsidRPr="00BA7AA7">
        <w:rPr>
          <w:sz w:val="8"/>
          <w:szCs w:val="18"/>
        </w:rPr>
        <w:t xml:space="preserve">3. The </w:t>
      </w:r>
      <w:proofErr w:type="spellStart"/>
      <w:r w:rsidRPr="00BA7AA7">
        <w:rPr>
          <w:sz w:val="8"/>
          <w:szCs w:val="18"/>
        </w:rPr>
        <w:t>internationalisation</w:t>
      </w:r>
      <w:proofErr w:type="spellEnd"/>
      <w:r w:rsidRPr="00BA7AA7">
        <w:rPr>
          <w:sz w:val="8"/>
          <w:szCs w:val="18"/>
        </w:rPr>
        <w:t xml:space="preserve"> of public trust doctrines</w:t>
      </w:r>
    </w:p>
    <w:p w14:paraId="15DC3EC7" w14:textId="77777777" w:rsidR="00F92D96" w:rsidRPr="00BA7AA7" w:rsidRDefault="00F92D96" w:rsidP="00F92D96">
      <w:pPr>
        <w:rPr>
          <w:sz w:val="8"/>
          <w:szCs w:val="18"/>
        </w:rPr>
      </w:pPr>
      <w:r w:rsidRPr="00BA7AA7">
        <w:rPr>
          <w:sz w:val="8"/>
          <w:szCs w:val="18"/>
        </w:rPr>
        <w:t xml:space="preserve">PTDs have </w:t>
      </w:r>
      <w:proofErr w:type="spellStart"/>
      <w:r w:rsidRPr="00BA7AA7">
        <w:rPr>
          <w:sz w:val="8"/>
          <w:szCs w:val="18"/>
        </w:rPr>
        <w:t>internationalised</w:t>
      </w:r>
      <w:proofErr w:type="spellEnd"/>
      <w:r w:rsidRPr="00BA7AA7">
        <w:rPr>
          <w:sz w:val="8"/>
          <w:szCs w:val="18"/>
        </w:rPr>
        <w:t xml:space="preserve"> over recent decades and now exist in numerous national and international legal systems.89 Table 1 </w:t>
      </w:r>
      <w:proofErr w:type="spellStart"/>
      <w:r w:rsidRPr="00BA7AA7">
        <w:rPr>
          <w:sz w:val="8"/>
          <w:szCs w:val="18"/>
        </w:rPr>
        <w:t>summarises</w:t>
      </w:r>
      <w:proofErr w:type="spellEnd"/>
      <w:r w:rsidRPr="00BA7AA7">
        <w:rPr>
          <w:sz w:val="8"/>
          <w:szCs w:val="18"/>
        </w:rPr>
        <w:t xml:space="preserve"> three key observed </w:t>
      </w:r>
      <w:proofErr w:type="spellStart"/>
      <w:r w:rsidRPr="00BA7AA7">
        <w:rPr>
          <w:sz w:val="8"/>
          <w:szCs w:val="18"/>
        </w:rPr>
        <w:t>internationalisation</w:t>
      </w:r>
      <w:proofErr w:type="spellEnd"/>
      <w:r w:rsidRPr="00BA7AA7">
        <w:rPr>
          <w:sz w:val="8"/>
          <w:szCs w:val="18"/>
        </w:rPr>
        <w:t xml:space="preserve"> processes: (1) states spreading them to other national and/or international legal systems; (2) states applying international environmental law principles that inform PTDs; and (3) states adopting international law instruments containing public trust regimes. In defining these processes, the following three sub-sections reveal how PTDs have arisen and disseminated across the globe.</w:t>
      </w:r>
    </w:p>
    <w:p w14:paraId="3D6105C6" w14:textId="77777777" w:rsidR="00F92D96" w:rsidRPr="00BA7AA7" w:rsidRDefault="00F92D96" w:rsidP="00F92D96">
      <w:pPr>
        <w:rPr>
          <w:sz w:val="8"/>
          <w:szCs w:val="18"/>
        </w:rPr>
      </w:pPr>
      <w:r w:rsidRPr="00BA7AA7">
        <w:rPr>
          <w:sz w:val="8"/>
          <w:szCs w:val="18"/>
        </w:rPr>
        <w:t xml:space="preserve">Table 1. Processes for </w:t>
      </w:r>
      <w:proofErr w:type="spellStart"/>
      <w:r w:rsidRPr="00BA7AA7">
        <w:rPr>
          <w:sz w:val="8"/>
          <w:szCs w:val="18"/>
        </w:rPr>
        <w:t>internationalising</w:t>
      </w:r>
      <w:proofErr w:type="spellEnd"/>
      <w:r w:rsidRPr="00BA7AA7">
        <w:rPr>
          <w:sz w:val="8"/>
          <w:szCs w:val="18"/>
        </w:rPr>
        <w:t xml:space="preserve"> PTDs</w:t>
      </w:r>
    </w:p>
    <w:p w14:paraId="4E276095" w14:textId="77777777" w:rsidR="00F92D96" w:rsidRPr="00BA7AA7" w:rsidRDefault="00F92D96" w:rsidP="00F92D96">
      <w:pPr>
        <w:rPr>
          <w:sz w:val="8"/>
          <w:szCs w:val="18"/>
        </w:rPr>
      </w:pPr>
      <w:proofErr w:type="spellStart"/>
      <w:r w:rsidRPr="00BA7AA7">
        <w:rPr>
          <w:sz w:val="8"/>
          <w:szCs w:val="18"/>
        </w:rPr>
        <w:t>CSVDisplay</w:t>
      </w:r>
      <w:proofErr w:type="spellEnd"/>
      <w:r w:rsidRPr="00BA7AA7">
        <w:rPr>
          <w:sz w:val="8"/>
          <w:szCs w:val="18"/>
        </w:rPr>
        <w:t xml:space="preserve"> Table</w:t>
      </w:r>
    </w:p>
    <w:p w14:paraId="57B1244C" w14:textId="77777777" w:rsidR="00F92D96" w:rsidRPr="00BA7AA7" w:rsidRDefault="00F92D96" w:rsidP="00F92D96">
      <w:pPr>
        <w:rPr>
          <w:sz w:val="8"/>
          <w:szCs w:val="18"/>
        </w:rPr>
      </w:pPr>
      <w:r w:rsidRPr="00BA7AA7">
        <w:rPr>
          <w:sz w:val="8"/>
          <w:szCs w:val="18"/>
        </w:rPr>
        <w:t xml:space="preserve">Much public trust scholarship on </w:t>
      </w:r>
      <w:proofErr w:type="spellStart"/>
      <w:r w:rsidRPr="00BA7AA7">
        <w:rPr>
          <w:sz w:val="8"/>
          <w:szCs w:val="18"/>
        </w:rPr>
        <w:t>internationalisation</w:t>
      </w:r>
      <w:proofErr w:type="spellEnd"/>
      <w:r w:rsidRPr="00BA7AA7">
        <w:rPr>
          <w:sz w:val="8"/>
          <w:szCs w:val="18"/>
        </w:rPr>
        <w:t xml:space="preserve"> focuses on the </w:t>
      </w:r>
      <w:proofErr w:type="spellStart"/>
      <w:r w:rsidRPr="00BA7AA7">
        <w:rPr>
          <w:sz w:val="8"/>
          <w:szCs w:val="18"/>
        </w:rPr>
        <w:t>formalisation</w:t>
      </w:r>
      <w:proofErr w:type="spellEnd"/>
      <w:r w:rsidRPr="00BA7AA7">
        <w:rPr>
          <w:sz w:val="8"/>
          <w:szCs w:val="18"/>
        </w:rPr>
        <w:t xml:space="preserve"> of PTDs and how one legal system's PTD references or builds on another's. Such analytical approaches tend to neglect how PTDs are specific to individual legal systems, including their interrelations to pre-existing stewardship duties, and the more active influences of other legal systems. Natasha </w:t>
      </w:r>
      <w:proofErr w:type="spellStart"/>
      <w:r w:rsidRPr="00BA7AA7">
        <w:rPr>
          <w:sz w:val="8"/>
          <w:szCs w:val="18"/>
        </w:rPr>
        <w:t>Affolder</w:t>
      </w:r>
      <w:proofErr w:type="spellEnd"/>
      <w:r w:rsidRPr="00BA7AA7">
        <w:rPr>
          <w:sz w:val="8"/>
          <w:szCs w:val="18"/>
        </w:rPr>
        <w:t xml:space="preserve"> cautions against providing ‘ahistorical, de-</w:t>
      </w:r>
      <w:proofErr w:type="spellStart"/>
      <w:r w:rsidRPr="00BA7AA7">
        <w:rPr>
          <w:sz w:val="8"/>
          <w:szCs w:val="18"/>
        </w:rPr>
        <w:t>contextualised</w:t>
      </w:r>
      <w:proofErr w:type="spellEnd"/>
      <w:r w:rsidRPr="00BA7AA7">
        <w:rPr>
          <w:sz w:val="8"/>
          <w:szCs w:val="18"/>
        </w:rPr>
        <w:t xml:space="preserve"> and passive accounts of law's movement’ to avoid the risks of erasing what was present before and simplifying dynamic processes.90 Building on </w:t>
      </w:r>
      <w:proofErr w:type="spellStart"/>
      <w:r w:rsidRPr="00BA7AA7">
        <w:rPr>
          <w:sz w:val="8"/>
          <w:szCs w:val="18"/>
        </w:rPr>
        <w:t>Affolder's</w:t>
      </w:r>
      <w:proofErr w:type="spellEnd"/>
      <w:r w:rsidRPr="00BA7AA7">
        <w:rPr>
          <w:sz w:val="8"/>
          <w:szCs w:val="18"/>
        </w:rPr>
        <w:t xml:space="preserve"> warning, this section offers a conceptual framework for critically </w:t>
      </w:r>
      <w:proofErr w:type="spellStart"/>
      <w:r w:rsidRPr="00BA7AA7">
        <w:rPr>
          <w:sz w:val="8"/>
          <w:szCs w:val="18"/>
        </w:rPr>
        <w:t>analysing</w:t>
      </w:r>
      <w:proofErr w:type="spellEnd"/>
      <w:r w:rsidRPr="00BA7AA7">
        <w:rPr>
          <w:sz w:val="8"/>
          <w:szCs w:val="18"/>
        </w:rPr>
        <w:t xml:space="preserve"> the </w:t>
      </w:r>
      <w:proofErr w:type="spellStart"/>
      <w:r w:rsidRPr="00BA7AA7">
        <w:rPr>
          <w:sz w:val="8"/>
          <w:szCs w:val="18"/>
        </w:rPr>
        <w:t>internationalisation</w:t>
      </w:r>
      <w:proofErr w:type="spellEnd"/>
      <w:r w:rsidRPr="00BA7AA7">
        <w:rPr>
          <w:sz w:val="8"/>
          <w:szCs w:val="18"/>
        </w:rPr>
        <w:t xml:space="preserve"> of PTDs.</w:t>
      </w:r>
    </w:p>
    <w:p w14:paraId="41CA4E3A" w14:textId="77777777" w:rsidR="00F92D96" w:rsidRPr="00BA7AA7" w:rsidRDefault="00F92D96" w:rsidP="00F92D96">
      <w:pPr>
        <w:rPr>
          <w:sz w:val="8"/>
          <w:szCs w:val="18"/>
        </w:rPr>
      </w:pPr>
      <w:r w:rsidRPr="00BA7AA7">
        <w:rPr>
          <w:sz w:val="8"/>
          <w:szCs w:val="18"/>
        </w:rPr>
        <w:t>3.1. Spreading across legal systems</w:t>
      </w:r>
    </w:p>
    <w:p w14:paraId="0927E004" w14:textId="77777777" w:rsidR="00F92D96" w:rsidRPr="00BA7AA7" w:rsidRDefault="00F92D96" w:rsidP="00F92D96">
      <w:pPr>
        <w:rPr>
          <w:sz w:val="8"/>
          <w:szCs w:val="18"/>
        </w:rPr>
      </w:pPr>
      <w:r w:rsidRPr="00BA7AA7">
        <w:rPr>
          <w:sz w:val="8"/>
          <w:szCs w:val="18"/>
        </w:rPr>
        <w:t>More and more legal systems have PTDs. This is the result of PTDs developing internal to and/or being transplanted into national and international legal systems. On one hand, some PTDs have formed internally without much external influence. These PTDs have been identified in natural law, influenced by Indigenous stewardship systems and/or expressly or implicitly featured in legislative and judicial sources. For example, as mentioned in Sections 2.1 and 2.2, Justinian and the Supreme Court of India identified the laws of nature as an internal influence on the development of the respective PTDs.91 On the other hand, the movement of PTDs involves them developing with influence from other legal systems. Such external influences have been documented in case law where judiciaries reference foreign public trust judgments, defined by legislatures in constitutions or statutes that are influenced by foreign or international law and/or intervened by colonial or imperial powers into legal systems. This internal-external distinction helps to understand how PTDs develop.</w:t>
      </w:r>
    </w:p>
    <w:p w14:paraId="59C99DDE" w14:textId="77777777" w:rsidR="00F92D96" w:rsidRPr="00BA7AA7" w:rsidRDefault="00F92D96" w:rsidP="00F92D96">
      <w:pPr>
        <w:rPr>
          <w:sz w:val="8"/>
          <w:szCs w:val="18"/>
        </w:rPr>
      </w:pPr>
      <w:r w:rsidRPr="00BA7AA7">
        <w:rPr>
          <w:sz w:val="8"/>
          <w:szCs w:val="18"/>
        </w:rPr>
        <w:t xml:space="preserve">Modern day PTDs are complex and cannot be credited to a single internal or external source. In addition to natural law, a 1976 amendment to the Constitution of India imposed duties on the state to protect and improve the environment and safeguard the country's forests and wild life, and on citizens to protect and improve the natural environment and to have compassion for living creatures.92 This amendment, along with the Brundtland Report and certain international instruments, have since further informed judicial interpretations and developments of India's PTD.93 This includes the Supreme Court citing key principles from the Brundtland report, including the principle of intergenerational equity, the precautionary principle and the polluter pays principles, among others, in a public trust judgment.94 The Brundtland Report provided information on critical global environmental issues and related principles to guide sustainable development in states across the globe. As the development of any given PTD cannot be reduced to a single influence or a single point in time, </w:t>
      </w:r>
      <w:proofErr w:type="spellStart"/>
      <w:r w:rsidRPr="00BA7AA7">
        <w:rPr>
          <w:sz w:val="8"/>
          <w:szCs w:val="18"/>
        </w:rPr>
        <w:t>recognising</w:t>
      </w:r>
      <w:proofErr w:type="spellEnd"/>
      <w:r w:rsidRPr="00BA7AA7">
        <w:rPr>
          <w:sz w:val="8"/>
          <w:szCs w:val="18"/>
        </w:rPr>
        <w:t xml:space="preserve"> the complexities of how and under what circumstances PTDs develop, internally and externally, is imperative to understanding their effective applications and shortcomings.</w:t>
      </w:r>
    </w:p>
    <w:p w14:paraId="26BA3221" w14:textId="77777777" w:rsidR="00F92D96" w:rsidRPr="000A18CE" w:rsidRDefault="00F92D96" w:rsidP="00F92D96">
      <w:pPr>
        <w:rPr>
          <w:sz w:val="8"/>
          <w:szCs w:val="18"/>
        </w:rPr>
      </w:pPr>
      <w:r w:rsidRPr="000A18CE">
        <w:rPr>
          <w:sz w:val="8"/>
          <w:szCs w:val="18"/>
        </w:rPr>
        <w:t xml:space="preserve">Most public trust scholarship on the movement of PTDs focuses on judiciaries referencing foreign case law. In 2012, Michael </w:t>
      </w:r>
      <w:proofErr w:type="spellStart"/>
      <w:r w:rsidRPr="000A18CE">
        <w:rPr>
          <w:sz w:val="8"/>
          <w:szCs w:val="18"/>
        </w:rPr>
        <w:t>Blumm</w:t>
      </w:r>
      <w:proofErr w:type="spellEnd"/>
      <w:r w:rsidRPr="000A18CE">
        <w:rPr>
          <w:sz w:val="8"/>
          <w:szCs w:val="18"/>
        </w:rPr>
        <w:t xml:space="preserve"> and Rachel Guthrie contributed one of the most comprehensive overviews of this </w:t>
      </w:r>
      <w:proofErr w:type="spellStart"/>
      <w:r w:rsidRPr="000A18CE">
        <w:rPr>
          <w:sz w:val="8"/>
          <w:szCs w:val="18"/>
        </w:rPr>
        <w:t>internationalisation</w:t>
      </w:r>
      <w:proofErr w:type="spellEnd"/>
      <w:r w:rsidRPr="000A18CE">
        <w:rPr>
          <w:sz w:val="8"/>
          <w:szCs w:val="18"/>
        </w:rPr>
        <w:t xml:space="preserve"> process, comparing PTDs in Brazil, Canada, Ecuador, India, Kenya, Nigeria, Pakistan, the Philippines, South Africa, </w:t>
      </w:r>
      <w:proofErr w:type="gramStart"/>
      <w:r w:rsidRPr="000A18CE">
        <w:rPr>
          <w:sz w:val="8"/>
          <w:szCs w:val="18"/>
        </w:rPr>
        <w:t>Uganda</w:t>
      </w:r>
      <w:proofErr w:type="gramEnd"/>
      <w:r w:rsidRPr="000A18CE">
        <w:rPr>
          <w:sz w:val="8"/>
          <w:szCs w:val="18"/>
        </w:rPr>
        <w:t xml:space="preserve"> and the United States.95 The study includes evaluations of how judgments </w:t>
      </w:r>
      <w:proofErr w:type="spellStart"/>
      <w:r w:rsidRPr="000A18CE">
        <w:rPr>
          <w:sz w:val="8"/>
          <w:szCs w:val="18"/>
        </w:rPr>
        <w:t>formalising</w:t>
      </w:r>
      <w:proofErr w:type="spellEnd"/>
      <w:r w:rsidRPr="000A18CE">
        <w:rPr>
          <w:sz w:val="8"/>
          <w:szCs w:val="18"/>
        </w:rPr>
        <w:t xml:space="preserve"> these PTDs reference foreign case law. It frames the PTDs of Canada, India and the United States as being ‘inherited’ from English common law and other PTDs as being derivative of PTD developments in the United States.96 While this account is supported by most scholarship and may be accurate to a certain extent, it does not consider that the chosen states are all former European colonies or settler colonial nations. Thus, to </w:t>
      </w:r>
      <w:proofErr w:type="gramStart"/>
      <w:r w:rsidRPr="000A18CE">
        <w:rPr>
          <w:sz w:val="8"/>
          <w:szCs w:val="18"/>
        </w:rPr>
        <w:t>more comprehensively understand the PTDs</w:t>
      </w:r>
      <w:proofErr w:type="gramEnd"/>
      <w:r w:rsidRPr="000A18CE">
        <w:rPr>
          <w:sz w:val="8"/>
          <w:szCs w:val="18"/>
        </w:rPr>
        <w:t xml:space="preserve"> in these and other legal systems, additional analyses of the colonial or imperial legal contexts, potential doctrinal interventionism and pre-existing Indigenous stewardship systems are required.</w:t>
      </w:r>
    </w:p>
    <w:p w14:paraId="5021E5B8" w14:textId="77777777" w:rsidR="00F92D96" w:rsidRPr="000A18CE" w:rsidRDefault="00F92D96" w:rsidP="00F92D96">
      <w:pPr>
        <w:rPr>
          <w:sz w:val="8"/>
          <w:szCs w:val="18"/>
        </w:rPr>
      </w:pPr>
      <w:r w:rsidRPr="000A18CE">
        <w:rPr>
          <w:sz w:val="8"/>
          <w:szCs w:val="18"/>
        </w:rPr>
        <w:t xml:space="preserve">How Indigenous stewardship systems of natural resources influence PTDs has received virtually no scholarly attention.97 Studies have </w:t>
      </w:r>
      <w:proofErr w:type="spellStart"/>
      <w:r w:rsidRPr="000A18CE">
        <w:rPr>
          <w:sz w:val="8"/>
          <w:szCs w:val="18"/>
        </w:rPr>
        <w:t>analysed</w:t>
      </w:r>
      <w:proofErr w:type="spellEnd"/>
      <w:r w:rsidRPr="000A18CE">
        <w:rPr>
          <w:sz w:val="8"/>
          <w:szCs w:val="18"/>
        </w:rPr>
        <w:t xml:space="preserve"> partnerships between Indigenous Peoples and settler colonial governments on environmental stewardship projects.98 They found such partnerships to depend on respect for Indigenous self-determination, knowledge and control of knowledge </w:t>
      </w:r>
      <w:proofErr w:type="spellStart"/>
      <w:r w:rsidRPr="000A18CE">
        <w:rPr>
          <w:sz w:val="8"/>
          <w:szCs w:val="18"/>
        </w:rPr>
        <w:t>mobilisation</w:t>
      </w:r>
      <w:proofErr w:type="spellEnd"/>
      <w:r w:rsidRPr="000A18CE">
        <w:rPr>
          <w:sz w:val="8"/>
          <w:szCs w:val="18"/>
        </w:rPr>
        <w:t>, and early involvement, intergenerational involvement and continuous cross-cultural education.99 However, such partnerships are rare as Western-dominated natural resource management actively suppresses traditional knowledge systems.100 These issues are beyond the scope of this article, but Indigenous stewardship practices cannot be fully detached from PTDs until additional research is conducted on: Indigenous and settler colonial government partnerships; Indigenous contributions to or co-operation in the stewardship of public trust resources; and the appropriation of Indigenous stewardship systems or active resistance against them in relation to PTDs within legal systems where Indigenous Peoples practice stewardship.</w:t>
      </w:r>
    </w:p>
    <w:p w14:paraId="3F76937E" w14:textId="77777777" w:rsidR="00F92D96" w:rsidRPr="000A18CE" w:rsidRDefault="00F92D96" w:rsidP="00F92D96">
      <w:pPr>
        <w:rPr>
          <w:sz w:val="8"/>
          <w:szCs w:val="18"/>
        </w:rPr>
      </w:pPr>
      <w:r w:rsidRPr="000A18CE">
        <w:rPr>
          <w:sz w:val="8"/>
          <w:szCs w:val="18"/>
        </w:rPr>
        <w:t>The PTDs that emerge from national constitutions and statutes may appear to be a purely internal development. However, constitutions and statutes are often influenced by other legal systems. Global constitutionalism, which itself is legal spreading, has led to disparate legal systems adopting a standard set of fundamental rights within their constitutions.101 Some of those rights are commonly used by judiciaries when identifying PTDs in case law and by legislatures when defining PTDs in statute. As described in Section 2.2, constitutions increasingly provide the right to a healthy environment and other environmental rights.102 Therefore, even when PTDs seem to have been internally developed through law, they might have still been influenced by external factors nevertheless and might benefit from critical analysis of how those external factors rest within the culture of the given legal system.</w:t>
      </w:r>
    </w:p>
    <w:p w14:paraId="430525D6" w14:textId="77777777" w:rsidR="00F92D96" w:rsidRPr="000A18CE" w:rsidRDefault="00F92D96" w:rsidP="00F92D96">
      <w:pPr>
        <w:rPr>
          <w:sz w:val="8"/>
          <w:szCs w:val="18"/>
        </w:rPr>
      </w:pPr>
      <w:r w:rsidRPr="000A18CE">
        <w:rPr>
          <w:sz w:val="8"/>
          <w:szCs w:val="18"/>
        </w:rPr>
        <w:t xml:space="preserve">This sub-section has challenged normative accounts of the spreading of PTDs to complicate this dynamic </w:t>
      </w:r>
      <w:proofErr w:type="spellStart"/>
      <w:r w:rsidRPr="000A18CE">
        <w:rPr>
          <w:sz w:val="8"/>
          <w:szCs w:val="18"/>
        </w:rPr>
        <w:t>internationalisation</w:t>
      </w:r>
      <w:proofErr w:type="spellEnd"/>
      <w:r w:rsidRPr="000A18CE">
        <w:rPr>
          <w:sz w:val="8"/>
          <w:szCs w:val="18"/>
        </w:rPr>
        <w:t xml:space="preserve"> process and to </w:t>
      </w:r>
      <w:proofErr w:type="spellStart"/>
      <w:r w:rsidRPr="000A18CE">
        <w:rPr>
          <w:sz w:val="8"/>
          <w:szCs w:val="18"/>
        </w:rPr>
        <w:t>recognise</w:t>
      </w:r>
      <w:proofErr w:type="spellEnd"/>
      <w:r w:rsidRPr="000A18CE">
        <w:rPr>
          <w:sz w:val="8"/>
          <w:szCs w:val="18"/>
        </w:rPr>
        <w:t xml:space="preserve"> the inherent potential of PTDs to be more suitable and effective doctrines moving forward. Current and past scholarship has often been limited </w:t>
      </w:r>
      <w:proofErr w:type="gramStart"/>
      <w:r w:rsidRPr="000A18CE">
        <w:rPr>
          <w:sz w:val="8"/>
          <w:szCs w:val="18"/>
        </w:rPr>
        <w:t>to:</w:t>
      </w:r>
      <w:proofErr w:type="gramEnd"/>
      <w:r w:rsidRPr="000A18CE">
        <w:rPr>
          <w:sz w:val="8"/>
          <w:szCs w:val="18"/>
        </w:rPr>
        <w:t xml:space="preserve"> studying </w:t>
      </w:r>
      <w:proofErr w:type="spellStart"/>
      <w:r w:rsidRPr="000A18CE">
        <w:rPr>
          <w:sz w:val="8"/>
          <w:szCs w:val="18"/>
        </w:rPr>
        <w:t>formalised</w:t>
      </w:r>
      <w:proofErr w:type="spellEnd"/>
      <w:r w:rsidRPr="000A18CE">
        <w:rPr>
          <w:sz w:val="8"/>
          <w:szCs w:val="18"/>
        </w:rPr>
        <w:t xml:space="preserve"> PTDs only; assuming a one-size-fits-all PTD inherited from England or the United States; and assuming a single legal source for PTDs. PTDs are also often implicit doctrines, not solely inherited from Western colonial and imperial nations and not constituted by a single source.103 For example, </w:t>
      </w:r>
      <w:proofErr w:type="spellStart"/>
      <w:r w:rsidRPr="000A18CE">
        <w:rPr>
          <w:sz w:val="8"/>
          <w:szCs w:val="18"/>
        </w:rPr>
        <w:t>recognising</w:t>
      </w:r>
      <w:proofErr w:type="spellEnd"/>
      <w:r w:rsidRPr="000A18CE">
        <w:rPr>
          <w:sz w:val="8"/>
          <w:szCs w:val="18"/>
        </w:rPr>
        <w:t xml:space="preserve"> and supporting Indigenous stewardship systems as integral parts of PTDs may make these doctrines more suitable to fulfilling their objectives; rather than propelling colonial notions of owning parts of Earth, enabling Indigenous stewardship systems may offer more effective strategies for PTDs to protect public trust resources that cannot be owned and according to their traditional contexts.104 For a more comprehensive analysis and to clarify PTDs’ functions and shortcomings, including those that LaDuke pointed out in the larger environmental movement, individual PTDs’ histories, contexts and associations with pre-existing stewardship systems must be studied in future scholarship.</w:t>
      </w:r>
    </w:p>
    <w:p w14:paraId="37894D26" w14:textId="77777777" w:rsidR="00F92D96" w:rsidRPr="000A18CE" w:rsidRDefault="00F92D96" w:rsidP="00F92D96">
      <w:pPr>
        <w:rPr>
          <w:sz w:val="8"/>
          <w:szCs w:val="18"/>
        </w:rPr>
      </w:pPr>
      <w:r w:rsidRPr="000A18CE">
        <w:rPr>
          <w:sz w:val="8"/>
          <w:szCs w:val="18"/>
        </w:rPr>
        <w:t>3.2. International environmental law principles</w:t>
      </w:r>
    </w:p>
    <w:p w14:paraId="29616C72" w14:textId="77777777" w:rsidR="00F92D96" w:rsidRPr="000A18CE" w:rsidRDefault="00F92D96" w:rsidP="00F92D96">
      <w:pPr>
        <w:rPr>
          <w:sz w:val="8"/>
          <w:szCs w:val="18"/>
        </w:rPr>
      </w:pPr>
      <w:r w:rsidRPr="000A18CE">
        <w:rPr>
          <w:sz w:val="8"/>
          <w:szCs w:val="18"/>
        </w:rPr>
        <w:t xml:space="preserve">The proliferation of certain international environmental law principles has informed the development of PTDs. The principles of intergenerational equity, prevention and the </w:t>
      </w:r>
      <w:proofErr w:type="spellStart"/>
      <w:r w:rsidRPr="000A18CE">
        <w:rPr>
          <w:sz w:val="8"/>
          <w:szCs w:val="18"/>
        </w:rPr>
        <w:t>neighbour</w:t>
      </w:r>
      <w:proofErr w:type="spellEnd"/>
      <w:r w:rsidRPr="000A18CE">
        <w:rPr>
          <w:sz w:val="8"/>
          <w:szCs w:val="18"/>
        </w:rPr>
        <w:t xml:space="preserve"> are three predominate examples that are discussed in detail in the following paragraphs. In some legal systems, these principles have explicitly been referenced within legal sources that </w:t>
      </w:r>
      <w:proofErr w:type="spellStart"/>
      <w:r w:rsidRPr="000A18CE">
        <w:rPr>
          <w:sz w:val="8"/>
          <w:szCs w:val="18"/>
        </w:rPr>
        <w:t>formalised</w:t>
      </w:r>
      <w:proofErr w:type="spellEnd"/>
      <w:r w:rsidRPr="000A18CE">
        <w:rPr>
          <w:sz w:val="8"/>
          <w:szCs w:val="18"/>
        </w:rPr>
        <w:t xml:space="preserve"> PTDs.105 Whereas in others, they have contributed to the manifestation of the public trust regimes and thereby informed </w:t>
      </w:r>
      <w:proofErr w:type="spellStart"/>
      <w:r w:rsidRPr="000A18CE">
        <w:rPr>
          <w:sz w:val="8"/>
          <w:szCs w:val="18"/>
        </w:rPr>
        <w:t>formalised</w:t>
      </w:r>
      <w:proofErr w:type="spellEnd"/>
      <w:r w:rsidRPr="000A18CE">
        <w:rPr>
          <w:sz w:val="8"/>
          <w:szCs w:val="18"/>
        </w:rPr>
        <w:t xml:space="preserve"> and implicit PTDs.106 Such processes are evident when judiciaries apply PTDs alongside these principles or base their interpretations of PTDs on them, or when international environmental law instruments containing these principles are directly applied or implemented through legislation in national legal systems with public trust regimes. This sub-section demonstrates how these principles have contributed to the </w:t>
      </w:r>
      <w:proofErr w:type="spellStart"/>
      <w:r w:rsidRPr="000A18CE">
        <w:rPr>
          <w:sz w:val="8"/>
          <w:szCs w:val="18"/>
        </w:rPr>
        <w:t>internationalisation</w:t>
      </w:r>
      <w:proofErr w:type="spellEnd"/>
      <w:r w:rsidRPr="000A18CE">
        <w:rPr>
          <w:sz w:val="8"/>
          <w:szCs w:val="18"/>
        </w:rPr>
        <w:t xml:space="preserve"> of PTDs.</w:t>
      </w:r>
    </w:p>
    <w:p w14:paraId="198A0963" w14:textId="77777777" w:rsidR="00F92D96" w:rsidRPr="000A18CE" w:rsidRDefault="00F92D96" w:rsidP="00F92D96">
      <w:pPr>
        <w:rPr>
          <w:sz w:val="8"/>
          <w:szCs w:val="18"/>
        </w:rPr>
      </w:pPr>
      <w:r w:rsidRPr="000A18CE">
        <w:rPr>
          <w:sz w:val="8"/>
          <w:szCs w:val="18"/>
        </w:rPr>
        <w:t>First, the principle of intergenerational equity has several links to PTDs.107 Edith Brown Weiss defines this principle as ‘all generations [acting as] partners caring for and using the Earth’ and passing ‘the Earth and our natural and cultural resources on in at least as good condition as we received them’.108 In 1987, the Brundtland Report called on governments to ‘fill major gaps in existing national and international law related to the environment’ and ‘</w:t>
      </w:r>
      <w:proofErr w:type="spellStart"/>
      <w:r w:rsidRPr="000A18CE">
        <w:rPr>
          <w:sz w:val="8"/>
          <w:szCs w:val="18"/>
        </w:rPr>
        <w:t>recognise</w:t>
      </w:r>
      <w:proofErr w:type="spellEnd"/>
      <w:r w:rsidRPr="000A18CE">
        <w:rPr>
          <w:sz w:val="8"/>
          <w:szCs w:val="18"/>
        </w:rPr>
        <w:t xml:space="preserve"> and protect the rights of present and future generations to an environment adequate for their health and well-being’.109 This principle has been integrated into many international law instruments110 and an increasing number of national legal systems, including through constitutions, statute and case law.111 Starting to better align with LaDuke's analysis on preserving connections between the land and its occupants through ‘intergenerational residence’, an increasing number of public trust regimes have had future generations included in their beneficiary components and their application has been guided by the fair distribution of natural resources across generations.112</w:t>
      </w:r>
    </w:p>
    <w:p w14:paraId="5F96E8BD" w14:textId="77777777" w:rsidR="00F92D96" w:rsidRPr="000A18CE" w:rsidRDefault="00F92D96" w:rsidP="00F92D96">
      <w:pPr>
        <w:rPr>
          <w:sz w:val="8"/>
          <w:szCs w:val="18"/>
        </w:rPr>
      </w:pPr>
      <w:r w:rsidRPr="000A18CE">
        <w:rPr>
          <w:sz w:val="8"/>
          <w:szCs w:val="18"/>
        </w:rPr>
        <w:t xml:space="preserve">One example can be found in the Minors </w:t>
      </w:r>
      <w:proofErr w:type="spellStart"/>
      <w:r w:rsidRPr="000A18CE">
        <w:rPr>
          <w:sz w:val="8"/>
          <w:szCs w:val="18"/>
        </w:rPr>
        <w:t>Oposa</w:t>
      </w:r>
      <w:proofErr w:type="spellEnd"/>
      <w:r w:rsidRPr="000A18CE">
        <w:rPr>
          <w:sz w:val="8"/>
          <w:szCs w:val="18"/>
        </w:rPr>
        <w:t xml:space="preserve"> v </w:t>
      </w:r>
      <w:proofErr w:type="spellStart"/>
      <w:r w:rsidRPr="000A18CE">
        <w:rPr>
          <w:sz w:val="8"/>
          <w:szCs w:val="18"/>
        </w:rPr>
        <w:t>Factoran</w:t>
      </w:r>
      <w:proofErr w:type="spellEnd"/>
      <w:r w:rsidRPr="000A18CE">
        <w:rPr>
          <w:sz w:val="8"/>
          <w:szCs w:val="18"/>
        </w:rPr>
        <w:t xml:space="preserve"> judgment.113 The Supreme Court of the Philippines considered whether the Secretary of the Department of Environment and Natural Resources could continue issuing licenses for cutting down trees in the country's forests. The Secretary's mandate included the development, management and conservation of the country's forests.114 However, the youth plaintiffs, which represented a class of everyone living in the Philippines in the present and future, argued that the acts of the Secretary constituted a ‘misappropriation and/or impairment of the natural resource property he holds in trust for the benefit of plaintiff minors and succeeding generations’ and violated their constitutional right to a balanced and healthful ecology.115 They sought the discontinuation of logging licenses on this basis. In balancing environmental protection versus economic development, the Court held that the plaintiffs’ constitutional right prevailed and this included the state's duty to prevent deforestation that would irreversibly disrupt the ecological or environmental balance.116 Further to intergenerational equity featuring within the beneficiary component of the Philippines’ public trust regime, this case also shows that the principle has been used as a benchmark for determining the extent of state stewardship duties under PTDs; it was used to measure the significance of the Secretary's duties in benefitting people even after the living plaintiffs’ time. In other jurisdictions, young generations have advocated a similar link between intergenerational equity and PTDs. This includes recent and ongoing climate change litigation where youth plaintiffs initiate judicial scrutiny of state inactions to protect public trust resources, such as the atmosphere and water, and demand state stewardship.117</w:t>
      </w:r>
    </w:p>
    <w:p w14:paraId="3B6B8954" w14:textId="77777777" w:rsidR="00F92D96" w:rsidRPr="000A18CE" w:rsidRDefault="00F92D96" w:rsidP="00F92D96">
      <w:pPr>
        <w:rPr>
          <w:sz w:val="8"/>
          <w:szCs w:val="18"/>
        </w:rPr>
      </w:pPr>
      <w:r w:rsidRPr="000A18CE">
        <w:rPr>
          <w:sz w:val="8"/>
          <w:szCs w:val="18"/>
        </w:rPr>
        <w:t xml:space="preserve">PTDs have however traditionally been applied and are still mostly applied to present day beneficiaries. Indeed, some legal systems may not be receptive to decision-making based on future generations and some judiciaries may not </w:t>
      </w:r>
      <w:proofErr w:type="spellStart"/>
      <w:r w:rsidRPr="000A18CE">
        <w:rPr>
          <w:sz w:val="8"/>
          <w:szCs w:val="18"/>
        </w:rPr>
        <w:t>recognise</w:t>
      </w:r>
      <w:proofErr w:type="spellEnd"/>
      <w:r w:rsidRPr="000A18CE">
        <w:rPr>
          <w:sz w:val="8"/>
          <w:szCs w:val="18"/>
        </w:rPr>
        <w:t xml:space="preserve"> future generations as having locus standi. Even in Minors </w:t>
      </w:r>
      <w:proofErr w:type="spellStart"/>
      <w:r w:rsidRPr="000A18CE">
        <w:rPr>
          <w:sz w:val="8"/>
          <w:szCs w:val="18"/>
        </w:rPr>
        <w:t>Oposa</w:t>
      </w:r>
      <w:proofErr w:type="spellEnd"/>
      <w:r w:rsidRPr="000A18CE">
        <w:rPr>
          <w:sz w:val="8"/>
          <w:szCs w:val="18"/>
        </w:rPr>
        <w:t>, the Court noted that intergenerational equity and responsibility was a ‘special and novel element’ of the case and locus standi to sue on behalf of future generations was limited ‘insofar as the right to a balanced and healthful ecology is concerned’.118 Public trust litigation in other legal systems may have different outcomes. Although national and international legal systems with public trust regimes increasingly entail intergenerational equity, PTDs are not synonymous with this principle.</w:t>
      </w:r>
    </w:p>
    <w:p w14:paraId="27804039" w14:textId="77777777" w:rsidR="00F92D96" w:rsidRPr="000A18CE" w:rsidRDefault="00F92D96" w:rsidP="00F92D96">
      <w:pPr>
        <w:rPr>
          <w:sz w:val="8"/>
          <w:szCs w:val="18"/>
        </w:rPr>
      </w:pPr>
      <w:r w:rsidRPr="000A18CE">
        <w:rPr>
          <w:sz w:val="8"/>
          <w:szCs w:val="18"/>
        </w:rPr>
        <w:t xml:space="preserve">Second, the principle of prevention commonly features in legal sources that define public trust regimes. This principle entails states taking measures against activities or substances that threaten the environment.119 It has become so common that international courts and tribunals even </w:t>
      </w:r>
      <w:proofErr w:type="spellStart"/>
      <w:r w:rsidRPr="000A18CE">
        <w:rPr>
          <w:sz w:val="8"/>
          <w:szCs w:val="18"/>
        </w:rPr>
        <w:t>recognise</w:t>
      </w:r>
      <w:proofErr w:type="spellEnd"/>
      <w:r w:rsidRPr="000A18CE">
        <w:rPr>
          <w:sz w:val="8"/>
          <w:szCs w:val="18"/>
        </w:rPr>
        <w:t xml:space="preserve"> it as customary international law.120 The International Court of Justice concluded that ‘the principle of prevention, as a customary rule, has its origins in the due diligence that is required of a State in its territory’.121 Although its application under international law pertains to states preventing environmental harm on their territories if it could </w:t>
      </w:r>
      <w:proofErr w:type="spellStart"/>
      <w:r w:rsidRPr="000A18CE">
        <w:rPr>
          <w:sz w:val="8"/>
          <w:szCs w:val="18"/>
        </w:rPr>
        <w:t>jeopardise</w:t>
      </w:r>
      <w:proofErr w:type="spellEnd"/>
      <w:r w:rsidRPr="000A18CE">
        <w:rPr>
          <w:sz w:val="8"/>
          <w:szCs w:val="18"/>
        </w:rPr>
        <w:t xml:space="preserve"> the rights of other states, this still demonstrates the widespread dissemination of this principle and its normative application. This principle is applied more broadly within national legal systems. Regardless, states often apply the principle of prevention to protect public trust resources and sometimes explicitly to fulfil their stewardship duties under PTDs.</w:t>
      </w:r>
    </w:p>
    <w:p w14:paraId="7E2C82FA" w14:textId="77777777" w:rsidR="00F92D96" w:rsidRPr="000A18CE" w:rsidRDefault="00F92D96" w:rsidP="00F92D96">
      <w:pPr>
        <w:rPr>
          <w:sz w:val="8"/>
          <w:szCs w:val="18"/>
        </w:rPr>
      </w:pPr>
      <w:r w:rsidRPr="000A18CE">
        <w:rPr>
          <w:sz w:val="8"/>
          <w:szCs w:val="18"/>
        </w:rPr>
        <w:t xml:space="preserve">Many legal sources of the PTDs </w:t>
      </w:r>
      <w:proofErr w:type="spellStart"/>
      <w:r w:rsidRPr="000A18CE">
        <w:rPr>
          <w:sz w:val="8"/>
          <w:szCs w:val="18"/>
        </w:rPr>
        <w:t>analysed</w:t>
      </w:r>
      <w:proofErr w:type="spellEnd"/>
      <w:r w:rsidRPr="000A18CE">
        <w:rPr>
          <w:sz w:val="8"/>
          <w:szCs w:val="18"/>
        </w:rPr>
        <w:t xml:space="preserve"> and cited in this article include the principle of prevention. For example, the 1995 Ugandan Constitution requires the state to protect natural resources on behalf of the people of Uganda and, in doing so, ‘take all possible measures to prevent or </w:t>
      </w:r>
      <w:proofErr w:type="spellStart"/>
      <w:r w:rsidRPr="000A18CE">
        <w:rPr>
          <w:sz w:val="8"/>
          <w:szCs w:val="18"/>
        </w:rPr>
        <w:t>minimise</w:t>
      </w:r>
      <w:proofErr w:type="spellEnd"/>
      <w:r w:rsidRPr="000A18CE">
        <w:rPr>
          <w:sz w:val="8"/>
          <w:szCs w:val="18"/>
        </w:rPr>
        <w:t xml:space="preserve"> damage and destruction to land, air and water resources resulting from pollution or other causes’.122 Some states have also been held to account in public trust litigation for not sufficiently preventing harm to natural resources.123 In Advocates Coalition for Development and Environment (ACODE) v Attorney General, the High Court of Uganda ruled in </w:t>
      </w:r>
      <w:proofErr w:type="spellStart"/>
      <w:r w:rsidRPr="000A18CE">
        <w:rPr>
          <w:sz w:val="8"/>
          <w:szCs w:val="18"/>
        </w:rPr>
        <w:t>favour</w:t>
      </w:r>
      <w:proofErr w:type="spellEnd"/>
      <w:r w:rsidRPr="000A18CE">
        <w:rPr>
          <w:sz w:val="8"/>
          <w:szCs w:val="18"/>
        </w:rPr>
        <w:t xml:space="preserve"> of advocates challenging a permit that was granted to a sugar company for taking firewood from a forest reserve.124 The plaintiffs argued that that state did not fulfil its public trust duties in protecting the forest and did not consult the local community or conduct a proper study in advance. The Court decided that the permit was null and void and that additional measures, including consultations and an environmental impact assessment, were required to fulfil its stewardship duties.125 The widespread acceptance and application of this international environmental law principle, albeit not a prerequisite, has thus contributed to the development of and complemented existing PTDs.</w:t>
      </w:r>
    </w:p>
    <w:p w14:paraId="0CA99A79" w14:textId="77777777" w:rsidR="00F92D96" w:rsidRPr="000A18CE" w:rsidRDefault="00F92D96" w:rsidP="00F92D96">
      <w:pPr>
        <w:rPr>
          <w:sz w:val="8"/>
          <w:szCs w:val="18"/>
        </w:rPr>
      </w:pPr>
      <w:r w:rsidRPr="000A18CE">
        <w:rPr>
          <w:sz w:val="8"/>
          <w:szCs w:val="18"/>
        </w:rPr>
        <w:t xml:space="preserve">Lastly, the development of the </w:t>
      </w:r>
      <w:proofErr w:type="spellStart"/>
      <w:r w:rsidRPr="000A18CE">
        <w:rPr>
          <w:sz w:val="8"/>
          <w:szCs w:val="18"/>
        </w:rPr>
        <w:t>neighbour</w:t>
      </w:r>
      <w:proofErr w:type="spellEnd"/>
      <w:r w:rsidRPr="000A18CE">
        <w:rPr>
          <w:sz w:val="8"/>
          <w:szCs w:val="18"/>
        </w:rPr>
        <w:t xml:space="preserve"> principle has also impacted PTDs. This principle traditionally required property owners to ensure their property is not injurious or harmful to communities.126 In the 1930s, it was extended across national territories in the Trail Smelter Arbitration.127 This dispute involved industrial pollution from a factory in British Columbia, Canada harming people and natural resources in nearby Washington, United States. The exploitation of natural resources in one national territory was found to be linked to ensuring the protection of persons and natural resources in a </w:t>
      </w:r>
      <w:proofErr w:type="spellStart"/>
      <w:r w:rsidRPr="000A18CE">
        <w:rPr>
          <w:sz w:val="8"/>
          <w:szCs w:val="18"/>
        </w:rPr>
        <w:t>neighbouring</w:t>
      </w:r>
      <w:proofErr w:type="spellEnd"/>
      <w:r w:rsidRPr="000A18CE">
        <w:rPr>
          <w:sz w:val="8"/>
          <w:szCs w:val="18"/>
        </w:rPr>
        <w:t xml:space="preserve"> territory.128 More recently, as customary international law, the International Court of Justice found that states are ‘obliged to use all the means at [their] disposal in order to avoid activities which take place in [their] territory, or in any area under [their] jurisdiction, causing significant damage to the environment of another State’.129 If one state causes such damage, the </w:t>
      </w:r>
      <w:proofErr w:type="spellStart"/>
      <w:r w:rsidRPr="000A18CE">
        <w:rPr>
          <w:sz w:val="8"/>
          <w:szCs w:val="18"/>
        </w:rPr>
        <w:t>neighbour</w:t>
      </w:r>
      <w:proofErr w:type="spellEnd"/>
      <w:r w:rsidRPr="000A18CE">
        <w:rPr>
          <w:sz w:val="8"/>
          <w:szCs w:val="18"/>
        </w:rPr>
        <w:t xml:space="preserve"> principle provides the state that is being damaged with recourse against the state causing the damage. States with PTDs could arguably be required, under their PTDs, to take legal action against </w:t>
      </w:r>
      <w:proofErr w:type="spellStart"/>
      <w:r w:rsidRPr="000A18CE">
        <w:rPr>
          <w:sz w:val="8"/>
          <w:szCs w:val="18"/>
        </w:rPr>
        <w:t>neighbouring</w:t>
      </w:r>
      <w:proofErr w:type="spellEnd"/>
      <w:r w:rsidRPr="000A18CE">
        <w:rPr>
          <w:sz w:val="8"/>
          <w:szCs w:val="18"/>
        </w:rPr>
        <w:t xml:space="preserve"> states that cause transboundary harm to the public trust resources within their territory. The United States arguably had a duty under its PTD to initiate the Trail Smelter Arbitration against Canada to protect natural resources within its territory for the benefit of its citizens.</w:t>
      </w:r>
    </w:p>
    <w:p w14:paraId="6197CBED" w14:textId="77777777" w:rsidR="00F92D96" w:rsidRPr="000A18CE" w:rsidRDefault="00F92D96" w:rsidP="00F92D96">
      <w:pPr>
        <w:rPr>
          <w:sz w:val="8"/>
          <w:szCs w:val="18"/>
        </w:rPr>
      </w:pPr>
      <w:r w:rsidRPr="000A18CE">
        <w:rPr>
          <w:sz w:val="8"/>
          <w:szCs w:val="18"/>
        </w:rPr>
        <w:t xml:space="preserve">Despite the </w:t>
      </w:r>
      <w:proofErr w:type="spellStart"/>
      <w:r w:rsidRPr="000A18CE">
        <w:rPr>
          <w:sz w:val="8"/>
          <w:szCs w:val="18"/>
        </w:rPr>
        <w:t>neighbour</w:t>
      </w:r>
      <w:proofErr w:type="spellEnd"/>
      <w:r w:rsidRPr="000A18CE">
        <w:rPr>
          <w:sz w:val="8"/>
          <w:szCs w:val="18"/>
        </w:rPr>
        <w:t xml:space="preserve"> principle most commonly being applied and </w:t>
      </w:r>
      <w:proofErr w:type="spellStart"/>
      <w:r w:rsidRPr="000A18CE">
        <w:rPr>
          <w:sz w:val="8"/>
          <w:szCs w:val="18"/>
        </w:rPr>
        <w:t>theorised</w:t>
      </w:r>
      <w:proofErr w:type="spellEnd"/>
      <w:r w:rsidRPr="000A18CE">
        <w:rPr>
          <w:sz w:val="8"/>
          <w:szCs w:val="18"/>
        </w:rPr>
        <w:t xml:space="preserve"> against adjacent states, certain international instruments stipulate that it extends beyond so-called </w:t>
      </w:r>
      <w:proofErr w:type="spellStart"/>
      <w:r w:rsidRPr="000A18CE">
        <w:rPr>
          <w:sz w:val="8"/>
          <w:szCs w:val="18"/>
        </w:rPr>
        <w:t>neighbours</w:t>
      </w:r>
      <w:proofErr w:type="spellEnd"/>
      <w:r w:rsidRPr="000A18CE">
        <w:rPr>
          <w:sz w:val="8"/>
          <w:szCs w:val="18"/>
        </w:rPr>
        <w:t xml:space="preserve">. Principle 2 of the Rio Declaration on Environment and Development, for example, provides that states have ‘the responsibility to ensure that activities within their jurisdiction or control do not cause damage to the environment of other States or of areas beyond the limits of national jurisdiction’.130 This provides a basis for state responsibility over all activities under their control, regardless of the location, if those activities could cause damage anywhere outside their own territory. More research is needed on states taking judicial action on this basis, particularly in disputes involving the marine environment.131 Nevertheless, this development of the </w:t>
      </w:r>
      <w:proofErr w:type="spellStart"/>
      <w:r w:rsidRPr="000A18CE">
        <w:rPr>
          <w:sz w:val="8"/>
          <w:szCs w:val="18"/>
        </w:rPr>
        <w:t>neighbour</w:t>
      </w:r>
      <w:proofErr w:type="spellEnd"/>
      <w:r w:rsidRPr="000A18CE">
        <w:rPr>
          <w:sz w:val="8"/>
          <w:szCs w:val="18"/>
        </w:rPr>
        <w:t xml:space="preserve"> principle also relates to the </w:t>
      </w:r>
      <w:proofErr w:type="spellStart"/>
      <w:r w:rsidRPr="000A18CE">
        <w:rPr>
          <w:sz w:val="8"/>
          <w:szCs w:val="18"/>
        </w:rPr>
        <w:t>transnationalisation</w:t>
      </w:r>
      <w:proofErr w:type="spellEnd"/>
      <w:r w:rsidRPr="000A18CE">
        <w:rPr>
          <w:sz w:val="8"/>
          <w:szCs w:val="18"/>
        </w:rPr>
        <w:t xml:space="preserve"> of PTDs and will be </w:t>
      </w:r>
      <w:proofErr w:type="spellStart"/>
      <w:r w:rsidRPr="000A18CE">
        <w:rPr>
          <w:sz w:val="8"/>
          <w:szCs w:val="18"/>
        </w:rPr>
        <w:t>analysed</w:t>
      </w:r>
      <w:proofErr w:type="spellEnd"/>
      <w:r w:rsidRPr="000A18CE">
        <w:rPr>
          <w:sz w:val="8"/>
          <w:szCs w:val="18"/>
        </w:rPr>
        <w:t xml:space="preserve"> in Section 4.</w:t>
      </w:r>
    </w:p>
    <w:p w14:paraId="1777373D" w14:textId="77777777" w:rsidR="00F92D96" w:rsidRPr="000A18CE" w:rsidRDefault="00F92D96" w:rsidP="00F92D96">
      <w:pPr>
        <w:rPr>
          <w:sz w:val="12"/>
        </w:rPr>
      </w:pPr>
      <w:r w:rsidRPr="000A18CE">
        <w:rPr>
          <w:sz w:val="12"/>
        </w:rPr>
        <w:t>3.3. International law instruments</w:t>
      </w:r>
    </w:p>
    <w:p w14:paraId="538EE777" w14:textId="77777777" w:rsidR="00F92D96" w:rsidRPr="000A18CE" w:rsidRDefault="00F92D96" w:rsidP="00F92D96">
      <w:pPr>
        <w:rPr>
          <w:sz w:val="12"/>
        </w:rPr>
      </w:pPr>
      <w:r w:rsidRPr="00DA7873">
        <w:rPr>
          <w:rStyle w:val="StyleUnderline"/>
        </w:rPr>
        <w:t xml:space="preserve">PTDs have also </w:t>
      </w:r>
      <w:proofErr w:type="spellStart"/>
      <w:r w:rsidRPr="00DA7873">
        <w:rPr>
          <w:rStyle w:val="StyleUnderline"/>
        </w:rPr>
        <w:t>internationalised</w:t>
      </w:r>
      <w:proofErr w:type="spellEnd"/>
      <w:r w:rsidRPr="00DA7873">
        <w:rPr>
          <w:rStyle w:val="StyleUnderline"/>
        </w:rPr>
        <w:t xml:space="preserve"> through international law instruments</w:t>
      </w:r>
      <w:r w:rsidRPr="00DA7873">
        <w:rPr>
          <w:sz w:val="12"/>
        </w:rPr>
        <w:t xml:space="preserve">. </w:t>
      </w:r>
      <w:r w:rsidRPr="00DA7873">
        <w:rPr>
          <w:rStyle w:val="StyleUnderline"/>
        </w:rPr>
        <w:t>Treaties rarely mention the word ‘trust’, yet several draft treaties and negotiations have featured this word and the resulting treaties retained public trust regimes</w:t>
      </w:r>
      <w:r w:rsidRPr="00DA7873">
        <w:rPr>
          <w:sz w:val="12"/>
        </w:rPr>
        <w:t xml:space="preserve">.132 </w:t>
      </w:r>
      <w:r w:rsidRPr="00DA7873">
        <w:rPr>
          <w:rStyle w:val="StyleUnderline"/>
        </w:rPr>
        <w:t>State parties to such treaties have consented to implicit PTDs at the international level</w:t>
      </w:r>
      <w:r w:rsidRPr="00DA7873">
        <w:rPr>
          <w:sz w:val="12"/>
        </w:rPr>
        <w:t>, thereby developing, expanding and/or reinforcing their national PTDs through international obligations.133 According to Sand, ‘we seem to have practiced public trusteeship</w:t>
      </w:r>
      <w:r w:rsidRPr="000A18CE">
        <w:rPr>
          <w:sz w:val="12"/>
        </w:rPr>
        <w:t xml:space="preserve"> in environmental treaty regimes all along’.134 </w:t>
      </w:r>
      <w:r w:rsidRPr="0007305B">
        <w:rPr>
          <w:rStyle w:val="StyleUnderline"/>
        </w:rPr>
        <w:t>This sub-section analyses</w:t>
      </w:r>
      <w:r w:rsidRPr="000A18CE">
        <w:rPr>
          <w:sz w:val="12"/>
        </w:rPr>
        <w:t xml:space="preserve"> three </w:t>
      </w:r>
      <w:r w:rsidRPr="0007305B">
        <w:rPr>
          <w:rStyle w:val="StyleUnderline"/>
        </w:rPr>
        <w:t>treaties that contain or inform public trust regimes</w:t>
      </w:r>
      <w:r w:rsidRPr="000A18CE">
        <w:rPr>
          <w:sz w:val="12"/>
        </w:rPr>
        <w:t>: (1) the United Nations Convention on the Law of the Sea (</w:t>
      </w:r>
      <w:r w:rsidRPr="0007305B">
        <w:rPr>
          <w:rStyle w:val="StyleUnderline"/>
        </w:rPr>
        <w:t>LOSC</w:t>
      </w:r>
      <w:r w:rsidRPr="000A18CE">
        <w:rPr>
          <w:sz w:val="12"/>
        </w:rPr>
        <w:t>); (2) the Indigenous and Tribal Peoples Convention; and (3) the World Heritage Convention.135 Furthermore, developments in the ongoing drafting and negotiation of the international legally binding instrument under the LOSC on the conservation and sustainable use of marine biological diversity of areas beyond national jurisdiction (ILBI) show that public trusteeship debates persist in international law-making processes, as certain states and civil society actors have advocated for the incorporation of strong state stewardship duties for the benefit of present and future generations.136</w:t>
      </w:r>
    </w:p>
    <w:p w14:paraId="2C52A4F0" w14:textId="77777777" w:rsidR="00F92D96" w:rsidRPr="000A18CE" w:rsidRDefault="00F92D96" w:rsidP="00F92D96">
      <w:pPr>
        <w:rPr>
          <w:sz w:val="12"/>
        </w:rPr>
      </w:pPr>
      <w:r w:rsidRPr="000A18CE">
        <w:rPr>
          <w:sz w:val="12"/>
        </w:rPr>
        <w:t xml:space="preserve">First, </w:t>
      </w:r>
      <w:r w:rsidRPr="000A18CE">
        <w:rPr>
          <w:rStyle w:val="StyleUnderline"/>
          <w:highlight w:val="yellow"/>
        </w:rPr>
        <w:t>under</w:t>
      </w:r>
      <w:r w:rsidRPr="0007305B">
        <w:rPr>
          <w:rStyle w:val="StyleUnderline"/>
        </w:rPr>
        <w:t xml:space="preserve"> Article 192 of the </w:t>
      </w:r>
      <w:r w:rsidRPr="000A18CE">
        <w:rPr>
          <w:rStyle w:val="StyleUnderline"/>
          <w:highlight w:val="yellow"/>
        </w:rPr>
        <w:t>LOSC</w:t>
      </w:r>
      <w:r w:rsidRPr="0007305B">
        <w:rPr>
          <w:rStyle w:val="StyleUnderline"/>
        </w:rPr>
        <w:t xml:space="preserve">, 168 </w:t>
      </w:r>
      <w:r w:rsidRPr="000A18CE">
        <w:rPr>
          <w:rStyle w:val="StyleUnderline"/>
          <w:highlight w:val="yellow"/>
        </w:rPr>
        <w:t>states agreed to protect</w:t>
      </w:r>
      <w:r w:rsidRPr="0007305B">
        <w:rPr>
          <w:rStyle w:val="StyleUnderline"/>
        </w:rPr>
        <w:t xml:space="preserve"> and preserve </w:t>
      </w:r>
      <w:r w:rsidRPr="000A18CE">
        <w:rPr>
          <w:rStyle w:val="StyleUnderline"/>
          <w:highlight w:val="yellow"/>
        </w:rPr>
        <w:t xml:space="preserve">the </w:t>
      </w:r>
      <w:r w:rsidRPr="00BA7AA7">
        <w:rPr>
          <w:rStyle w:val="Emphasis"/>
          <w:highlight w:val="yellow"/>
        </w:rPr>
        <w:t>marine environment</w:t>
      </w:r>
      <w:r w:rsidRPr="000A18CE">
        <w:rPr>
          <w:sz w:val="12"/>
        </w:rPr>
        <w:t xml:space="preserve">.137 </w:t>
      </w:r>
      <w:r w:rsidRPr="000A18CE">
        <w:rPr>
          <w:rStyle w:val="StyleUnderline"/>
          <w:highlight w:val="yellow"/>
        </w:rPr>
        <w:t>This</w:t>
      </w:r>
      <w:r w:rsidRPr="0007305B">
        <w:rPr>
          <w:rStyle w:val="StyleUnderline"/>
        </w:rPr>
        <w:t xml:space="preserve"> provision </w:t>
      </w:r>
      <w:r w:rsidRPr="000A18CE">
        <w:rPr>
          <w:rStyle w:val="StyleUnderline"/>
          <w:highlight w:val="yellow"/>
        </w:rPr>
        <w:t xml:space="preserve">provides the basis of an </w:t>
      </w:r>
      <w:r w:rsidRPr="00BA7AA7">
        <w:rPr>
          <w:rStyle w:val="Emphasis"/>
          <w:highlight w:val="yellow"/>
        </w:rPr>
        <w:t>implicit international public trust</w:t>
      </w:r>
      <w:r w:rsidRPr="00BA7AA7">
        <w:rPr>
          <w:rStyle w:val="Emphasis"/>
        </w:rPr>
        <w:t xml:space="preserve"> regime</w:t>
      </w:r>
      <w:r w:rsidRPr="000A18CE">
        <w:rPr>
          <w:sz w:val="12"/>
        </w:rPr>
        <w:t xml:space="preserve">. Aligning with PTDs that have broad material scopes, it does not list specific public trust resources within the marine environment. It also does not define beneficiaries. However, since this obligation applies across all maritime zones, whether in national jurisdictions or beyond, other LOSC provisions can be consulted for identifying specific natural resources and beneficiaries. Article 117 obliges state parties to conserve the living resources of the high seas for their respective nationals. Article 145 requires measures to be taken to ensure effective protection of the marine environment from harmful effects that may arise from activities on the international seabed. In contrast to these environmental objectives, </w:t>
      </w:r>
      <w:r w:rsidRPr="0007305B">
        <w:rPr>
          <w:rStyle w:val="StyleUnderline"/>
        </w:rPr>
        <w:t>the LOSC also provides that activities on the international seabed shall be carried out for the ‘healthy development of the world economy’, which again might lead to balancing economic development and environment protection</w:t>
      </w:r>
      <w:r w:rsidRPr="000A18CE">
        <w:rPr>
          <w:sz w:val="12"/>
        </w:rPr>
        <w:t xml:space="preserve">.138 </w:t>
      </w:r>
      <w:r w:rsidRPr="0007305B">
        <w:rPr>
          <w:rStyle w:val="StyleUnderline"/>
        </w:rPr>
        <w:t xml:space="preserve">Furthermore, </w:t>
      </w:r>
      <w:r w:rsidRPr="00372FA9">
        <w:rPr>
          <w:rStyle w:val="StyleUnderline"/>
        </w:rPr>
        <w:t xml:space="preserve">Article 136 </w:t>
      </w:r>
      <w:r w:rsidRPr="000A18CE">
        <w:rPr>
          <w:rStyle w:val="StyleUnderline"/>
          <w:highlight w:val="yellow"/>
        </w:rPr>
        <w:t>defines the</w:t>
      </w:r>
      <w:r w:rsidRPr="0007305B">
        <w:rPr>
          <w:rStyle w:val="StyleUnderline"/>
        </w:rPr>
        <w:t xml:space="preserve"> international </w:t>
      </w:r>
      <w:r w:rsidRPr="000A18CE">
        <w:rPr>
          <w:rStyle w:val="StyleUnderline"/>
          <w:highlight w:val="yellow"/>
        </w:rPr>
        <w:t>seabed</w:t>
      </w:r>
      <w:r w:rsidRPr="0007305B">
        <w:rPr>
          <w:rStyle w:val="StyleUnderline"/>
        </w:rPr>
        <w:t xml:space="preserve"> and its resources </w:t>
      </w:r>
      <w:r w:rsidRPr="000A18CE">
        <w:rPr>
          <w:rStyle w:val="StyleUnderline"/>
          <w:highlight w:val="yellow"/>
        </w:rPr>
        <w:t>as</w:t>
      </w:r>
      <w:r w:rsidRPr="000A18CE">
        <w:rPr>
          <w:rStyle w:val="StyleUnderline"/>
        </w:rPr>
        <w:t xml:space="preserve"> the </w:t>
      </w:r>
      <w:r w:rsidRPr="00BA7AA7">
        <w:rPr>
          <w:rStyle w:val="Emphasis"/>
          <w:highlight w:val="yellow"/>
        </w:rPr>
        <w:t>common heritage</w:t>
      </w:r>
      <w:r w:rsidRPr="00BA7AA7">
        <w:rPr>
          <w:rStyle w:val="Emphasis"/>
        </w:rPr>
        <w:t xml:space="preserve"> of humankind</w:t>
      </w:r>
      <w:r w:rsidRPr="0007305B">
        <w:rPr>
          <w:rStyle w:val="StyleUnderline"/>
        </w:rPr>
        <w:t>, suggesting that state parties are required to protect the international seabed for all humans</w:t>
      </w:r>
      <w:r w:rsidRPr="000A18CE">
        <w:rPr>
          <w:sz w:val="12"/>
        </w:rPr>
        <w:t xml:space="preserve">. </w:t>
      </w:r>
      <w:r w:rsidRPr="0007305B">
        <w:rPr>
          <w:rStyle w:val="StyleUnderline"/>
        </w:rPr>
        <w:t>For these reasons, this public trust regime also entails transnational components</w:t>
      </w:r>
      <w:r w:rsidRPr="000A18CE">
        <w:rPr>
          <w:sz w:val="12"/>
        </w:rPr>
        <w:t xml:space="preserve"> (</w:t>
      </w:r>
      <w:proofErr w:type="spellStart"/>
      <w:proofErr w:type="gramStart"/>
      <w:r w:rsidRPr="000A18CE">
        <w:rPr>
          <w:sz w:val="12"/>
        </w:rPr>
        <w:t>eg</w:t>
      </w:r>
      <w:proofErr w:type="spellEnd"/>
      <w:proofErr w:type="gramEnd"/>
      <w:r w:rsidRPr="000A18CE">
        <w:rPr>
          <w:sz w:val="12"/>
        </w:rPr>
        <w:t xml:space="preserve"> states stewarding natural resources beyond their national territories) that will be further </w:t>
      </w:r>
      <w:proofErr w:type="spellStart"/>
      <w:r w:rsidRPr="000A18CE">
        <w:rPr>
          <w:sz w:val="12"/>
        </w:rPr>
        <w:t>analysed</w:t>
      </w:r>
      <w:proofErr w:type="spellEnd"/>
      <w:r w:rsidRPr="000A18CE">
        <w:rPr>
          <w:sz w:val="12"/>
        </w:rPr>
        <w:t xml:space="preserve"> in Section 4.1.</w:t>
      </w:r>
    </w:p>
    <w:p w14:paraId="798E4375" w14:textId="77777777" w:rsidR="00F92D96" w:rsidRPr="000A18CE" w:rsidRDefault="00F92D96" w:rsidP="00F92D96">
      <w:pPr>
        <w:rPr>
          <w:sz w:val="12"/>
        </w:rPr>
      </w:pPr>
      <w:r w:rsidRPr="0007305B">
        <w:rPr>
          <w:rStyle w:val="StyleUnderline"/>
        </w:rPr>
        <w:t xml:space="preserve">The LOSC contributes to the development, </w:t>
      </w:r>
      <w:proofErr w:type="gramStart"/>
      <w:r w:rsidRPr="0007305B">
        <w:rPr>
          <w:rStyle w:val="StyleUnderline"/>
        </w:rPr>
        <w:t>expansion</w:t>
      </w:r>
      <w:proofErr w:type="gramEnd"/>
      <w:r w:rsidRPr="0007305B">
        <w:rPr>
          <w:rStyle w:val="StyleUnderline"/>
        </w:rPr>
        <w:t xml:space="preserve"> and reinforcement of national PTDs in two predominate ways</w:t>
      </w:r>
      <w:r w:rsidRPr="000A18CE">
        <w:rPr>
          <w:sz w:val="12"/>
        </w:rPr>
        <w:t xml:space="preserve">. On one hand, as explained in Section 2.2, </w:t>
      </w:r>
      <w:r w:rsidRPr="0007305B">
        <w:rPr>
          <w:rStyle w:val="StyleUnderline"/>
        </w:rPr>
        <w:t>many states have extended the geographic scope of their national PTDs according to the LOSC maritime zones</w:t>
      </w:r>
      <w:r w:rsidRPr="000A18CE">
        <w:rPr>
          <w:sz w:val="12"/>
        </w:rPr>
        <w:t xml:space="preserve">.139 Regardless of such extensions though, </w:t>
      </w:r>
      <w:r w:rsidRPr="0007305B">
        <w:rPr>
          <w:rStyle w:val="StyleUnderline"/>
        </w:rPr>
        <w:t xml:space="preserve">state parties that </w:t>
      </w:r>
      <w:proofErr w:type="spellStart"/>
      <w:r w:rsidRPr="0007305B">
        <w:rPr>
          <w:rStyle w:val="StyleUnderline"/>
        </w:rPr>
        <w:t>recognise</w:t>
      </w:r>
      <w:proofErr w:type="spellEnd"/>
      <w:r w:rsidRPr="0007305B">
        <w:rPr>
          <w:rStyle w:val="StyleUnderline"/>
        </w:rPr>
        <w:t xml:space="preserve"> any oceanic resources as public trust resources in their national public trust regimes have the additional stewardship duties</w:t>
      </w:r>
      <w:r w:rsidRPr="000A18CE">
        <w:rPr>
          <w:sz w:val="12"/>
        </w:rPr>
        <w:t xml:space="preserve"> found in Article 192 and the others mentioned above. </w:t>
      </w:r>
      <w:r w:rsidRPr="0007305B">
        <w:rPr>
          <w:rStyle w:val="StyleUnderline"/>
        </w:rPr>
        <w:t>Whether those added obligations are directly applicable or involve national implementation legislation depends on each state party's legal system</w:t>
      </w:r>
      <w:r w:rsidRPr="000A18CE">
        <w:rPr>
          <w:sz w:val="12"/>
        </w:rPr>
        <w:t xml:space="preserve">. </w:t>
      </w:r>
      <w:r w:rsidRPr="0007305B">
        <w:rPr>
          <w:rStyle w:val="StyleUnderline"/>
        </w:rPr>
        <w:t>This exemplifies international law adding or reinforcing existing national public trust regimes</w:t>
      </w:r>
      <w:r w:rsidRPr="000A18CE">
        <w:rPr>
          <w:sz w:val="12"/>
        </w:rPr>
        <w:t>. On the other hand, Article 94 requires state parties to effectively exercise their jurisdiction and control over ships flying their flag. State parties are responsible for ensuring that their obligations under the LOSC are upheld by the vessels they license, including when those vessels are on international waters. This is because licensed vessels essentially take national territory with them onto the sea, whereby they are governed by the rules of their flag state.140 Thus, state parties’ stewardship duties have arguably expanded to encompass the oversight of licensed vessels. The LOSC demonstrates an international law instrument prescribing a common public trust regime to numerous states, including many without defined national PTDs.</w:t>
      </w:r>
    </w:p>
    <w:p w14:paraId="61BEC927" w14:textId="77777777" w:rsidR="00F92D96" w:rsidRPr="000A18CE" w:rsidRDefault="00F92D96" w:rsidP="00F92D96">
      <w:pPr>
        <w:rPr>
          <w:sz w:val="8"/>
          <w:szCs w:val="18"/>
        </w:rPr>
      </w:pPr>
      <w:r w:rsidRPr="000A18CE">
        <w:rPr>
          <w:sz w:val="8"/>
          <w:szCs w:val="18"/>
        </w:rPr>
        <w:t xml:space="preserve">Second, building on Section 2.2, Article 7(4) of the Indigenous and Tribal Peoples Convention requires 23 state parties to take measures, in co-operation with Indigenous Peoples, to protect and preserve the environment of the territories they inhabit. For the state parties with PTDs, this obligation alone provides evidence of states agreeing to involve Indigenous Peoples in executing their stewardship duties that involve the territories where Indigenous Peoples live.141 The Indigenous and Tribal Peoples Convention has been implemented directly and through national legislation, invoked in national court proceedings and internationally monitored by the International </w:t>
      </w:r>
      <w:proofErr w:type="spellStart"/>
      <w:r w:rsidRPr="000A18CE">
        <w:rPr>
          <w:sz w:val="8"/>
          <w:szCs w:val="18"/>
        </w:rPr>
        <w:t>Labour</w:t>
      </w:r>
      <w:proofErr w:type="spellEnd"/>
      <w:r w:rsidRPr="000A18CE">
        <w:rPr>
          <w:sz w:val="8"/>
          <w:szCs w:val="18"/>
        </w:rPr>
        <w:t xml:space="preserve"> Organization's Committee of Experts on the Application of Conventions and Recommendations (CEACR).142 Ideally, states will not only co-operate with Indigenous Peoples, but also uphold their right to conserve and protect the environment and their lands and natural resources and their right to self-determination.143 The Indigenous and Tribal Peoples Convention's binding nature provides a strong means for state parties to partially open their PTDs to co-operation with Indigenous Peoples and their stewardship systems and to begin the work of integrating environmental </w:t>
      </w:r>
      <w:proofErr w:type="spellStart"/>
      <w:r w:rsidRPr="000A18CE">
        <w:rPr>
          <w:sz w:val="8"/>
          <w:szCs w:val="18"/>
        </w:rPr>
        <w:t>decolonisation</w:t>
      </w:r>
      <w:proofErr w:type="spellEnd"/>
      <w:r w:rsidRPr="000A18CE">
        <w:rPr>
          <w:sz w:val="8"/>
          <w:szCs w:val="18"/>
        </w:rPr>
        <w:t xml:space="preserve"> into public trust regimes. In practice, this depends on the laws, </w:t>
      </w:r>
      <w:proofErr w:type="gramStart"/>
      <w:r w:rsidRPr="000A18CE">
        <w:rPr>
          <w:sz w:val="8"/>
          <w:szCs w:val="18"/>
        </w:rPr>
        <w:t>policies</w:t>
      </w:r>
      <w:proofErr w:type="gramEnd"/>
      <w:r w:rsidRPr="000A18CE">
        <w:rPr>
          <w:sz w:val="8"/>
          <w:szCs w:val="18"/>
        </w:rPr>
        <w:t xml:space="preserve"> and willingness of each state.</w:t>
      </w:r>
    </w:p>
    <w:p w14:paraId="6F37BB80" w14:textId="77777777" w:rsidR="00F92D96" w:rsidRPr="000A18CE" w:rsidRDefault="00F92D96" w:rsidP="00F92D96">
      <w:pPr>
        <w:rPr>
          <w:sz w:val="8"/>
          <w:szCs w:val="18"/>
        </w:rPr>
      </w:pPr>
      <w:r w:rsidRPr="000A18CE">
        <w:rPr>
          <w:sz w:val="8"/>
          <w:szCs w:val="18"/>
        </w:rPr>
        <w:t xml:space="preserve">To explore this development, Brazil is a state party to the Indigenous and Tribal Peoples Convention and has an implicit PTD in its Constitution. Article 225 of the Constitution provides all people with the right to an ecologically balanced environment and prescribes the government with duties to defend and preserve the environment for present and future generations.144 While Article 231 provides the government with the ‘responsibility to delineate [Indigenous] lands and to protect and ensure respect for all [Indigenous] property’, the substance of Article 7(4) of the Indigenous and Tribal Peoples Convention is not present in Brazil's Constitution.145 In 2019, CEACR requested the Brazilian government to indicate how it ensured co-operation with Indigenous Peoples in the protection and preservation of the areas they inhabited in the context of a hydraulic project at the São Francisco River.146 No response has been identified. Although this case suggests potential shortcomings in the enforcement of the Indigenous and Tribal Peoples Convention and that non-compliance may limit how international law impacts a national PTD, it still demonstrates a state consenting to international law, whether the state </w:t>
      </w:r>
      <w:proofErr w:type="spellStart"/>
      <w:r w:rsidRPr="000A18CE">
        <w:rPr>
          <w:sz w:val="8"/>
          <w:szCs w:val="18"/>
        </w:rPr>
        <w:t>honours</w:t>
      </w:r>
      <w:proofErr w:type="spellEnd"/>
      <w:r w:rsidRPr="000A18CE">
        <w:rPr>
          <w:sz w:val="8"/>
          <w:szCs w:val="18"/>
        </w:rPr>
        <w:t xml:space="preserve"> its obligations or not, that impacts how that state is required under law to execute its stewardship duties.</w:t>
      </w:r>
    </w:p>
    <w:p w14:paraId="482111A4" w14:textId="77777777" w:rsidR="00F92D96" w:rsidRPr="000A18CE" w:rsidRDefault="00F92D96" w:rsidP="00F92D96">
      <w:pPr>
        <w:rPr>
          <w:sz w:val="8"/>
          <w:szCs w:val="18"/>
        </w:rPr>
      </w:pPr>
      <w:r w:rsidRPr="000A18CE">
        <w:rPr>
          <w:sz w:val="8"/>
          <w:szCs w:val="18"/>
        </w:rPr>
        <w:t>Third, under the World Heritage Convention, 187 states agreed to ensure the conservation and protection of natural areas of outstanding universal value from the point of view of science, conservation and natural beauty.147 State parties can nominate sites within their national territories to be inscribed on the World Heritage List and therefore be covered by the World Heritage Convention.148 Once the World Heritage Committee inscribes such sites onto the list, the host states’ obligations to protect, conserve, present and transmit the site to future generations are triggered.149 This international instrument thus provides another implicit public trust regime with intergenerational equity, despite the fact that the execution of these obligations will naturally differ according to each particular site and how each state party implements the World Heritage Convention within its jurisdiction. Furthermore, many of the listed natural heritage sites contain natural resources that states with PTDs have deemed to be public trust resources.150 In this way, the World Heritage Convention's obligations also embolden the environmental stewardship duties required of state parties that have national PTDs. Moreover, the World Heritage Committee has powers to move sites from the ordinary list to the List of World Heritage in Danger.151 This list currently includes lakes, national parks, rainforests, nature reserves and oceanic reserves that face risks of depletion or disaster, among others. The aim of this list is to further promote and gain additional support for stewarding endangered sites that need major operations.</w:t>
      </w:r>
    </w:p>
    <w:p w14:paraId="37AE8909" w14:textId="77777777" w:rsidR="00F92D96" w:rsidRPr="000A18CE" w:rsidRDefault="00F92D96" w:rsidP="00F92D96">
      <w:pPr>
        <w:rPr>
          <w:sz w:val="8"/>
          <w:szCs w:val="18"/>
        </w:rPr>
      </w:pPr>
      <w:r w:rsidRPr="000A18CE">
        <w:rPr>
          <w:sz w:val="8"/>
          <w:szCs w:val="18"/>
        </w:rPr>
        <w:t xml:space="preserve">In exploring the implementation of this international public trust regime, the Australian government adopted the National Parks and Wildlife Conservation Act 1975 to implement the World Heritage Convention.152 In 1978, an energy commission of the Tasmanian government (sub-national government) proposed to build a dam in the Gordon River.153 Due to risks of the proposed dam causing flooding to the connected Franklin River, certain federal government officials opposed the project. They established a national park to surround and protect the rivers, proposed the dam project be moved to another part of the Gordon River and nominated the national park for the World Heritage List.154 While debates on the dam continued in and across the Australian and Tasmanian governments, the World Heritage Committee inscribed the Tasmanian Wilderness, which includes the Franklin and Gordon River areas, as a natural heritage site in 1982 and the federal government adopted the World Heritage Properties Conservation Act 1983.155 On this basis, the federal government sought to stop Tasmania from permitting the dam. This dispute prompted the High Court of Australia, in Commonwealth v Tasmania, to answer defining questions about Australia's legal system and its regard to international law.156 Remaining within the scope of this article, the Court concluded that the federal government validly blocked the dam through its ‘external affairs powers’ to implement its international obligations to protect and conserve the property of Australia.157 Australia's national PTD has been </w:t>
      </w:r>
      <w:proofErr w:type="spellStart"/>
      <w:r w:rsidRPr="000A18CE">
        <w:rPr>
          <w:sz w:val="8"/>
          <w:szCs w:val="18"/>
        </w:rPr>
        <w:t>analysed</w:t>
      </w:r>
      <w:proofErr w:type="spellEnd"/>
      <w:r w:rsidRPr="000A18CE">
        <w:rPr>
          <w:sz w:val="8"/>
          <w:szCs w:val="18"/>
        </w:rPr>
        <w:t xml:space="preserve"> in other cases and literature,158 but this case demonstrates how the World Heritage Convention's regime has disseminated into a national legal system.</w:t>
      </w:r>
    </w:p>
    <w:p w14:paraId="3DCBEA8C" w14:textId="77777777" w:rsidR="00F92D96" w:rsidRPr="000A18CE" w:rsidRDefault="00F92D96" w:rsidP="00F92D96">
      <w:pPr>
        <w:rPr>
          <w:sz w:val="8"/>
          <w:szCs w:val="18"/>
        </w:rPr>
      </w:pPr>
      <w:r w:rsidRPr="000A18CE">
        <w:rPr>
          <w:sz w:val="8"/>
          <w:szCs w:val="18"/>
        </w:rPr>
        <w:t xml:space="preserve">This section </w:t>
      </w:r>
      <w:proofErr w:type="spellStart"/>
      <w:r w:rsidRPr="000A18CE">
        <w:rPr>
          <w:sz w:val="8"/>
          <w:szCs w:val="18"/>
        </w:rPr>
        <w:t>analysed</w:t>
      </w:r>
      <w:proofErr w:type="spellEnd"/>
      <w:r w:rsidRPr="000A18CE">
        <w:rPr>
          <w:sz w:val="8"/>
          <w:szCs w:val="18"/>
        </w:rPr>
        <w:t xml:space="preserve"> three processes of </w:t>
      </w:r>
      <w:proofErr w:type="spellStart"/>
      <w:r w:rsidRPr="000A18CE">
        <w:rPr>
          <w:sz w:val="8"/>
          <w:szCs w:val="18"/>
        </w:rPr>
        <w:t>internationalising</w:t>
      </w:r>
      <w:proofErr w:type="spellEnd"/>
      <w:r w:rsidRPr="000A18CE">
        <w:rPr>
          <w:sz w:val="8"/>
          <w:szCs w:val="18"/>
        </w:rPr>
        <w:t xml:space="preserve"> PTDs. The examples provided are non-exhaustive and could include additional examples of legal spreading, international environmental law principles and international law instruments. The complexities of these processes could also be further </w:t>
      </w:r>
      <w:proofErr w:type="spellStart"/>
      <w:r w:rsidRPr="000A18CE">
        <w:rPr>
          <w:sz w:val="8"/>
          <w:szCs w:val="18"/>
        </w:rPr>
        <w:t>analysed</w:t>
      </w:r>
      <w:proofErr w:type="spellEnd"/>
      <w:r w:rsidRPr="000A18CE">
        <w:rPr>
          <w:sz w:val="8"/>
          <w:szCs w:val="18"/>
        </w:rPr>
        <w:t xml:space="preserve"> </w:t>
      </w:r>
      <w:proofErr w:type="gramStart"/>
      <w:r w:rsidRPr="000A18CE">
        <w:rPr>
          <w:sz w:val="8"/>
          <w:szCs w:val="18"/>
        </w:rPr>
        <w:t>according</w:t>
      </w:r>
      <w:proofErr w:type="gramEnd"/>
      <w:r w:rsidRPr="000A18CE">
        <w:rPr>
          <w:sz w:val="8"/>
          <w:szCs w:val="18"/>
        </w:rPr>
        <w:t xml:space="preserve"> their impacts on individual PTDs. However, pulling together these examples provides a conceptual framework for more detailed analysis on individual PTDs later. The principles and instruments covered above have also contributed to the </w:t>
      </w:r>
      <w:proofErr w:type="spellStart"/>
      <w:r w:rsidRPr="000A18CE">
        <w:rPr>
          <w:sz w:val="8"/>
          <w:szCs w:val="18"/>
        </w:rPr>
        <w:t>transnationalisation</w:t>
      </w:r>
      <w:proofErr w:type="spellEnd"/>
      <w:r w:rsidRPr="000A18CE">
        <w:rPr>
          <w:sz w:val="8"/>
          <w:szCs w:val="18"/>
        </w:rPr>
        <w:t xml:space="preserve"> of PTDs in many ways, which will be </w:t>
      </w:r>
      <w:proofErr w:type="spellStart"/>
      <w:r w:rsidRPr="000A18CE">
        <w:rPr>
          <w:sz w:val="8"/>
          <w:szCs w:val="18"/>
        </w:rPr>
        <w:t>analysed</w:t>
      </w:r>
      <w:proofErr w:type="spellEnd"/>
      <w:r w:rsidRPr="000A18CE">
        <w:rPr>
          <w:sz w:val="8"/>
          <w:szCs w:val="18"/>
        </w:rPr>
        <w:t xml:space="preserve"> in Section 4.</w:t>
      </w:r>
    </w:p>
    <w:p w14:paraId="52F1D340" w14:textId="77777777" w:rsidR="00F92D96" w:rsidRPr="000A18CE" w:rsidRDefault="00F92D96" w:rsidP="00F92D96">
      <w:pPr>
        <w:rPr>
          <w:sz w:val="8"/>
          <w:szCs w:val="18"/>
        </w:rPr>
      </w:pPr>
      <w:r w:rsidRPr="000A18CE">
        <w:rPr>
          <w:sz w:val="8"/>
          <w:szCs w:val="18"/>
        </w:rPr>
        <w:t xml:space="preserve">4. The </w:t>
      </w:r>
      <w:proofErr w:type="spellStart"/>
      <w:r w:rsidRPr="000A18CE">
        <w:rPr>
          <w:sz w:val="8"/>
          <w:szCs w:val="18"/>
        </w:rPr>
        <w:t>transnationalisation</w:t>
      </w:r>
      <w:proofErr w:type="spellEnd"/>
      <w:r w:rsidRPr="000A18CE">
        <w:rPr>
          <w:sz w:val="8"/>
          <w:szCs w:val="18"/>
        </w:rPr>
        <w:t xml:space="preserve"> of public trust doctrines</w:t>
      </w:r>
    </w:p>
    <w:p w14:paraId="224228A6" w14:textId="77777777" w:rsidR="00F92D96" w:rsidRPr="000A18CE" w:rsidRDefault="00F92D96" w:rsidP="00F92D96">
      <w:pPr>
        <w:rPr>
          <w:sz w:val="8"/>
          <w:szCs w:val="18"/>
        </w:rPr>
      </w:pPr>
      <w:proofErr w:type="spellStart"/>
      <w:r w:rsidRPr="000A18CE">
        <w:rPr>
          <w:sz w:val="8"/>
          <w:szCs w:val="18"/>
        </w:rPr>
        <w:t>Transnationalising</w:t>
      </w:r>
      <w:proofErr w:type="spellEnd"/>
      <w:r w:rsidRPr="000A18CE">
        <w:rPr>
          <w:sz w:val="8"/>
          <w:szCs w:val="18"/>
        </w:rPr>
        <w:t xml:space="preserve"> PTDs entails extending their application beyond national limitations. Whereas </w:t>
      </w:r>
      <w:proofErr w:type="spellStart"/>
      <w:r w:rsidRPr="000A18CE">
        <w:rPr>
          <w:sz w:val="8"/>
          <w:szCs w:val="18"/>
        </w:rPr>
        <w:t>internationalisation</w:t>
      </w:r>
      <w:proofErr w:type="spellEnd"/>
      <w:r w:rsidRPr="000A18CE">
        <w:rPr>
          <w:sz w:val="8"/>
          <w:szCs w:val="18"/>
        </w:rPr>
        <w:t xml:space="preserve"> involves PTDs spreading into individual legal systems or disseminating into states from international environmental law principles or treaties, </w:t>
      </w:r>
      <w:proofErr w:type="spellStart"/>
      <w:r w:rsidRPr="000A18CE">
        <w:rPr>
          <w:sz w:val="8"/>
          <w:szCs w:val="18"/>
        </w:rPr>
        <w:t>transnationalisation</w:t>
      </w:r>
      <w:proofErr w:type="spellEnd"/>
      <w:r w:rsidRPr="000A18CE">
        <w:rPr>
          <w:sz w:val="8"/>
          <w:szCs w:val="18"/>
        </w:rPr>
        <w:t xml:space="preserve"> is the process of adapting the geographic scopes of PTDs and applying them beyond traditional limitations of the state. Table 2 </w:t>
      </w:r>
      <w:proofErr w:type="spellStart"/>
      <w:r w:rsidRPr="000A18CE">
        <w:rPr>
          <w:sz w:val="8"/>
          <w:szCs w:val="18"/>
        </w:rPr>
        <w:t>summarises</w:t>
      </w:r>
      <w:proofErr w:type="spellEnd"/>
      <w:r w:rsidRPr="000A18CE">
        <w:rPr>
          <w:sz w:val="8"/>
          <w:szCs w:val="18"/>
        </w:rPr>
        <w:t xml:space="preserve"> three </w:t>
      </w:r>
      <w:proofErr w:type="gramStart"/>
      <w:r w:rsidRPr="000A18CE">
        <w:rPr>
          <w:sz w:val="8"/>
          <w:szCs w:val="18"/>
        </w:rPr>
        <w:t>key</w:t>
      </w:r>
      <w:proofErr w:type="gramEnd"/>
      <w:r w:rsidRPr="000A18CE">
        <w:rPr>
          <w:sz w:val="8"/>
          <w:szCs w:val="18"/>
        </w:rPr>
        <w:t xml:space="preserve"> observed </w:t>
      </w:r>
      <w:proofErr w:type="spellStart"/>
      <w:r w:rsidRPr="000A18CE">
        <w:rPr>
          <w:sz w:val="8"/>
          <w:szCs w:val="18"/>
        </w:rPr>
        <w:t>transnationalisation</w:t>
      </w:r>
      <w:proofErr w:type="spellEnd"/>
      <w:r w:rsidRPr="000A18CE">
        <w:rPr>
          <w:sz w:val="8"/>
          <w:szCs w:val="18"/>
        </w:rPr>
        <w:t xml:space="preserve"> processes defined in this section: (1) states stewarding natural resources beyond their national territories; (2) states stewarding natural resources for the benefit of all of Earth's current and future inhabitants; and (3) states jointly stewarding natural resources with other states and non-state actors. These processes are not exclusive; they overlap in several instances. The following sub-sections provide practical examples, albeit non-exhaustive, to explore these processes. They show that and how PTDs are increasingly applied to address global environmental issues. By extending PTDs’ geographic scopes beyond national territories, more effective stewardship can emerge over public trust resources.</w:t>
      </w:r>
    </w:p>
    <w:p w14:paraId="5F1E3F72" w14:textId="77777777" w:rsidR="00F92D96" w:rsidRPr="000A18CE" w:rsidRDefault="00F92D96" w:rsidP="00F92D96">
      <w:pPr>
        <w:rPr>
          <w:sz w:val="8"/>
          <w:szCs w:val="18"/>
        </w:rPr>
      </w:pPr>
      <w:r w:rsidRPr="000A18CE">
        <w:rPr>
          <w:sz w:val="8"/>
          <w:szCs w:val="18"/>
        </w:rPr>
        <w:t xml:space="preserve">Table 2. Processes for </w:t>
      </w:r>
      <w:proofErr w:type="spellStart"/>
      <w:r w:rsidRPr="000A18CE">
        <w:rPr>
          <w:sz w:val="8"/>
          <w:szCs w:val="18"/>
        </w:rPr>
        <w:t>transnationalising</w:t>
      </w:r>
      <w:proofErr w:type="spellEnd"/>
      <w:r w:rsidRPr="000A18CE">
        <w:rPr>
          <w:sz w:val="8"/>
          <w:szCs w:val="18"/>
        </w:rPr>
        <w:t xml:space="preserve"> PTDs.</w:t>
      </w:r>
    </w:p>
    <w:p w14:paraId="2674DBC5" w14:textId="77777777" w:rsidR="00F92D96" w:rsidRPr="000A18CE" w:rsidRDefault="00F92D96" w:rsidP="00F92D96">
      <w:pPr>
        <w:rPr>
          <w:sz w:val="8"/>
          <w:szCs w:val="18"/>
        </w:rPr>
      </w:pPr>
      <w:proofErr w:type="spellStart"/>
      <w:r w:rsidRPr="000A18CE">
        <w:rPr>
          <w:sz w:val="8"/>
          <w:szCs w:val="18"/>
        </w:rPr>
        <w:t>CSVDisplay</w:t>
      </w:r>
      <w:proofErr w:type="spellEnd"/>
      <w:r w:rsidRPr="000A18CE">
        <w:rPr>
          <w:sz w:val="8"/>
          <w:szCs w:val="18"/>
        </w:rPr>
        <w:t xml:space="preserve"> Table</w:t>
      </w:r>
    </w:p>
    <w:p w14:paraId="6C1FE8DC" w14:textId="77777777" w:rsidR="00F92D96" w:rsidRPr="000A18CE" w:rsidRDefault="00F92D96" w:rsidP="00F92D96">
      <w:pPr>
        <w:rPr>
          <w:sz w:val="8"/>
          <w:szCs w:val="18"/>
        </w:rPr>
      </w:pPr>
      <w:r w:rsidRPr="000A18CE">
        <w:rPr>
          <w:sz w:val="8"/>
          <w:szCs w:val="18"/>
        </w:rPr>
        <w:t xml:space="preserve">Major obstacles arise when adapting PTDs through these processes. States are not always receptive to stewarding public trust resources beyond their territories, nor always willing to accept other states or international bodies stewarding public trust resources within their territories or in areas beyond national jurisdiction. Many global environmental issues are highly </w:t>
      </w:r>
      <w:proofErr w:type="spellStart"/>
      <w:r w:rsidRPr="000A18CE">
        <w:rPr>
          <w:sz w:val="8"/>
          <w:szCs w:val="18"/>
        </w:rPr>
        <w:t>politicised</w:t>
      </w:r>
      <w:proofErr w:type="spellEnd"/>
      <w:r w:rsidRPr="000A18CE">
        <w:rPr>
          <w:sz w:val="8"/>
          <w:szCs w:val="18"/>
        </w:rPr>
        <w:t xml:space="preserve">, and judiciaries might therefore be reluctant to </w:t>
      </w:r>
      <w:proofErr w:type="spellStart"/>
      <w:r w:rsidRPr="000A18CE">
        <w:rPr>
          <w:sz w:val="8"/>
          <w:szCs w:val="18"/>
        </w:rPr>
        <w:t>transnationalise</w:t>
      </w:r>
      <w:proofErr w:type="spellEnd"/>
      <w:r w:rsidRPr="000A18CE">
        <w:rPr>
          <w:sz w:val="8"/>
          <w:szCs w:val="18"/>
        </w:rPr>
        <w:t xml:space="preserve"> PTDs if other branches of government lack the political consensus or will to do so. The latter obstacle triggers the longstanding argument of judicial overreach.159 According to Sand, such obstacles are present because the wholesale application of PTDs would ‘require States to relinquish some measure of sovereignty’.160 </w:t>
      </w:r>
      <w:proofErr w:type="spellStart"/>
      <w:r w:rsidRPr="000A18CE">
        <w:rPr>
          <w:sz w:val="8"/>
          <w:szCs w:val="18"/>
        </w:rPr>
        <w:t>Transnationalising</w:t>
      </w:r>
      <w:proofErr w:type="spellEnd"/>
      <w:r w:rsidRPr="000A18CE">
        <w:rPr>
          <w:sz w:val="8"/>
          <w:szCs w:val="18"/>
        </w:rPr>
        <w:t xml:space="preserve"> PTDs, as with other legal principles and procedures, is certainly compatible with post-Westphalian concepts, but extending the applications of PTDs is not an automatic requisite to relinquishing sovereignty.161 These processes provide viable solutions for states to reconcile their individual duties and negotiate joint duties to legitimately address global environmental issues. Since these processes are based on the environment's interconnectedness and global ecology, they move PTDs even closer to their environmental objectives.</w:t>
      </w:r>
    </w:p>
    <w:p w14:paraId="1F352707" w14:textId="77777777" w:rsidR="00F92D96" w:rsidRPr="000A18CE" w:rsidRDefault="00F92D96" w:rsidP="00F92D96">
      <w:pPr>
        <w:rPr>
          <w:sz w:val="12"/>
        </w:rPr>
      </w:pPr>
      <w:r w:rsidRPr="000A18CE">
        <w:rPr>
          <w:sz w:val="12"/>
        </w:rPr>
        <w:t>4.1. States as trustees of natural resources beyond their national territories</w:t>
      </w:r>
    </w:p>
    <w:p w14:paraId="5526E89F" w14:textId="77777777" w:rsidR="00F92D96" w:rsidRPr="000A18CE" w:rsidRDefault="00F92D96" w:rsidP="00F92D96">
      <w:pPr>
        <w:rPr>
          <w:u w:val="single"/>
        </w:rPr>
      </w:pPr>
      <w:r w:rsidRPr="000A18CE">
        <w:rPr>
          <w:sz w:val="12"/>
        </w:rPr>
        <w:t xml:space="preserve">PTDs have traditionally prescribed states with stewardship duties over public trust resources within their national territories. </w:t>
      </w:r>
      <w:r w:rsidRPr="0007305B">
        <w:rPr>
          <w:rStyle w:val="StyleUnderline"/>
        </w:rPr>
        <w:t xml:space="preserve">With the expanded material scopes of many PTDs, some </w:t>
      </w:r>
      <w:r w:rsidRPr="00DA7873">
        <w:rPr>
          <w:rStyle w:val="StyleUnderline"/>
        </w:rPr>
        <w:t xml:space="preserve">states now </w:t>
      </w:r>
      <w:proofErr w:type="spellStart"/>
      <w:r w:rsidRPr="00DA7873">
        <w:rPr>
          <w:rStyle w:val="StyleUnderline"/>
        </w:rPr>
        <w:t>recognise</w:t>
      </w:r>
      <w:proofErr w:type="spellEnd"/>
      <w:r w:rsidRPr="00DA7873">
        <w:rPr>
          <w:rStyle w:val="StyleUnderline"/>
        </w:rPr>
        <w:t xml:space="preserve"> transboundary and/or global public trust resources (</w:t>
      </w:r>
      <w:proofErr w:type="spellStart"/>
      <w:proofErr w:type="gramStart"/>
      <w:r w:rsidRPr="00DA7873">
        <w:rPr>
          <w:rStyle w:val="StyleUnderline"/>
        </w:rPr>
        <w:t>ie</w:t>
      </w:r>
      <w:proofErr w:type="spellEnd"/>
      <w:proofErr w:type="gramEnd"/>
      <w:r w:rsidRPr="00DA7873">
        <w:rPr>
          <w:rStyle w:val="StyleUnderline"/>
        </w:rPr>
        <w:t xml:space="preserve"> public trust resources that extend, move or exist beyond national territories</w:t>
      </w:r>
      <w:r w:rsidRPr="00DA7873">
        <w:rPr>
          <w:sz w:val="12"/>
        </w:rPr>
        <w:t xml:space="preserve">).162 Accordingly, </w:t>
      </w:r>
      <w:r w:rsidRPr="00DA7873">
        <w:rPr>
          <w:rStyle w:val="StyleUnderline"/>
        </w:rPr>
        <w:t>the geographic scope of many PTDs are following suit with states applying their stewardship duties beyond their national territories</w:t>
      </w:r>
      <w:r w:rsidRPr="00DA7873">
        <w:rPr>
          <w:sz w:val="12"/>
        </w:rPr>
        <w:t xml:space="preserve">. Building on analysis in Section 3.3, </w:t>
      </w:r>
      <w:r w:rsidRPr="00DA7873">
        <w:rPr>
          <w:rStyle w:val="StyleUnderline"/>
        </w:rPr>
        <w:t xml:space="preserve">one example of this </w:t>
      </w:r>
      <w:proofErr w:type="spellStart"/>
      <w:r w:rsidRPr="00DA7873">
        <w:rPr>
          <w:rStyle w:val="StyleUnderline"/>
        </w:rPr>
        <w:t>transnationalisation</w:t>
      </w:r>
      <w:proofErr w:type="spellEnd"/>
      <w:r w:rsidRPr="00DA7873">
        <w:rPr>
          <w:rStyle w:val="StyleUnderline"/>
        </w:rPr>
        <w:t xml:space="preserve"> process involves state parties to the LOSC </w:t>
      </w:r>
      <w:proofErr w:type="spellStart"/>
      <w:r w:rsidRPr="00DA7873">
        <w:rPr>
          <w:rStyle w:val="StyleUnderline"/>
        </w:rPr>
        <w:t>recognising</w:t>
      </w:r>
      <w:proofErr w:type="spellEnd"/>
      <w:r w:rsidRPr="00DA7873">
        <w:rPr>
          <w:rStyle w:val="StyleUnderline"/>
        </w:rPr>
        <w:t xml:space="preserve"> the international seabed and its resources as t</w:t>
      </w:r>
      <w:r w:rsidRPr="0007305B">
        <w:rPr>
          <w:rStyle w:val="StyleUnderline"/>
        </w:rPr>
        <w:t>he common heritage of humankind</w:t>
      </w:r>
      <w:r w:rsidRPr="000A18CE">
        <w:rPr>
          <w:sz w:val="12"/>
        </w:rPr>
        <w:t xml:space="preserve">.163 </w:t>
      </w:r>
      <w:r w:rsidRPr="0007305B">
        <w:rPr>
          <w:rStyle w:val="StyleUnderline"/>
        </w:rPr>
        <w:t>This has postured the international seabed and its resources as a global public trust resource of all people</w:t>
      </w:r>
      <w:r w:rsidRPr="000A18CE">
        <w:rPr>
          <w:sz w:val="12"/>
        </w:rPr>
        <w:t xml:space="preserve">. </w:t>
      </w:r>
      <w:r w:rsidRPr="00BA7AA7">
        <w:rPr>
          <w:rStyle w:val="StyleUnderline"/>
          <w:highlight w:val="yellow"/>
        </w:rPr>
        <w:t>Although</w:t>
      </w:r>
      <w:r w:rsidRPr="0007305B">
        <w:rPr>
          <w:rStyle w:val="StyleUnderline"/>
        </w:rPr>
        <w:t xml:space="preserve"> Part XI of </w:t>
      </w:r>
      <w:r w:rsidRPr="00BA7AA7">
        <w:rPr>
          <w:rStyle w:val="StyleUnderline"/>
          <w:highlight w:val="yellow"/>
        </w:rPr>
        <w:t>LOSC enables activities</w:t>
      </w:r>
      <w:r w:rsidRPr="0007305B">
        <w:rPr>
          <w:rStyle w:val="StyleUnderline"/>
        </w:rPr>
        <w:t xml:space="preserve"> on the international seabed </w:t>
      </w:r>
      <w:r w:rsidRPr="00BA7AA7">
        <w:rPr>
          <w:rStyle w:val="StyleUnderline"/>
          <w:highlight w:val="yellow"/>
        </w:rPr>
        <w:t>for</w:t>
      </w:r>
      <w:r w:rsidRPr="0007305B">
        <w:rPr>
          <w:rStyle w:val="StyleUnderline"/>
        </w:rPr>
        <w:t xml:space="preserve"> economic </w:t>
      </w:r>
      <w:r w:rsidRPr="00BA7AA7">
        <w:rPr>
          <w:rStyle w:val="Emphasis"/>
          <w:highlight w:val="yellow"/>
        </w:rPr>
        <w:t>development</w:t>
      </w:r>
      <w:r w:rsidRPr="0007305B">
        <w:rPr>
          <w:rStyle w:val="StyleUnderline"/>
        </w:rPr>
        <w:t xml:space="preserve">, </w:t>
      </w:r>
      <w:r w:rsidRPr="00BA7AA7">
        <w:rPr>
          <w:rStyle w:val="StyleUnderline"/>
          <w:highlight w:val="yellow"/>
        </w:rPr>
        <w:t>Articles</w:t>
      </w:r>
      <w:r w:rsidRPr="0007305B">
        <w:rPr>
          <w:rStyle w:val="StyleUnderline"/>
        </w:rPr>
        <w:t xml:space="preserve"> 145 and 192 </w:t>
      </w:r>
      <w:r w:rsidRPr="00BA7AA7">
        <w:rPr>
          <w:rStyle w:val="StyleUnderline"/>
          <w:highlight w:val="yellow"/>
        </w:rPr>
        <w:t>prescribe</w:t>
      </w:r>
      <w:r w:rsidRPr="0007305B">
        <w:rPr>
          <w:rStyle w:val="StyleUnderline"/>
        </w:rPr>
        <w:t xml:space="preserve"> state </w:t>
      </w:r>
      <w:r w:rsidRPr="00BA7AA7">
        <w:rPr>
          <w:rStyle w:val="StyleUnderline"/>
          <w:highlight w:val="yellow"/>
        </w:rPr>
        <w:t xml:space="preserve">parties with duties to </w:t>
      </w:r>
      <w:r w:rsidRPr="00BA7AA7">
        <w:rPr>
          <w:rStyle w:val="Emphasis"/>
          <w:highlight w:val="yellow"/>
        </w:rPr>
        <w:t>protect</w:t>
      </w:r>
      <w:r w:rsidRPr="00BA7AA7">
        <w:rPr>
          <w:rStyle w:val="Emphasis"/>
        </w:rPr>
        <w:t xml:space="preserve"> and preserve </w:t>
      </w:r>
      <w:r w:rsidRPr="00BA7AA7">
        <w:rPr>
          <w:rStyle w:val="Emphasis"/>
          <w:highlight w:val="yellow"/>
        </w:rPr>
        <w:t>the</w:t>
      </w:r>
      <w:r w:rsidRPr="00BA7AA7">
        <w:rPr>
          <w:rStyle w:val="Emphasis"/>
        </w:rPr>
        <w:t xml:space="preserve"> marine </w:t>
      </w:r>
      <w:r w:rsidRPr="00BA7AA7">
        <w:rPr>
          <w:rStyle w:val="Emphasis"/>
          <w:highlight w:val="yellow"/>
        </w:rPr>
        <w:t>environment</w:t>
      </w:r>
      <w:r w:rsidRPr="0007305B">
        <w:rPr>
          <w:rStyle w:val="StyleUnderline"/>
        </w:rPr>
        <w:t xml:space="preserve">, including when undertaking activities on the international seabed, thereby </w:t>
      </w:r>
      <w:r w:rsidRPr="00BA7AA7">
        <w:rPr>
          <w:rStyle w:val="StyleUnderline"/>
          <w:highlight w:val="yellow"/>
        </w:rPr>
        <w:t xml:space="preserve">establishing the </w:t>
      </w:r>
      <w:r w:rsidRPr="00BA7AA7">
        <w:rPr>
          <w:rStyle w:val="Emphasis"/>
          <w:highlight w:val="yellow"/>
        </w:rPr>
        <w:t>environmental objective</w:t>
      </w:r>
      <w:r w:rsidRPr="00BA7AA7">
        <w:rPr>
          <w:rStyle w:val="StyleUnderline"/>
          <w:highlight w:val="yellow"/>
        </w:rPr>
        <w:t xml:space="preserve"> of this public trust regime</w:t>
      </w:r>
      <w:r w:rsidRPr="000A18CE">
        <w:rPr>
          <w:sz w:val="12"/>
        </w:rPr>
        <w:t xml:space="preserve">. </w:t>
      </w:r>
      <w:r w:rsidRPr="0007305B">
        <w:rPr>
          <w:rStyle w:val="StyleUnderline"/>
        </w:rPr>
        <w:t xml:space="preserve">Article 139 goes further to define responsibility and liability schemes for state parties and international </w:t>
      </w:r>
      <w:proofErr w:type="spellStart"/>
      <w:r w:rsidRPr="0007305B">
        <w:rPr>
          <w:rStyle w:val="StyleUnderline"/>
        </w:rPr>
        <w:t>organisations</w:t>
      </w:r>
      <w:proofErr w:type="spellEnd"/>
      <w:r w:rsidRPr="0007305B">
        <w:rPr>
          <w:rStyle w:val="StyleUnderline"/>
        </w:rPr>
        <w:t xml:space="preserve"> that fail to comply with their obligations when carrying out activities on the international seabed.</w:t>
      </w:r>
    </w:p>
    <w:p w14:paraId="50B6F4A0" w14:textId="77777777" w:rsidR="00F92D96" w:rsidRPr="000A18CE" w:rsidRDefault="00F92D96" w:rsidP="00F92D96">
      <w:pPr>
        <w:rPr>
          <w:sz w:val="12"/>
        </w:rPr>
      </w:pPr>
      <w:r w:rsidRPr="000A18CE">
        <w:rPr>
          <w:sz w:val="12"/>
        </w:rPr>
        <w:t xml:space="preserve">Moreover, </w:t>
      </w:r>
      <w:r w:rsidRPr="0007305B">
        <w:rPr>
          <w:rStyle w:val="StyleUnderline"/>
        </w:rPr>
        <w:t xml:space="preserve">state </w:t>
      </w:r>
      <w:r w:rsidRPr="00BA7AA7">
        <w:rPr>
          <w:rStyle w:val="StyleUnderline"/>
          <w:highlight w:val="yellow"/>
        </w:rPr>
        <w:t>parties delegated certain</w:t>
      </w:r>
      <w:r w:rsidRPr="0007305B">
        <w:rPr>
          <w:rStyle w:val="StyleUnderline"/>
        </w:rPr>
        <w:t xml:space="preserve"> stewardship </w:t>
      </w:r>
      <w:r w:rsidRPr="00BA7AA7">
        <w:rPr>
          <w:rStyle w:val="StyleUnderline"/>
          <w:highlight w:val="yellow"/>
        </w:rPr>
        <w:t>duties to the</w:t>
      </w:r>
      <w:r w:rsidRPr="0007305B">
        <w:rPr>
          <w:rStyle w:val="StyleUnderline"/>
        </w:rPr>
        <w:t xml:space="preserve"> </w:t>
      </w:r>
      <w:r w:rsidRPr="00BA7AA7">
        <w:rPr>
          <w:rStyle w:val="Emphasis"/>
          <w:highlight w:val="yellow"/>
        </w:rPr>
        <w:t>I</w:t>
      </w:r>
      <w:r w:rsidRPr="0007305B">
        <w:rPr>
          <w:rStyle w:val="StyleUnderline"/>
        </w:rPr>
        <w:t xml:space="preserve">nternational </w:t>
      </w:r>
      <w:r w:rsidRPr="00BA7AA7">
        <w:rPr>
          <w:rStyle w:val="Emphasis"/>
          <w:highlight w:val="yellow"/>
        </w:rPr>
        <w:t>S</w:t>
      </w:r>
      <w:r w:rsidRPr="0007305B">
        <w:rPr>
          <w:rStyle w:val="StyleUnderline"/>
        </w:rPr>
        <w:t xml:space="preserve">eabed </w:t>
      </w:r>
      <w:r w:rsidRPr="00BA7AA7">
        <w:rPr>
          <w:rStyle w:val="Emphasis"/>
          <w:highlight w:val="yellow"/>
        </w:rPr>
        <w:t>A</w:t>
      </w:r>
      <w:r w:rsidRPr="0007305B">
        <w:rPr>
          <w:rStyle w:val="StyleUnderline"/>
        </w:rPr>
        <w:t>uthority</w:t>
      </w:r>
      <w:r w:rsidRPr="000A18CE">
        <w:rPr>
          <w:sz w:val="12"/>
        </w:rPr>
        <w:t xml:space="preserve"> (the Authority).164 </w:t>
      </w:r>
      <w:r w:rsidRPr="00BA7AA7">
        <w:rPr>
          <w:rStyle w:val="StyleUnderline"/>
        </w:rPr>
        <w:t>The</w:t>
      </w:r>
      <w:r w:rsidRPr="0007305B">
        <w:rPr>
          <w:rStyle w:val="StyleUnderline"/>
        </w:rPr>
        <w:t xml:space="preserve"> Authority has a mandate to oversee activities on the international seabed and, to a more limited extent, coastal states’ extended continental shelves, including to adopt rules, regulations and procedures that prevent, reduce and control pollution and other hazards to the marine environment and interference with its ecological balance and prevent damage to the flora and fauna of the marine environment</w:t>
      </w:r>
      <w:r w:rsidRPr="000A18CE">
        <w:rPr>
          <w:sz w:val="12"/>
        </w:rPr>
        <w:t xml:space="preserve">.165 Thus, in addition to their obligations under Articles 145 and 192, </w:t>
      </w:r>
      <w:r w:rsidRPr="0007305B">
        <w:rPr>
          <w:rStyle w:val="StyleUnderline"/>
        </w:rPr>
        <w:t xml:space="preserve">state parties also have stewardship duties over the international seabed as ipso facto members of the Authority, whereby they </w:t>
      </w:r>
      <w:r w:rsidRPr="00DA7873">
        <w:rPr>
          <w:rStyle w:val="StyleUnderline"/>
        </w:rPr>
        <w:t xml:space="preserve">are called on to participate in </w:t>
      </w:r>
      <w:proofErr w:type="spellStart"/>
      <w:r w:rsidRPr="00DA7873">
        <w:rPr>
          <w:rStyle w:val="StyleUnderline"/>
        </w:rPr>
        <w:t>organising</w:t>
      </w:r>
      <w:proofErr w:type="spellEnd"/>
      <w:r w:rsidRPr="00DA7873">
        <w:rPr>
          <w:rStyle w:val="StyleUnderline"/>
        </w:rPr>
        <w:t xml:space="preserve"> and controlling activities on the international seabed with a view to administer its resources</w:t>
      </w:r>
      <w:r w:rsidRPr="00DA7873">
        <w:rPr>
          <w:sz w:val="12"/>
        </w:rPr>
        <w:t xml:space="preserve">.166 </w:t>
      </w:r>
      <w:r w:rsidRPr="00DA7873">
        <w:rPr>
          <w:rStyle w:val="StyleUnderline"/>
        </w:rPr>
        <w:t xml:space="preserve">This example of </w:t>
      </w:r>
      <w:proofErr w:type="spellStart"/>
      <w:r w:rsidRPr="00DA7873">
        <w:rPr>
          <w:rStyle w:val="StyleUnderline"/>
        </w:rPr>
        <w:t>transnationalisation</w:t>
      </w:r>
      <w:proofErr w:type="spellEnd"/>
      <w:r w:rsidRPr="00DA7873">
        <w:rPr>
          <w:rStyle w:val="StyleUnderline"/>
        </w:rPr>
        <w:t xml:space="preserve"> does not necessarily relinquish state sovereignty in requiring states to</w:t>
      </w:r>
      <w:r w:rsidRPr="0007305B">
        <w:rPr>
          <w:rStyle w:val="StyleUnderline"/>
        </w:rPr>
        <w:t xml:space="preserve"> steward beyond their national territories or in delegating stewardship duties to the Authority, since states never had sovereignty or ownership over this global public trust resource to begin with</w:t>
      </w:r>
      <w:r w:rsidRPr="000A18CE">
        <w:rPr>
          <w:sz w:val="12"/>
        </w:rPr>
        <w:t>.</w:t>
      </w:r>
    </w:p>
    <w:p w14:paraId="15D3884D" w14:textId="77777777" w:rsidR="00F92D96" w:rsidRPr="000A18CE" w:rsidRDefault="00F92D96" w:rsidP="00F92D96">
      <w:pPr>
        <w:rPr>
          <w:sz w:val="8"/>
          <w:szCs w:val="18"/>
        </w:rPr>
      </w:pPr>
      <w:r w:rsidRPr="000A18CE">
        <w:rPr>
          <w:sz w:val="8"/>
          <w:szCs w:val="18"/>
        </w:rPr>
        <w:t xml:space="preserve">Concluding the international legally binding instrument under the LOSC on the conservation and sustainable use of marine biological diversity of areas beyond national jurisdiction (ILBI) will further define how state stewardship duties apply in marine areas beyond national jurisdiction.167 States have debated on whether to include stewardship in the final treaty text as means to prevent biodiversity loss. The preamble currently expresses states’ intentions ‘to act as stewards of the ocean in areas beyond national jurisdiction on behalf of present and future generations’.168 The draft ILBI's implicit PTD would further </w:t>
      </w:r>
      <w:proofErr w:type="spellStart"/>
      <w:r w:rsidRPr="000A18CE">
        <w:rPr>
          <w:sz w:val="8"/>
          <w:szCs w:val="18"/>
        </w:rPr>
        <w:t>internationalise</w:t>
      </w:r>
      <w:proofErr w:type="spellEnd"/>
      <w:r w:rsidRPr="000A18CE">
        <w:rPr>
          <w:sz w:val="8"/>
          <w:szCs w:val="18"/>
        </w:rPr>
        <w:t xml:space="preserve"> and further </w:t>
      </w:r>
      <w:proofErr w:type="spellStart"/>
      <w:r w:rsidRPr="000A18CE">
        <w:rPr>
          <w:sz w:val="8"/>
          <w:szCs w:val="18"/>
        </w:rPr>
        <w:t>transnationalise</w:t>
      </w:r>
      <w:proofErr w:type="spellEnd"/>
      <w:r w:rsidRPr="000A18CE">
        <w:rPr>
          <w:sz w:val="8"/>
          <w:szCs w:val="18"/>
        </w:rPr>
        <w:t xml:space="preserve"> public trusteeship over oceans by obliging state parties to steward biodiversity beyond their national territories. Furthermore, it would entail the objectives of global marine ecology and, with many Pacific Island states promoting stewardship in negotiations, potentially environmental </w:t>
      </w:r>
      <w:proofErr w:type="spellStart"/>
      <w:r w:rsidRPr="000A18CE">
        <w:rPr>
          <w:sz w:val="8"/>
          <w:szCs w:val="18"/>
        </w:rPr>
        <w:t>decolonisation</w:t>
      </w:r>
      <w:proofErr w:type="spellEnd"/>
      <w:r w:rsidRPr="000A18CE">
        <w:rPr>
          <w:sz w:val="8"/>
          <w:szCs w:val="18"/>
        </w:rPr>
        <w:t xml:space="preserve"> with the opportunity to empower and support Indigenous stewardship systems of the Pacific and elsewhere.169 Additionally, states are debating on the inclusion of state stewardship duties within environmental impact assessment requirements and whether stewardship duties for marine genetic resources should be delegated to flag states or a new institutional body.170 It is uncertain how States will conclude the treaty, but the mere fact that stewardship is a pillar of the ILBI is evidence of states’ increased willingness to identify additional public trust resources (</w:t>
      </w:r>
      <w:proofErr w:type="spellStart"/>
      <w:r w:rsidRPr="000A18CE">
        <w:rPr>
          <w:sz w:val="8"/>
          <w:szCs w:val="18"/>
        </w:rPr>
        <w:t>ie</w:t>
      </w:r>
      <w:proofErr w:type="spellEnd"/>
      <w:r w:rsidRPr="000A18CE">
        <w:rPr>
          <w:sz w:val="8"/>
          <w:szCs w:val="18"/>
        </w:rPr>
        <w:t xml:space="preserve"> biodiversity and marine genetic resources) and to agree to stewardship duties beyond their national territories.171 Moreover, the strong dispute settlement mechanism under the LOSC provides procedural rights for states to ensure the public trust regimes under the LOSC and potentially the ILBI are upheld.</w:t>
      </w:r>
    </w:p>
    <w:p w14:paraId="6F20B435" w14:textId="77777777" w:rsidR="00F92D96" w:rsidRPr="000A18CE" w:rsidRDefault="00F92D96" w:rsidP="00F92D96">
      <w:pPr>
        <w:rPr>
          <w:sz w:val="8"/>
          <w:szCs w:val="18"/>
        </w:rPr>
      </w:pPr>
      <w:r w:rsidRPr="000A18CE">
        <w:rPr>
          <w:sz w:val="8"/>
          <w:szCs w:val="18"/>
        </w:rPr>
        <w:t xml:space="preserve">Oceans management is just one area with growing consensus amongst states to extend the material and geographic scopes of PTDs to address global environmental issues. This </w:t>
      </w:r>
      <w:proofErr w:type="spellStart"/>
      <w:r w:rsidRPr="000A18CE">
        <w:rPr>
          <w:sz w:val="8"/>
          <w:szCs w:val="18"/>
        </w:rPr>
        <w:t>transnationalisation</w:t>
      </w:r>
      <w:proofErr w:type="spellEnd"/>
      <w:r w:rsidRPr="000A18CE">
        <w:rPr>
          <w:sz w:val="8"/>
          <w:szCs w:val="18"/>
        </w:rPr>
        <w:t xml:space="preserve"> process also features in climate change litigation pertaining to atmospheric public trust resources, including in the case covered in Section 4.2, and terrestrial public trust resources, such as in international assistance projects covered in Section 4.3.</w:t>
      </w:r>
    </w:p>
    <w:p w14:paraId="54AE44F9" w14:textId="77777777" w:rsidR="00F92D96" w:rsidRPr="000A18CE" w:rsidRDefault="00F92D96" w:rsidP="00F92D96">
      <w:pPr>
        <w:rPr>
          <w:sz w:val="8"/>
          <w:szCs w:val="18"/>
        </w:rPr>
      </w:pPr>
      <w:r w:rsidRPr="000A18CE">
        <w:rPr>
          <w:sz w:val="8"/>
          <w:szCs w:val="18"/>
        </w:rPr>
        <w:t>4.2. States as trustees for beneficiaries beyond their citizens</w:t>
      </w:r>
    </w:p>
    <w:p w14:paraId="3C98D7B4" w14:textId="77777777" w:rsidR="00F92D96" w:rsidRPr="000A18CE" w:rsidRDefault="00F92D96" w:rsidP="00F92D96">
      <w:pPr>
        <w:rPr>
          <w:sz w:val="8"/>
          <w:szCs w:val="18"/>
        </w:rPr>
      </w:pPr>
      <w:r w:rsidRPr="000A18CE">
        <w:rPr>
          <w:sz w:val="8"/>
          <w:szCs w:val="18"/>
        </w:rPr>
        <w:t xml:space="preserve">Traditionally, the core concept of PTDs has been for states to steward natural resources for the benefit of their citizens. Recent developments show that certain PTDs have </w:t>
      </w:r>
      <w:proofErr w:type="spellStart"/>
      <w:r w:rsidRPr="000A18CE">
        <w:rPr>
          <w:sz w:val="8"/>
          <w:szCs w:val="18"/>
        </w:rPr>
        <w:t>transnationalised</w:t>
      </w:r>
      <w:proofErr w:type="spellEnd"/>
      <w:r w:rsidRPr="000A18CE">
        <w:rPr>
          <w:sz w:val="8"/>
          <w:szCs w:val="18"/>
        </w:rPr>
        <w:t xml:space="preserve"> by encompassing more beneficiaries, including, most remarkably, all of Earth's current and future inhabitants. In Colombia, for example, the Supreme Court of Justice </w:t>
      </w:r>
      <w:proofErr w:type="spellStart"/>
      <w:r w:rsidRPr="000A18CE">
        <w:rPr>
          <w:sz w:val="8"/>
          <w:szCs w:val="18"/>
        </w:rPr>
        <w:t>transnationalised</w:t>
      </w:r>
      <w:proofErr w:type="spellEnd"/>
      <w:r w:rsidRPr="000A18CE">
        <w:rPr>
          <w:sz w:val="8"/>
          <w:szCs w:val="18"/>
        </w:rPr>
        <w:t xml:space="preserve"> Colombia's PTD in the landmark judgment Future Generations v Ministry of Environment and Others.172 Twenty-five Indigenous and non-Indigenous youth plaintiffs sued the Ministry of Environment and three corporations for not reducing deforestation in the Colombian Amazon Rainforest and greenhouse gas emissions. The plaintiffs claimed that the state's failure to fulfil its related constitutional and legislative duties and international commitments under the Paris Agreement led to violations of their fundamental rights.173 The Court </w:t>
      </w:r>
      <w:proofErr w:type="spellStart"/>
      <w:r w:rsidRPr="000A18CE">
        <w:rPr>
          <w:sz w:val="8"/>
          <w:szCs w:val="18"/>
        </w:rPr>
        <w:t>recognised</w:t>
      </w:r>
      <w:proofErr w:type="spellEnd"/>
      <w:r w:rsidRPr="000A18CE">
        <w:rPr>
          <w:sz w:val="8"/>
          <w:szCs w:val="18"/>
        </w:rPr>
        <w:t xml:space="preserve"> that the Colombian Amazon Rainforest's natural resources ‘are shared by all inhabitants of Planet Earth, and by their descendants or future generations who do not yet have a physical hold of them’.174</w:t>
      </w:r>
    </w:p>
    <w:p w14:paraId="4E97E6A9" w14:textId="77777777" w:rsidR="00F92D96" w:rsidRPr="000A18CE" w:rsidRDefault="00F92D96" w:rsidP="00F92D96">
      <w:pPr>
        <w:rPr>
          <w:sz w:val="8"/>
          <w:szCs w:val="18"/>
        </w:rPr>
      </w:pPr>
      <w:r w:rsidRPr="000A18CE">
        <w:rPr>
          <w:sz w:val="8"/>
          <w:szCs w:val="18"/>
        </w:rPr>
        <w:t xml:space="preserve">Colombia's PTD is implicit in provisions of the Constitution of 1991.175 The state has duties to protect its cultural and natural assets.176 To guarantee the right to a healthy environment, it must protect the environment's diversity and integrity, conserve ecologically important areas and foster education to achieve those ends.177 It must plan the handling and use of natural resources to guarantee sustainable development, conservation, restoration or replacement.178 The state also has duties to monitor the protection of public space and its common use and interest, which have priority over individual interests.179 In applying these duties to the Colombian Amazon Rainforest, one of the planet's most biodiverse ecosystems and considered to be a ‘lung of the world’, the Court identified the universal value of natural resources in the Colombian Amazon Rainforest and motivated its judgment on stewardship of these natural resources as benefiting not just the plaintiffs, but all of Earth's current and future inhabitants.180 The Court thereby applied the intergenerational equity principle in determining the extent of the state stewardship duties over its duty to guarantee sustainable development through the use of the rainforest's natural resources. This </w:t>
      </w:r>
      <w:proofErr w:type="spellStart"/>
      <w:r w:rsidRPr="000A18CE">
        <w:rPr>
          <w:sz w:val="8"/>
          <w:szCs w:val="18"/>
        </w:rPr>
        <w:t>transnationalisation</w:t>
      </w:r>
      <w:proofErr w:type="spellEnd"/>
      <w:r w:rsidRPr="000A18CE">
        <w:rPr>
          <w:sz w:val="8"/>
          <w:szCs w:val="18"/>
        </w:rPr>
        <w:t xml:space="preserve"> process is even more apparent in the Court's interpretation of Colombia's implicit PTD within the context of the ‘global ecological public order’.181</w:t>
      </w:r>
    </w:p>
    <w:p w14:paraId="3478CC2B" w14:textId="77777777" w:rsidR="00F92D96" w:rsidRPr="000A18CE" w:rsidRDefault="00F92D96" w:rsidP="00F92D96">
      <w:pPr>
        <w:rPr>
          <w:sz w:val="8"/>
          <w:szCs w:val="18"/>
        </w:rPr>
      </w:pPr>
      <w:r w:rsidRPr="000A18CE">
        <w:rPr>
          <w:sz w:val="8"/>
          <w:szCs w:val="18"/>
        </w:rPr>
        <w:t xml:space="preserve">This judgment elicits several questions on procedural rights and remedies. The Court progressively granted the youth plaintiffs locus standi for their novel climate change claim.182 The Court's five injunctions required the Presidency, Ministries of Environment and Agriculture and corporations, in coordination with the youth plaintiffs, affected communities and interested public, to develop action plans, mitigate deforestation and construct an Intergenerational Pact for the Life of the Colombian Amazon.183 This granted the youth plaintiffs, including Indigenous youth, additional rights in the execution of the orders. As a state party to the Indigenous and Tribal Peoples Convention, this coordination requirement could contribute to Colombia's Article 7(4) obligations to co-operate with Indigenous Peoples to protect the land they inhabit. The Court also </w:t>
      </w:r>
      <w:proofErr w:type="spellStart"/>
      <w:r w:rsidRPr="000A18CE">
        <w:rPr>
          <w:sz w:val="8"/>
          <w:szCs w:val="18"/>
        </w:rPr>
        <w:t>recognised</w:t>
      </w:r>
      <w:proofErr w:type="spellEnd"/>
      <w:r w:rsidRPr="000A18CE">
        <w:rPr>
          <w:sz w:val="8"/>
          <w:szCs w:val="18"/>
        </w:rPr>
        <w:t xml:space="preserve"> the Amazon Rainforest itself as a subject of rights.184 However, it remains unclear as to whether all Earth's inhabitants and nature itself would have locus standi to hold Colombia accountable in future cases.185</w:t>
      </w:r>
    </w:p>
    <w:p w14:paraId="193D613E" w14:textId="77777777" w:rsidR="00F92D96" w:rsidRPr="000A18CE" w:rsidRDefault="00F92D96" w:rsidP="00F92D96">
      <w:pPr>
        <w:rPr>
          <w:sz w:val="8"/>
          <w:szCs w:val="18"/>
        </w:rPr>
      </w:pPr>
      <w:r w:rsidRPr="000A18CE">
        <w:rPr>
          <w:sz w:val="8"/>
          <w:szCs w:val="18"/>
        </w:rPr>
        <w:t xml:space="preserve">Beyond Colombia, transnational procedural rights of and remedies for non-citizens might be provided in national or international law. For example, the Aarhus Convention has a Compliance Committee that can be used to ensure parties comply with their obligation to provide the public with access to justice and information and participation rights in environmental decision-making.186 This and several other treaties under the aegis of the United Nations Economic Commission for Europe require or encourage parties to ensure that citizens of </w:t>
      </w:r>
      <w:proofErr w:type="spellStart"/>
      <w:r w:rsidRPr="000A18CE">
        <w:rPr>
          <w:sz w:val="8"/>
          <w:szCs w:val="18"/>
        </w:rPr>
        <w:t>neighbouring</w:t>
      </w:r>
      <w:proofErr w:type="spellEnd"/>
      <w:r w:rsidRPr="000A18CE">
        <w:rPr>
          <w:sz w:val="8"/>
          <w:szCs w:val="18"/>
        </w:rPr>
        <w:t xml:space="preserve"> countries have the same rights in environmental decision-making as their own citizens. To better understand how transboundary procedural rights relate to PTDs, additional </w:t>
      </w:r>
      <w:proofErr w:type="spellStart"/>
      <w:r w:rsidRPr="000A18CE">
        <w:rPr>
          <w:sz w:val="8"/>
          <w:szCs w:val="18"/>
        </w:rPr>
        <w:t>transnationalisation</w:t>
      </w:r>
      <w:proofErr w:type="spellEnd"/>
      <w:r w:rsidRPr="000A18CE">
        <w:rPr>
          <w:sz w:val="8"/>
          <w:szCs w:val="18"/>
        </w:rPr>
        <w:t xml:space="preserve"> research is warranted on states that have PTDs and that are parties to such instruments.</w:t>
      </w:r>
    </w:p>
    <w:p w14:paraId="62C85645" w14:textId="77777777" w:rsidR="00F92D96" w:rsidRPr="000A18CE" w:rsidRDefault="00F92D96" w:rsidP="00F92D96">
      <w:pPr>
        <w:rPr>
          <w:sz w:val="8"/>
          <w:szCs w:val="18"/>
        </w:rPr>
      </w:pPr>
      <w:r w:rsidRPr="000A18CE">
        <w:rPr>
          <w:sz w:val="8"/>
          <w:szCs w:val="18"/>
        </w:rPr>
        <w:t xml:space="preserve">The </w:t>
      </w:r>
      <w:proofErr w:type="spellStart"/>
      <w:r w:rsidRPr="000A18CE">
        <w:rPr>
          <w:sz w:val="8"/>
          <w:szCs w:val="18"/>
        </w:rPr>
        <w:t>transnationalisation</w:t>
      </w:r>
      <w:proofErr w:type="spellEnd"/>
      <w:r w:rsidRPr="000A18CE">
        <w:rPr>
          <w:sz w:val="8"/>
          <w:szCs w:val="18"/>
        </w:rPr>
        <w:t xml:space="preserve"> process </w:t>
      </w:r>
      <w:proofErr w:type="spellStart"/>
      <w:r w:rsidRPr="000A18CE">
        <w:rPr>
          <w:sz w:val="8"/>
          <w:szCs w:val="18"/>
        </w:rPr>
        <w:t>analysed</w:t>
      </w:r>
      <w:proofErr w:type="spellEnd"/>
      <w:r w:rsidRPr="000A18CE">
        <w:rPr>
          <w:sz w:val="8"/>
          <w:szCs w:val="18"/>
        </w:rPr>
        <w:t xml:space="preserve"> in Future Generations arguably did not relinquish Colombia's sovereignty any more than the government did in ratifying its Constitution, Law 1753 of 2015 or the Paris Agreement. Rather, it shows the decisive role that judiciaries play in evaluating existing state stewardship duties against the law and information on global climate change. It also adapted the objectives of Colombia's PTD to include global ecology, climate justice and environmental </w:t>
      </w:r>
      <w:proofErr w:type="spellStart"/>
      <w:r w:rsidRPr="000A18CE">
        <w:rPr>
          <w:sz w:val="8"/>
          <w:szCs w:val="18"/>
        </w:rPr>
        <w:t>decolonisation</w:t>
      </w:r>
      <w:proofErr w:type="spellEnd"/>
      <w:r w:rsidRPr="000A18CE">
        <w:rPr>
          <w:sz w:val="8"/>
          <w:szCs w:val="18"/>
        </w:rPr>
        <w:t xml:space="preserve">. The latter two are evidenced in the remedies for young and future generations, including Indigenous ones. Beyond Colombia, numerous national and international public trust regimes have similarly </w:t>
      </w:r>
      <w:proofErr w:type="spellStart"/>
      <w:r w:rsidRPr="000A18CE">
        <w:rPr>
          <w:sz w:val="8"/>
          <w:szCs w:val="18"/>
        </w:rPr>
        <w:t>transnationalised</w:t>
      </w:r>
      <w:proofErr w:type="spellEnd"/>
      <w:r w:rsidRPr="000A18CE">
        <w:rPr>
          <w:sz w:val="8"/>
          <w:szCs w:val="18"/>
        </w:rPr>
        <w:t xml:space="preserve"> or could through case law, </w:t>
      </w:r>
      <w:proofErr w:type="gramStart"/>
      <w:r w:rsidRPr="000A18CE">
        <w:rPr>
          <w:sz w:val="8"/>
          <w:szCs w:val="18"/>
        </w:rPr>
        <w:t>legislation</w:t>
      </w:r>
      <w:proofErr w:type="gramEnd"/>
      <w:r w:rsidRPr="000A18CE">
        <w:rPr>
          <w:sz w:val="8"/>
          <w:szCs w:val="18"/>
        </w:rPr>
        <w:t xml:space="preserve"> and international law instruments. For example, the draft ILBI, as mentioned in Section 4.1, is currently written to require states to steward resources for the benefit of all humanity, present and future.187</w:t>
      </w:r>
    </w:p>
    <w:p w14:paraId="3AA29199" w14:textId="77777777" w:rsidR="00F92D96" w:rsidRPr="000A18CE" w:rsidRDefault="00F92D96" w:rsidP="00F92D96">
      <w:pPr>
        <w:rPr>
          <w:sz w:val="8"/>
          <w:szCs w:val="18"/>
        </w:rPr>
      </w:pPr>
      <w:r w:rsidRPr="000A18CE">
        <w:rPr>
          <w:sz w:val="8"/>
          <w:szCs w:val="18"/>
        </w:rPr>
        <w:t>4.3. Joint trusteeship between multiple states and states and non-state actors</w:t>
      </w:r>
    </w:p>
    <w:p w14:paraId="09B87014" w14:textId="77777777" w:rsidR="00F92D96" w:rsidRPr="000A18CE" w:rsidRDefault="00F92D96" w:rsidP="00F92D96">
      <w:pPr>
        <w:rPr>
          <w:sz w:val="8"/>
          <w:szCs w:val="18"/>
        </w:rPr>
      </w:pPr>
      <w:r w:rsidRPr="000A18CE">
        <w:rPr>
          <w:sz w:val="8"/>
          <w:szCs w:val="18"/>
        </w:rPr>
        <w:t xml:space="preserve">PTDs have traditionally required states to solely steward public trust resources within their national territories. With many public trust resources and beneficiaries now transcending states’ territories and citizens, effectively applying PTDs requires stewardship from two or more states. Joint public trust regimes have increased with states assisting other states to steward public trust resources and working alongside each other and non-state actors for this purpose. Parties to the World Heritage Convention, for example, have assisted other parties in stewarding natural heritage sites that contain public trust resources.188 Although sites are in national territories and the World Heritage Convention posits sites as state property, the World Heritage Fund's International Assistance </w:t>
      </w:r>
      <w:proofErr w:type="spellStart"/>
      <w:r w:rsidRPr="000A18CE">
        <w:rPr>
          <w:sz w:val="8"/>
          <w:szCs w:val="18"/>
        </w:rPr>
        <w:t>programme</w:t>
      </w:r>
      <w:proofErr w:type="spellEnd"/>
      <w:r w:rsidRPr="000A18CE">
        <w:rPr>
          <w:sz w:val="8"/>
          <w:szCs w:val="18"/>
        </w:rPr>
        <w:t xml:space="preserve"> facilitates states in supporting other states’ stewardship duties. States have donated funds for capacity-building, </w:t>
      </w:r>
      <w:proofErr w:type="gramStart"/>
      <w:r w:rsidRPr="000A18CE">
        <w:rPr>
          <w:sz w:val="8"/>
          <w:szCs w:val="18"/>
        </w:rPr>
        <w:t>restoration</w:t>
      </w:r>
      <w:proofErr w:type="gramEnd"/>
      <w:r w:rsidRPr="000A18CE">
        <w:rPr>
          <w:sz w:val="8"/>
          <w:szCs w:val="18"/>
        </w:rPr>
        <w:t xml:space="preserve"> and support for other states to nominate natural heritage sites. When recipient states have PTDs and sites containing public trust resources, these donations contribute to them fulfilling their stewardship duties under PTDs.189 Donor states are not always physically involved in stewarding the subjected public trust resources, but their financial and technical assistance enable recipient states to do so.190 Moreover, the International Assistance Panel plays a critical role in facilitating these projects and is therefore also a stewardship partner.</w:t>
      </w:r>
    </w:p>
    <w:p w14:paraId="03B06C69" w14:textId="77777777" w:rsidR="00F92D96" w:rsidRPr="000A18CE" w:rsidRDefault="00F92D96" w:rsidP="00F92D96">
      <w:pPr>
        <w:rPr>
          <w:sz w:val="8"/>
          <w:szCs w:val="18"/>
        </w:rPr>
      </w:pPr>
      <w:r w:rsidRPr="000A18CE">
        <w:rPr>
          <w:sz w:val="8"/>
          <w:szCs w:val="18"/>
        </w:rPr>
        <w:t xml:space="preserve">This </w:t>
      </w:r>
      <w:proofErr w:type="spellStart"/>
      <w:r w:rsidRPr="000A18CE">
        <w:rPr>
          <w:sz w:val="8"/>
          <w:szCs w:val="18"/>
        </w:rPr>
        <w:t>transnationalisation</w:t>
      </w:r>
      <w:proofErr w:type="spellEnd"/>
      <w:r w:rsidRPr="000A18CE">
        <w:rPr>
          <w:sz w:val="8"/>
          <w:szCs w:val="18"/>
        </w:rPr>
        <w:t xml:space="preserve"> process can also be identified elsewhere. In climate change litigation, national judiciaries have </w:t>
      </w:r>
      <w:proofErr w:type="spellStart"/>
      <w:r w:rsidRPr="000A18CE">
        <w:rPr>
          <w:sz w:val="8"/>
          <w:szCs w:val="18"/>
        </w:rPr>
        <w:t>recognised</w:t>
      </w:r>
      <w:proofErr w:type="spellEnd"/>
      <w:r w:rsidRPr="000A18CE">
        <w:rPr>
          <w:sz w:val="8"/>
          <w:szCs w:val="18"/>
        </w:rPr>
        <w:t xml:space="preserve"> individual states’ duties as inseparable from international, collective efforts to address climate change.191 In Asghar Leghari v Federation of Pakistan, for example, the Lahore High Court found that Pakistan did not implement its climate change policies and therefore did not fulfil its duties to steward the atmosphere, which is a </w:t>
      </w:r>
      <w:proofErr w:type="spellStart"/>
      <w:r w:rsidRPr="000A18CE">
        <w:rPr>
          <w:sz w:val="8"/>
          <w:szCs w:val="18"/>
        </w:rPr>
        <w:t>recognised</w:t>
      </w:r>
      <w:proofErr w:type="spellEnd"/>
      <w:r w:rsidRPr="000A18CE">
        <w:rPr>
          <w:sz w:val="8"/>
          <w:szCs w:val="18"/>
        </w:rPr>
        <w:t xml:space="preserve"> public trust resource in Pakistan.192 The Court reviewed the government's commitments, including to ‘seek international collaboration in funding the management and conservation of natural resources in the global perspective’.193 Conceivably, the Court considered Pakistan's stewardship duties as integral to the international community's efforts to combat climate change. A national court cannot prescribe stewardship duties to third states, but this judicial ideology </w:t>
      </w:r>
      <w:proofErr w:type="spellStart"/>
      <w:r w:rsidRPr="000A18CE">
        <w:rPr>
          <w:sz w:val="8"/>
          <w:szCs w:val="18"/>
        </w:rPr>
        <w:t>transnationalised</w:t>
      </w:r>
      <w:proofErr w:type="spellEnd"/>
      <w:r w:rsidRPr="000A18CE">
        <w:rPr>
          <w:sz w:val="8"/>
          <w:szCs w:val="18"/>
        </w:rPr>
        <w:t xml:space="preserve"> Pakistan's PTD by positioning it as one component of collective stewardship efforts to address a global environmental issue.</w:t>
      </w:r>
    </w:p>
    <w:p w14:paraId="223BB404" w14:textId="77777777" w:rsidR="00F92D96" w:rsidRPr="000A18CE" w:rsidRDefault="00F92D96" w:rsidP="00F92D96">
      <w:pPr>
        <w:rPr>
          <w:sz w:val="8"/>
          <w:szCs w:val="18"/>
        </w:rPr>
      </w:pPr>
      <w:r w:rsidRPr="000A18CE">
        <w:rPr>
          <w:sz w:val="8"/>
          <w:szCs w:val="18"/>
        </w:rPr>
        <w:t xml:space="preserve">Building on Section 4, oceans management provides another example with LOSC state parties working with the Authority and each other through the Authority to jointly steward the common heritage of humankind. The Authority has powers to oversee activities on the international seabed; however, in the Assembly of the Authority, member states set the agenda and make decisions.194 Furthermore, the general obligations of state parties to protect and preserve the marine environment also applies to the international seabed.195 State parties thus work with the Authority and each other to jointly steward the common heritage of humankind beyond their national territories. These three examples illustrate how international commitments of joint stewardship and judicial interpretations are </w:t>
      </w:r>
      <w:proofErr w:type="spellStart"/>
      <w:r w:rsidRPr="000A18CE">
        <w:rPr>
          <w:sz w:val="8"/>
          <w:szCs w:val="18"/>
        </w:rPr>
        <w:t>transnationalising</w:t>
      </w:r>
      <w:proofErr w:type="spellEnd"/>
      <w:r w:rsidRPr="000A18CE">
        <w:rPr>
          <w:sz w:val="8"/>
          <w:szCs w:val="18"/>
        </w:rPr>
        <w:t xml:space="preserve"> implicit and </w:t>
      </w:r>
      <w:proofErr w:type="spellStart"/>
      <w:r w:rsidRPr="000A18CE">
        <w:rPr>
          <w:sz w:val="8"/>
          <w:szCs w:val="18"/>
        </w:rPr>
        <w:t>formalised</w:t>
      </w:r>
      <w:proofErr w:type="spellEnd"/>
      <w:r w:rsidRPr="000A18CE">
        <w:rPr>
          <w:sz w:val="8"/>
          <w:szCs w:val="18"/>
        </w:rPr>
        <w:t xml:space="preserve"> PTDs, at least for donor and beneficiary country of the World Heritage Fund's International Assistance </w:t>
      </w:r>
      <w:proofErr w:type="spellStart"/>
      <w:r w:rsidRPr="000A18CE">
        <w:rPr>
          <w:sz w:val="8"/>
          <w:szCs w:val="18"/>
        </w:rPr>
        <w:t>programme</w:t>
      </w:r>
      <w:proofErr w:type="spellEnd"/>
      <w:r w:rsidRPr="000A18CE">
        <w:rPr>
          <w:sz w:val="8"/>
          <w:szCs w:val="18"/>
        </w:rPr>
        <w:t>, in Pakistani jurisprudence and for all states with PTDs that are parties to the LOSC.</w:t>
      </w:r>
    </w:p>
    <w:p w14:paraId="6775B5F2" w14:textId="77777777" w:rsidR="00F92D96" w:rsidRPr="000A18CE" w:rsidRDefault="00F92D96" w:rsidP="00F92D96">
      <w:pPr>
        <w:rPr>
          <w:sz w:val="12"/>
        </w:rPr>
      </w:pPr>
      <w:r w:rsidRPr="000A18CE">
        <w:rPr>
          <w:sz w:val="12"/>
        </w:rPr>
        <w:t>5. Conclusion: towards global public trust doctrines</w:t>
      </w:r>
    </w:p>
    <w:p w14:paraId="29D20378" w14:textId="77777777" w:rsidR="00F92D96" w:rsidRPr="00DA7873" w:rsidRDefault="00F92D96" w:rsidP="00F92D96">
      <w:pPr>
        <w:rPr>
          <w:sz w:val="12"/>
        </w:rPr>
      </w:pPr>
      <w:r w:rsidRPr="000A18CE">
        <w:rPr>
          <w:sz w:val="12"/>
        </w:rPr>
        <w:t xml:space="preserve">The Westphalian state sovereignty system maintains a legal order that inclines PTDs to be fixed to national territories. This order's limitations create obstacles for PTDs to adequately respond to global environmental issues. </w:t>
      </w:r>
      <w:r w:rsidRPr="0007305B">
        <w:rPr>
          <w:rStyle w:val="StyleUnderline"/>
        </w:rPr>
        <w:t>The project of global law</w:t>
      </w:r>
      <w:r w:rsidRPr="000A18CE">
        <w:rPr>
          <w:sz w:val="12"/>
        </w:rPr>
        <w:t xml:space="preserve">, </w:t>
      </w:r>
      <w:r w:rsidRPr="00DA7873">
        <w:rPr>
          <w:sz w:val="12"/>
        </w:rPr>
        <w:t xml:space="preserve">however, </w:t>
      </w:r>
      <w:r w:rsidRPr="00DA7873">
        <w:rPr>
          <w:rStyle w:val="StyleUnderline"/>
        </w:rPr>
        <w:t xml:space="preserve">calls for humanity to </w:t>
      </w:r>
      <w:proofErr w:type="spellStart"/>
      <w:r w:rsidRPr="00DA7873">
        <w:rPr>
          <w:rStyle w:val="StyleUnderline"/>
        </w:rPr>
        <w:t>recognise</w:t>
      </w:r>
      <w:proofErr w:type="spellEnd"/>
      <w:r w:rsidRPr="00DA7873">
        <w:rPr>
          <w:rStyle w:val="StyleUnderline"/>
        </w:rPr>
        <w:t xml:space="preserve"> its common problems across national borders and collectively generate effective responses</w:t>
      </w:r>
      <w:r w:rsidRPr="00DA7873">
        <w:rPr>
          <w:sz w:val="12"/>
        </w:rPr>
        <w:t xml:space="preserve">.196 </w:t>
      </w:r>
      <w:r w:rsidRPr="00DA7873">
        <w:rPr>
          <w:rStyle w:val="StyleUnderline"/>
        </w:rPr>
        <w:t xml:space="preserve">Global environmental law is gradually emerging through the </w:t>
      </w:r>
      <w:proofErr w:type="spellStart"/>
      <w:r w:rsidRPr="00DA7873">
        <w:rPr>
          <w:rStyle w:val="StyleUnderline"/>
        </w:rPr>
        <w:t>transnationalisation</w:t>
      </w:r>
      <w:proofErr w:type="spellEnd"/>
      <w:r w:rsidRPr="00DA7873">
        <w:rPr>
          <w:rStyle w:val="StyleUnderline"/>
        </w:rPr>
        <w:t xml:space="preserve"> of environmental law principles and procedures, providing a basis for the world's disparate and diverse legal systems to </w:t>
      </w:r>
      <w:proofErr w:type="gramStart"/>
      <w:r w:rsidRPr="00DA7873">
        <w:rPr>
          <w:rStyle w:val="StyleUnderline"/>
        </w:rPr>
        <w:t>more collectively and comprehensively address widespread issues</w:t>
      </w:r>
      <w:proofErr w:type="gramEnd"/>
      <w:r w:rsidRPr="00DA7873">
        <w:rPr>
          <w:sz w:val="12"/>
        </w:rPr>
        <w:t>. In some instances, this provides procedural rights for states, civil society and/or individuals to ensure those principles and procedures are upheld across borders.197 The widespread existence of public trust regimes warrants analysis regarding if and how PTDs can be applied to address global environmental issues.</w:t>
      </w:r>
    </w:p>
    <w:p w14:paraId="78DBE46A" w14:textId="77777777" w:rsidR="00F92D96" w:rsidRPr="000A18CE" w:rsidRDefault="00F92D96" w:rsidP="00F92D96">
      <w:pPr>
        <w:rPr>
          <w:sz w:val="12"/>
        </w:rPr>
      </w:pPr>
      <w:r w:rsidRPr="00DA7873">
        <w:rPr>
          <w:rStyle w:val="StyleUnderline"/>
        </w:rPr>
        <w:t xml:space="preserve">PTDs have </w:t>
      </w:r>
      <w:proofErr w:type="spellStart"/>
      <w:r w:rsidRPr="00DA7873">
        <w:rPr>
          <w:rStyle w:val="StyleUnderline"/>
        </w:rPr>
        <w:t>internationalised</w:t>
      </w:r>
      <w:proofErr w:type="spellEnd"/>
      <w:r w:rsidRPr="00DA7873">
        <w:rPr>
          <w:rStyle w:val="StyleUnderline"/>
        </w:rPr>
        <w:t xml:space="preserve"> by states spreading them to n</w:t>
      </w:r>
      <w:r w:rsidRPr="0007305B">
        <w:rPr>
          <w:rStyle w:val="StyleUnderline"/>
        </w:rPr>
        <w:t>ational and international legal systems, states commonly applying related international environmental law principles and states consenting to public trust regimes in international law instruments</w:t>
      </w:r>
      <w:r w:rsidRPr="000A18CE">
        <w:rPr>
          <w:sz w:val="12"/>
        </w:rPr>
        <w:t xml:space="preserve">. In addition to PTDs’ traditional limitations, public trust scholarship on these </w:t>
      </w:r>
      <w:proofErr w:type="spellStart"/>
      <w:r w:rsidRPr="000A18CE">
        <w:rPr>
          <w:sz w:val="12"/>
        </w:rPr>
        <w:t>internationalisation</w:t>
      </w:r>
      <w:proofErr w:type="spellEnd"/>
      <w:r w:rsidRPr="000A18CE">
        <w:rPr>
          <w:sz w:val="12"/>
        </w:rPr>
        <w:t xml:space="preserve"> processes has often reduced PTDs to patrimony of England and the United States; this has arguably contributed to the shortcomings of PTDs. Further investigations on the complexities of individual PTDs, including their histories, legal contexts and relations to pre-existing and local stewardship duties, may provide insights into the shortcomings of PTDs and solutions for overcoming these.198 PTDs in settler colonial nations, for example, need to be critically </w:t>
      </w:r>
      <w:proofErr w:type="spellStart"/>
      <w:r w:rsidRPr="000A18CE">
        <w:rPr>
          <w:sz w:val="12"/>
        </w:rPr>
        <w:t>analysed</w:t>
      </w:r>
      <w:proofErr w:type="spellEnd"/>
      <w:r w:rsidRPr="000A18CE">
        <w:rPr>
          <w:sz w:val="12"/>
        </w:rPr>
        <w:t xml:space="preserve"> against Indigenous stewardship systems: Indigenous stewardship systems may have centrally influenced these PTDs’ development (</w:t>
      </w:r>
      <w:proofErr w:type="spellStart"/>
      <w:r w:rsidRPr="000A18CE">
        <w:rPr>
          <w:sz w:val="12"/>
        </w:rPr>
        <w:t>ie</w:t>
      </w:r>
      <w:proofErr w:type="spellEnd"/>
      <w:r w:rsidRPr="000A18CE">
        <w:rPr>
          <w:sz w:val="12"/>
        </w:rPr>
        <w:t xml:space="preserve"> through the appropriation of and/or resistance to Indigenous stewardship systems), and Indigenous Peoples have proven track records and </w:t>
      </w:r>
      <w:proofErr w:type="spellStart"/>
      <w:r w:rsidRPr="000A18CE">
        <w:rPr>
          <w:sz w:val="12"/>
        </w:rPr>
        <w:t>specialised</w:t>
      </w:r>
      <w:proofErr w:type="spellEnd"/>
      <w:r w:rsidRPr="000A18CE">
        <w:rPr>
          <w:sz w:val="12"/>
        </w:rPr>
        <w:t xml:space="preserve"> knowledge in successfully stewarding natural resources over extended periods of time. Furthermore, comparative analysis on how multiple PTDs address the same global environmental issue will provide evidence on the individual and joint functions of public trust regimes and their effective uses.</w:t>
      </w:r>
    </w:p>
    <w:p w14:paraId="26D69DD6" w14:textId="77777777" w:rsidR="00F92D96" w:rsidRPr="00F9220C" w:rsidRDefault="00F92D96" w:rsidP="00F92D96">
      <w:pPr>
        <w:rPr>
          <w:sz w:val="12"/>
        </w:rPr>
      </w:pPr>
      <w:r w:rsidRPr="0007305B">
        <w:rPr>
          <w:rStyle w:val="StyleUnderline"/>
        </w:rPr>
        <w:t xml:space="preserve">The </w:t>
      </w:r>
      <w:proofErr w:type="spellStart"/>
      <w:r w:rsidRPr="0007305B">
        <w:rPr>
          <w:rStyle w:val="StyleUnderline"/>
        </w:rPr>
        <w:t>transnationalisation</w:t>
      </w:r>
      <w:proofErr w:type="spellEnd"/>
      <w:r w:rsidRPr="0007305B">
        <w:rPr>
          <w:rStyle w:val="StyleUnderline"/>
        </w:rPr>
        <w:t xml:space="preserve"> of PTDs is advancing, both nationally and internationally</w:t>
      </w:r>
      <w:r w:rsidRPr="000A18CE">
        <w:rPr>
          <w:sz w:val="12"/>
        </w:rPr>
        <w:t xml:space="preserve">. </w:t>
      </w:r>
      <w:r w:rsidRPr="0007305B">
        <w:rPr>
          <w:rStyle w:val="StyleUnderline"/>
        </w:rPr>
        <w:t xml:space="preserve">States are widening PTDs’ material and geographic scopes, including by </w:t>
      </w:r>
      <w:proofErr w:type="spellStart"/>
      <w:r w:rsidRPr="0007305B">
        <w:rPr>
          <w:rStyle w:val="StyleUnderline"/>
        </w:rPr>
        <w:t>recognising</w:t>
      </w:r>
      <w:proofErr w:type="spellEnd"/>
      <w:r w:rsidRPr="0007305B">
        <w:rPr>
          <w:rStyle w:val="StyleUnderline"/>
        </w:rPr>
        <w:t xml:space="preserve"> public trust resources beyond their national territories and stewarding for beneficiaries beyond their citizens</w:t>
      </w:r>
      <w:r w:rsidRPr="000A18CE">
        <w:rPr>
          <w:sz w:val="12"/>
        </w:rPr>
        <w:t xml:space="preserve">. The selected </w:t>
      </w:r>
      <w:proofErr w:type="spellStart"/>
      <w:r w:rsidRPr="000A18CE">
        <w:rPr>
          <w:sz w:val="12"/>
        </w:rPr>
        <w:t>transnationalisation</w:t>
      </w:r>
      <w:proofErr w:type="spellEnd"/>
      <w:r w:rsidRPr="000A18CE">
        <w:rPr>
          <w:sz w:val="12"/>
        </w:rPr>
        <w:t xml:space="preserve"> examples provided in Section 4 illustrate the burgeoning legal metalanguage of global PTDs. Prior public trust scholarship concluded that states are reluctant to </w:t>
      </w:r>
      <w:proofErr w:type="spellStart"/>
      <w:r w:rsidRPr="000A18CE">
        <w:rPr>
          <w:sz w:val="12"/>
        </w:rPr>
        <w:t>transnationalise</w:t>
      </w:r>
      <w:proofErr w:type="spellEnd"/>
      <w:r w:rsidRPr="000A18CE">
        <w:rPr>
          <w:sz w:val="12"/>
        </w:rPr>
        <w:t xml:space="preserve"> PTDs due to a perceived relinquishment of sovereignty; however, despite global PTDs being compatible with post-Westphalian concepts, Section 4 has shown that this is not a requisite.199 </w:t>
      </w:r>
      <w:proofErr w:type="spellStart"/>
      <w:r w:rsidRPr="000A18CE">
        <w:rPr>
          <w:sz w:val="12"/>
        </w:rPr>
        <w:t>Transnationalising</w:t>
      </w:r>
      <w:proofErr w:type="spellEnd"/>
      <w:r w:rsidRPr="000A18CE">
        <w:rPr>
          <w:sz w:val="12"/>
        </w:rPr>
        <w:t xml:space="preserve"> PTDs essentially requires states to reconcile their individual and joint stewardship duties, which they themselves consent to through lawmaking and/or ratifying or acceding to treaties, in order to protect natural resources against global environmental issues. PTDs’ common feature of adaptability, including their receptiveness to new information and application to novel environmental issues, enables states to recalibrate their PTDs accordingly, if needed.</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2"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xml:space="preserve">, a type of Natural Resource Fund, </w:t>
      </w:r>
      <w:r w:rsidRPr="006A328F">
        <w:rPr>
          <w:rStyle w:val="StyleUnderline"/>
          <w:highlight w:val="yellow"/>
        </w:rPr>
        <w:t>is</w:t>
      </w:r>
      <w:r w:rsidRPr="006A328F">
        <w:rPr>
          <w:sz w:val="10"/>
        </w:rPr>
        <w:t xml:space="preserve"> thus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example that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while also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 the 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6A328F">
        <w:rPr>
          <w:rStyle w:val="StyleUnderline"/>
          <w:highlight w:val="yellow"/>
        </w:rPr>
        <w:t xml:space="preserve">These include </w:t>
      </w:r>
      <w:r w:rsidRPr="006A328F">
        <w:rPr>
          <w:rStyle w:val="Emphasis"/>
          <w:highlight w:val="yellow"/>
        </w:rPr>
        <w:t>offshore oil drilling</w:t>
      </w:r>
      <w:r w:rsidRPr="006A328F">
        <w:rPr>
          <w:rStyle w:val="StyleUnderline"/>
          <w:highlight w:val="yellow"/>
        </w:rPr>
        <w:t xml:space="preserve">, </w:t>
      </w:r>
      <w:r w:rsidRPr="006A328F">
        <w:rPr>
          <w:rStyle w:val="Emphasis"/>
          <w:highlight w:val="yellow"/>
        </w:rPr>
        <w:t>mining</w:t>
      </w:r>
      <w:r w:rsidRPr="006A328F">
        <w:rPr>
          <w:rStyle w:val="StyleUnderline"/>
          <w:highlight w:val="yellow"/>
        </w:rPr>
        <w:t xml:space="preserve">, </w:t>
      </w:r>
      <w:proofErr w:type="gramStart"/>
      <w:r w:rsidRPr="006A328F">
        <w:rPr>
          <w:rStyle w:val="Emphasis"/>
          <w:highlight w:val="yellow"/>
        </w:rPr>
        <w:t>timber</w:t>
      </w:r>
      <w:proofErr w:type="gramEnd"/>
      <w:r w:rsidRPr="006A328F">
        <w:rPr>
          <w:rStyle w:val="StyleUnderline"/>
          <w:highlight w:val="yellow"/>
        </w:rPr>
        <w:t xml:space="preserve"> and </w:t>
      </w:r>
      <w:r w:rsidRPr="006A328F">
        <w:rPr>
          <w:rStyle w:val="Emphasis"/>
          <w:highlight w:val="yellow"/>
        </w:rPr>
        <w:t>grazing</w:t>
      </w:r>
      <w:r w:rsidRPr="006A328F">
        <w:rPr>
          <w:rStyle w:val="StyleUnderline"/>
        </w:rPr>
        <w:t xml:space="preserve"> operations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152276">
        <w:rPr>
          <w:rStyle w:val="StyleUnderline"/>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world's</w:t>
      </w:r>
      <w:r w:rsidRPr="006A328F">
        <w:rPr>
          <w:rStyle w:val="StyleUnderline"/>
        </w:rPr>
        <w:t xml:space="preserve"> population</w:t>
      </w:r>
      <w:r w:rsidRPr="006A328F">
        <w:rPr>
          <w:sz w:val="10"/>
        </w:rPr>
        <w:t xml:space="preserve">. Instead, </w:t>
      </w:r>
      <w:r w:rsidRPr="006A328F">
        <w:rPr>
          <w:rStyle w:val="StyleUnderline"/>
          <w:highlight w:val="yellow"/>
        </w:rPr>
        <w:t>the</w:t>
      </w:r>
      <w:r w:rsidRPr="006A328F">
        <w:rPr>
          <w:rStyle w:val="StyleUnderline"/>
        </w:rPr>
        <w:t xml:space="preserve"> eventual </w:t>
      </w:r>
      <w:r w:rsidRPr="006A328F">
        <w:rPr>
          <w:rStyle w:val="StyleUnderline"/>
          <w:highlight w:val="yellow"/>
        </w:rPr>
        <w:t>wealth</w:t>
      </w:r>
      <w:r w:rsidRPr="006A328F">
        <w:rPr>
          <w:rStyle w:val="StyleUnderline"/>
        </w:rPr>
        <w:t xml:space="preserve"> from exploiting celestial bodies </w:t>
      </w:r>
      <w:r w:rsidRPr="006A328F">
        <w:rPr>
          <w:rStyle w:val="StyleUnderline"/>
          <w:highlight w:val="yellow"/>
        </w:rPr>
        <w:t xml:space="preserve">would be </w:t>
      </w:r>
      <w:r w:rsidRPr="006A328F">
        <w:rPr>
          <w:rStyle w:val="Emphasis"/>
          <w:highlight w:val="yellow"/>
        </w:rPr>
        <w:t>concentrated</w:t>
      </w:r>
      <w:r w:rsidRPr="006A328F">
        <w:rPr>
          <w:rStyle w:val="StyleUnderline"/>
        </w:rPr>
        <w:t xml:space="preserve"> in the hands of a few, </w:t>
      </w:r>
      <w:r w:rsidRPr="006A328F">
        <w:rPr>
          <w:rStyle w:val="Emphasis"/>
          <w:highlight w:val="yellow"/>
        </w:rPr>
        <w:t>exacerbating</w:t>
      </w:r>
      <w:r w:rsidRPr="006A328F">
        <w:rPr>
          <w:rStyle w:val="StyleUnderline"/>
        </w:rPr>
        <w:t xml:space="preserve"> rather than alleviating existing </w:t>
      </w:r>
      <w:r w:rsidRPr="006A328F">
        <w:rPr>
          <w:rStyle w:val="StyleUnderline"/>
          <w:highlight w:val="yellow"/>
        </w:rPr>
        <w:t>problems for</w:t>
      </w:r>
      <w:r w:rsidRPr="006A328F">
        <w:rPr>
          <w:rStyle w:val="StyleUnderline"/>
        </w:rPr>
        <w:t xml:space="preserve"> humanity and global </w:t>
      </w:r>
      <w:r w:rsidRPr="006A328F">
        <w:rPr>
          <w:rStyle w:val="Emphasis"/>
          <w:highlight w:val="yellow"/>
        </w:rPr>
        <w:t>sustainable development</w:t>
      </w:r>
      <w:r w:rsidRPr="006A328F">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152276">
        <w:rPr>
          <w:sz w:val="10"/>
        </w:rPr>
        <w:t>spatialis</w:t>
      </w:r>
      <w:proofErr w:type="spellEnd"/>
      <w:r w:rsidRPr="00152276">
        <w:rPr>
          <w:sz w:val="10"/>
        </w:rPr>
        <w:t xml:space="preserve"> </w:t>
      </w:r>
      <w:r w:rsidRPr="00152276">
        <w:rPr>
          <w:rStyle w:val="StyleUnderline"/>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3804D76D" w14:textId="77777777" w:rsidR="00372FA9" w:rsidRPr="00E46147" w:rsidRDefault="00372FA9" w:rsidP="00372FA9">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2CC953A8" w14:textId="77777777" w:rsidR="00372FA9" w:rsidRPr="00EC104B" w:rsidRDefault="00372FA9" w:rsidP="00372FA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29B0C74" w14:textId="77777777" w:rsidR="00372FA9" w:rsidRPr="00EC104B" w:rsidRDefault="00372FA9" w:rsidP="00372FA9">
      <w:pPr>
        <w:rPr>
          <w:rStyle w:val="Style13ptBold"/>
        </w:rPr>
      </w:pPr>
      <w:r w:rsidRPr="00EC104B">
        <w:rPr>
          <w:rStyle w:val="Style13ptBold"/>
        </w:rPr>
        <w:t>Raclin 86</w:t>
      </w:r>
    </w:p>
    <w:p w14:paraId="51398F5D" w14:textId="77777777" w:rsidR="00372FA9" w:rsidRPr="00EC104B" w:rsidRDefault="00372FA9" w:rsidP="00372FA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83DB8BB" w14:textId="77777777" w:rsidR="00372FA9" w:rsidRPr="00EC104B" w:rsidRDefault="00372FA9" w:rsidP="00372FA9"/>
    <w:p w14:paraId="62E49E85" w14:textId="77777777" w:rsidR="00372FA9" w:rsidRPr="00EC104B" w:rsidRDefault="00372FA9" w:rsidP="00372FA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77A2442E" w14:textId="77777777" w:rsidR="00372FA9" w:rsidRPr="00EC104B" w:rsidRDefault="00372FA9" w:rsidP="00372FA9">
      <w:pPr>
        <w:rPr>
          <w:sz w:val="16"/>
        </w:rPr>
      </w:pPr>
      <w:r w:rsidRPr="009D3B35">
        <w:rPr>
          <w:u w:val="single"/>
        </w:rPr>
        <w:t>From a purely practical standpoint</w:t>
      </w:r>
      <w:r w:rsidRPr="0056459B">
        <w:rPr>
          <w:highlight w:val="yellow"/>
          <w:u w:val="single"/>
        </w:rPr>
        <w:t>, unilateral action</w:t>
      </w:r>
      <w:r w:rsidRPr="00EC104B">
        <w:rPr>
          <w:u w:val="single"/>
        </w:rPr>
        <w:t xml:space="preserve"> by the United States to explore and exploit lunar and other resources </w:t>
      </w:r>
      <w:r w:rsidRPr="0056459B">
        <w:rPr>
          <w:highlight w:val="yellow"/>
          <w:u w:val="single"/>
        </w:rPr>
        <w:t xml:space="preserve">would be </w:t>
      </w:r>
      <w:r w:rsidRPr="0056459B">
        <w:rPr>
          <w:rStyle w:val="Emphasis"/>
          <w:highlight w:val="yellow"/>
        </w:rPr>
        <w:t>extremely inefficient</w:t>
      </w:r>
      <w:r w:rsidRPr="00EC104B">
        <w:rPr>
          <w:sz w:val="16"/>
        </w:rPr>
        <w:t xml:space="preserve">. </w:t>
      </w:r>
      <w:r w:rsidRPr="00EC104B">
        <w:rPr>
          <w:u w:val="single"/>
        </w:rPr>
        <w:t xml:space="preserve">Such an undertaking would </w:t>
      </w:r>
      <w:r w:rsidRPr="0056459B">
        <w:rPr>
          <w:highlight w:val="yellow"/>
          <w:u w:val="single"/>
        </w:rPr>
        <w:t>require duplicative</w:t>
      </w:r>
      <w:r w:rsidRPr="00EC104B">
        <w:rPr>
          <w:u w:val="single"/>
        </w:rPr>
        <w:t xml:space="preserve"> </w:t>
      </w:r>
      <w:r w:rsidRPr="0056459B">
        <w:rPr>
          <w:rStyle w:val="Emphasis"/>
          <w:highlight w:val="yellow"/>
        </w:rPr>
        <w:t>r</w:t>
      </w:r>
      <w:r w:rsidRPr="00EC104B">
        <w:rPr>
          <w:u w:val="single"/>
        </w:rPr>
        <w:t xml:space="preserve">esearch </w:t>
      </w:r>
      <w:r w:rsidRPr="0056459B">
        <w:rPr>
          <w:rStyle w:val="Emphasis"/>
          <w:highlight w:val="yellow"/>
        </w:rPr>
        <w:t>and</w:t>
      </w:r>
      <w:r w:rsidRPr="00EC104B">
        <w:rPr>
          <w:u w:val="single"/>
        </w:rPr>
        <w:t xml:space="preserve"> </w:t>
      </w:r>
      <w:r w:rsidRPr="0056459B">
        <w:rPr>
          <w:rStyle w:val="Emphasis"/>
          <w:highlight w:val="yellow"/>
        </w:rPr>
        <w:t>d</w:t>
      </w:r>
      <w:r w:rsidRPr="00EC104B">
        <w:rPr>
          <w:u w:val="single"/>
        </w:rPr>
        <w:t xml:space="preserve">evelopment, construction, </w:t>
      </w:r>
      <w:r w:rsidRPr="0056459B">
        <w:rPr>
          <w:highlight w:val="yellow"/>
          <w:u w:val="single"/>
        </w:rPr>
        <w:t>transportation, and management</w:t>
      </w:r>
      <w:r w:rsidRPr="00EC104B">
        <w:rPr>
          <w:u w:val="single"/>
        </w:rPr>
        <w:t xml:space="preserve"> efforts and activities </w:t>
      </w:r>
      <w:r w:rsidRPr="009D3B35">
        <w:rPr>
          <w:u w:val="single"/>
        </w:rPr>
        <w:t>that</w:t>
      </w:r>
      <w:r w:rsidRPr="0056459B">
        <w:rPr>
          <w:highlight w:val="yellow"/>
          <w:u w:val="single"/>
        </w:rPr>
        <w:t xml:space="preserve"> could be shared more profitably </w:t>
      </w:r>
      <w:r w:rsidRPr="00076E8A">
        <w:rPr>
          <w:u w:val="single"/>
        </w:rPr>
        <w:t>among numerous countries. As the</w:t>
      </w:r>
      <w:r w:rsidRPr="00EC104B">
        <w:rPr>
          <w:u w:val="single"/>
        </w:rPr>
        <w:t xml:space="preserv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076E8A">
        <w:rPr>
          <w:rStyle w:val="Emphasis"/>
        </w:rPr>
        <w:t xml:space="preserve">world's </w:t>
      </w:r>
      <w:r w:rsidRPr="0056459B">
        <w:rPr>
          <w:rStyle w:val="Emphasis"/>
          <w:highlight w:val="yellow"/>
        </w:rPr>
        <w:t>countries</w:t>
      </w:r>
      <w:r w:rsidRPr="00076E8A">
        <w:rPr>
          <w:rStyle w:val="Emphasis"/>
        </w:rPr>
        <w:t xml:space="preserve"> undoubtedly </w:t>
      </w:r>
      <w:r w:rsidRPr="0056459B">
        <w:rPr>
          <w:rStyle w:val="Emphasis"/>
          <w:highlight w:val="yellow"/>
        </w:rPr>
        <w:t>find it advantageous to unify</w:t>
      </w:r>
      <w:r w:rsidRPr="00EC104B">
        <w:rPr>
          <w:rStyle w:val="Emphasis"/>
        </w:rPr>
        <w:t xml:space="preserve"> </w:t>
      </w:r>
      <w:proofErr w:type="gramStart"/>
      <w:r w:rsidRPr="00EC104B">
        <w:rPr>
          <w:rStyle w:val="Emphasis"/>
        </w:rPr>
        <w:t xml:space="preserve">in order </w:t>
      </w:r>
      <w:r w:rsidRPr="0056459B">
        <w:rPr>
          <w:rStyle w:val="Emphasis"/>
          <w:highlight w:val="yellow"/>
        </w:rPr>
        <w:t>to</w:t>
      </w:r>
      <w:proofErr w:type="gramEnd"/>
      <w:r w:rsidRPr="0056459B">
        <w:rPr>
          <w:rStyle w:val="Emphasis"/>
          <w:highlight w:val="yellow"/>
        </w:rPr>
        <w:t xml:space="preserve"> explore</w:t>
      </w:r>
      <w:r w:rsidRPr="00EC104B">
        <w:rPr>
          <w:rStyle w:val="Emphasis"/>
        </w:rPr>
        <w:t xml:space="preserve"> outer </w:t>
      </w:r>
      <w:r w:rsidRPr="0056459B">
        <w:rPr>
          <w:rStyle w:val="Emphasis"/>
          <w:highlight w:val="yellow"/>
        </w:rPr>
        <w:t>space.</w:t>
      </w:r>
      <w:r w:rsidRPr="00EC104B">
        <w:rPr>
          <w:u w:val="single"/>
        </w:rPr>
        <w:t xml:space="preserve"> The early establishment of </w:t>
      </w:r>
      <w:r w:rsidRPr="0056459B">
        <w:rPr>
          <w:highlight w:val="yellow"/>
          <w:u w:val="single"/>
        </w:rPr>
        <w:t>a predictable method of sharing</w:t>
      </w:r>
      <w:r w:rsidRPr="00EC104B">
        <w:rPr>
          <w:u w:val="single"/>
        </w:rPr>
        <w:t xml:space="preserve"> the </w:t>
      </w:r>
      <w:r w:rsidRPr="0056459B">
        <w:rPr>
          <w:highlight w:val="yellow"/>
          <w:u w:val="single"/>
        </w:rPr>
        <w:t>benefits</w:t>
      </w:r>
      <w:r w:rsidRPr="00EC104B">
        <w:rPr>
          <w:u w:val="single"/>
        </w:rPr>
        <w:t xml:space="preserve"> of extraterrestrial resource development also </w:t>
      </w:r>
      <w:r w:rsidRPr="0056459B">
        <w:rPr>
          <w:highlight w:val="yellow"/>
          <w:u w:val="single"/>
        </w:rPr>
        <w:t>will lessen</w:t>
      </w:r>
      <w:r w:rsidRPr="00EC104B">
        <w:rPr>
          <w:u w:val="single"/>
        </w:rPr>
        <w:t xml:space="preserve"> the likelihood that </w:t>
      </w:r>
      <w:r w:rsidRPr="0056459B">
        <w:rPr>
          <w:rStyle w:val="Emphasis"/>
          <w:highlight w:val="yellow"/>
        </w:rPr>
        <w:t xml:space="preserve">inefficient </w:t>
      </w:r>
      <w:r w:rsidRPr="009D3B35">
        <w:rPr>
          <w:rStyle w:val="Emphasis"/>
        </w:rPr>
        <w:t xml:space="preserve">"get-it-while-you-can" </w:t>
      </w:r>
      <w:r w:rsidRPr="0056459B">
        <w:rPr>
          <w:rStyle w:val="Emphasis"/>
          <w:highlight w:val="yellow"/>
        </w:rPr>
        <w:t>activities</w:t>
      </w:r>
      <w:r w:rsidRPr="00EC104B">
        <w:rPr>
          <w:u w:val="single"/>
        </w:rPr>
        <w:t xml:space="preserve"> will characterize development efforts.</w:t>
      </w:r>
      <w:r w:rsidRPr="00EC104B">
        <w:rPr>
          <w:sz w:val="16"/>
        </w:rPr>
        <w:t xml:space="preserve"> </w:t>
      </w:r>
    </w:p>
    <w:p w14:paraId="271EA02F" w14:textId="77777777" w:rsidR="00372FA9" w:rsidRPr="00EC104B" w:rsidRDefault="00372FA9" w:rsidP="00372FA9">
      <w:pPr>
        <w:rPr>
          <w:sz w:val="16"/>
        </w:rPr>
      </w:pPr>
      <w:r w:rsidRPr="00EC104B">
        <w:rPr>
          <w:sz w:val="16"/>
        </w:rPr>
        <w:t xml:space="preserve">Finally, </w:t>
      </w:r>
      <w:r w:rsidRPr="00EC104B">
        <w:rPr>
          <w:u w:val="single"/>
        </w:rPr>
        <w:t xml:space="preserve">adoption of </w:t>
      </w:r>
      <w:r w:rsidRPr="0056459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56459B">
        <w:rPr>
          <w:highlight w:val="yellow"/>
          <w:u w:val="single"/>
        </w:rPr>
        <w:t>would</w:t>
      </w:r>
      <w:r w:rsidRPr="00EC104B">
        <w:rPr>
          <w:u w:val="single"/>
        </w:rPr>
        <w:t xml:space="preserve"> appear to </w:t>
      </w:r>
      <w:r w:rsidRPr="0056459B">
        <w:rPr>
          <w:highlight w:val="yellow"/>
          <w:u w:val="single"/>
        </w:rPr>
        <w:t xml:space="preserve">be a </w:t>
      </w:r>
      <w:r w:rsidRPr="0056459B">
        <w:rPr>
          <w:rStyle w:val="Emphasis"/>
          <w:highlight w:val="yellow"/>
        </w:rPr>
        <w:t>prerequisite to financing</w:t>
      </w:r>
      <w:r w:rsidRPr="00EC104B">
        <w:rPr>
          <w:u w:val="single"/>
        </w:rPr>
        <w:t xml:space="preserve"> these </w:t>
      </w:r>
      <w:r w:rsidRPr="00076E8A">
        <w:rPr>
          <w:u w:val="single"/>
        </w:rPr>
        <w:t>activities. Banks and investors will be reluctant to lend funds to any mining entrepreneur or consortium that did not have the uncontested, or at least predictable, right to the benefits of the resources it plans to develop</w:t>
      </w:r>
      <w:r w:rsidRPr="00076E8A">
        <w:rPr>
          <w:sz w:val="16"/>
        </w:rPr>
        <w:t xml:space="preserve"> or prospect. Similarly, </w:t>
      </w:r>
      <w:r w:rsidRPr="00076E8A">
        <w:rPr>
          <w:u w:val="single"/>
        </w:rPr>
        <w:t>it cannot be expected that an entrepreneur will take on the significant risks associated with extraterrestrial</w:t>
      </w:r>
      <w:r w:rsidRPr="00EC104B">
        <w:rPr>
          <w:u w:val="single"/>
        </w:rPr>
        <w:t xml:space="preserve">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F83D8A" w14:textId="77777777" w:rsidR="00F92D96" w:rsidRDefault="00F92D96" w:rsidP="00F92D96"/>
    <w:p w14:paraId="6D5D9565" w14:textId="77777777" w:rsidR="00F92D96" w:rsidRPr="00EC104B" w:rsidRDefault="00F92D96"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3"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10B8E80E" w:rsidR="00A95652" w:rsidRDefault="00A95652" w:rsidP="00B55AD5"/>
    <w:p w14:paraId="20AB2A71" w14:textId="5D5C0EFF" w:rsidR="00AB4F64" w:rsidRDefault="00AB4F64" w:rsidP="00AB4F64">
      <w:pPr>
        <w:pStyle w:val="Heading2"/>
      </w:pPr>
      <w:r>
        <w:t xml:space="preserve">1AR </w:t>
      </w:r>
    </w:p>
    <w:p w14:paraId="49328AC4" w14:textId="2D4AE90F" w:rsidR="00AB4F64" w:rsidRDefault="00AB4F64" w:rsidP="00AB4F64">
      <w:pPr>
        <w:pStyle w:val="Heading4"/>
      </w:pPr>
      <w:r>
        <w:t>Ca</w:t>
      </w:r>
      <w:r>
        <w:t xml:space="preserve">rd with </w:t>
      </w:r>
      <w:r w:rsidRPr="00F278D1">
        <w:rPr>
          <w:u w:val="single"/>
        </w:rPr>
        <w:t>intent to define</w:t>
      </w:r>
      <w:r>
        <w:t xml:space="preserve">. </w:t>
      </w:r>
    </w:p>
    <w:p w14:paraId="33024FF4" w14:textId="77777777" w:rsidR="00AB4F64" w:rsidRPr="00C53C5A" w:rsidRDefault="00AB4F64" w:rsidP="00AB4F64">
      <w:pPr>
        <w:rPr>
          <w:rStyle w:val="Style13ptBold"/>
        </w:rPr>
      </w:pPr>
      <w:proofErr w:type="spellStart"/>
      <w:r w:rsidRPr="00C53C5A">
        <w:rPr>
          <w:rStyle w:val="Style13ptBold"/>
        </w:rPr>
        <w:t>Dominiak</w:t>
      </w:r>
      <w:proofErr w:type="spellEnd"/>
      <w:r w:rsidRPr="00C53C5A">
        <w:rPr>
          <w:rStyle w:val="Style13ptBold"/>
        </w:rPr>
        <w:t xml:space="preserve"> 17</w:t>
      </w:r>
      <w:r>
        <w:rPr>
          <w:rStyle w:val="Style13ptBold"/>
        </w:rPr>
        <w:t xml:space="preserve"> </w:t>
      </w:r>
    </w:p>
    <w:p w14:paraId="7AC219CE" w14:textId="77777777" w:rsidR="00AB4F64" w:rsidRDefault="00AB4F64" w:rsidP="00AB4F64">
      <w:proofErr w:type="spellStart"/>
      <w:r w:rsidRPr="00F278D1">
        <w:t>Łukasz</w:t>
      </w:r>
      <w:proofErr w:type="spellEnd"/>
      <w:r w:rsidRPr="00F278D1">
        <w:t xml:space="preserve"> </w:t>
      </w:r>
      <w:proofErr w:type="spellStart"/>
      <w:r w:rsidRPr="00F278D1">
        <w:t>Dominiak</w:t>
      </w:r>
      <w:proofErr w:type="spellEnd"/>
      <w:r w:rsidRPr="00F278D1">
        <w:t xml:space="preserve"> (Associate Professor at Nicolaus Copernicus University in Poland; he holds a PhD and habilitation in political philosophy and is a Fellow of the Mises Institute). “Libertarianism and Original Appropriation.” Historia </w:t>
      </w:r>
      <w:proofErr w:type="spellStart"/>
      <w:r w:rsidRPr="00F278D1">
        <w:t>i</w:t>
      </w:r>
      <w:proofErr w:type="spellEnd"/>
      <w:r w:rsidRPr="00F278D1">
        <w:t xml:space="preserve"> </w:t>
      </w:r>
      <w:proofErr w:type="spellStart"/>
      <w:r w:rsidRPr="00F278D1">
        <w:t>Polityka</w:t>
      </w:r>
      <w:proofErr w:type="spellEnd"/>
      <w:r w:rsidRPr="00F278D1">
        <w:t xml:space="preserve">, 29/2017: 22. Pp. 43-56. JDN. </w:t>
      </w:r>
      <w:hyperlink r:id="rId34" w:history="1">
        <w:r w:rsidRPr="0089690C">
          <w:rPr>
            <w:rStyle w:val="Hyperlink"/>
          </w:rPr>
          <w:t>https://apcz.umk.pl/HiP/article/view/HiP.2017.026/13714</w:t>
        </w:r>
      </w:hyperlink>
    </w:p>
    <w:p w14:paraId="0364EFB2" w14:textId="77777777" w:rsidR="00AB4F64" w:rsidRPr="00F278D1" w:rsidRDefault="00AB4F64" w:rsidP="00AB4F64"/>
    <w:p w14:paraId="524C3CE1" w14:textId="77777777" w:rsidR="00AB4F64" w:rsidRDefault="00AB4F64" w:rsidP="00AB4F64">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xml:space="preserve">, </w:t>
      </w:r>
      <w:proofErr w:type="gramStart"/>
      <w:r w:rsidRPr="00C53C5A">
        <w:rPr>
          <w:sz w:val="14"/>
        </w:rPr>
        <w:t>i.e.</w:t>
      </w:r>
      <w:proofErr w:type="gramEnd"/>
      <w:r w:rsidRPr="00C53C5A">
        <w:rPr>
          <w:sz w:val="14"/>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C53C5A">
        <w:rPr>
          <w:sz w:val="14"/>
        </w:rPr>
        <w:t>recognise</w:t>
      </w:r>
      <w:proofErr w:type="spellEnd"/>
      <w:r w:rsidRPr="00C53C5A">
        <w:rPr>
          <w:sz w:val="14"/>
        </w:rPr>
        <w:t xml:space="preserve"> someone’s ownership is therefore to assert that his possession of a thing is just, rightful, lawful, </w:t>
      </w:r>
      <w:proofErr w:type="gramStart"/>
      <w:r w:rsidRPr="00C53C5A">
        <w:rPr>
          <w:sz w:val="14"/>
        </w:rPr>
        <w:t>licit</w:t>
      </w:r>
      <w:proofErr w:type="gramEnd"/>
      <w:r w:rsidRPr="00C53C5A">
        <w:rPr>
          <w:sz w:val="14"/>
        </w:rPr>
        <w:t xml:space="preserve"> or reasonable etc., is to conclude that he ought to possess the thing if such is his will, even if he actually does not possess it. As Kinsella writes, “</w:t>
      </w:r>
      <w:r w:rsidRPr="00F278D1">
        <w:rPr>
          <w:rStyle w:val="StyleUnderline"/>
          <w:highlight w:val="yellow"/>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F278D1">
        <w:rPr>
          <w:rStyle w:val="Emphasis"/>
          <w:highlight w:val="yellow"/>
        </w:rPr>
        <w:t>appropriation is acquiring ownership of unowned things</w:t>
      </w:r>
      <w:r w:rsidRPr="00F278D1">
        <w:rPr>
          <w:rStyle w:val="Emphasis"/>
        </w:rPr>
        <w:t>.</w:t>
      </w:r>
      <w:r w:rsidRPr="00C53C5A">
        <w:rPr>
          <w:sz w:val="14"/>
        </w:rPr>
        <w:t xml:space="preserve"> To originally appropriate is to establish property rights, </w:t>
      </w:r>
      <w:proofErr w:type="gramStart"/>
      <w:r w:rsidRPr="00C53C5A">
        <w:rPr>
          <w:sz w:val="14"/>
        </w:rPr>
        <w:t>i.e.</w:t>
      </w:r>
      <w:proofErr w:type="gramEnd"/>
      <w:r w:rsidRPr="00C53C5A">
        <w:rPr>
          <w:sz w:val="14"/>
        </w:rPr>
        <w:t xml:space="preserv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C53C5A">
        <w:rPr>
          <w:sz w:val="14"/>
        </w:rPr>
        <w:t>unheld</w:t>
      </w:r>
      <w:proofErr w:type="spellEnd"/>
      <w:r w:rsidRPr="00C53C5A">
        <w:rPr>
          <w:sz w:val="14"/>
        </w:rPr>
        <w:t xml:space="preserve"> things includes the issues of how </w:t>
      </w:r>
      <w:proofErr w:type="spellStart"/>
      <w:r w:rsidRPr="00C53C5A">
        <w:rPr>
          <w:sz w:val="14"/>
        </w:rPr>
        <w:t>unheld</w:t>
      </w:r>
      <w:proofErr w:type="spellEnd"/>
      <w:r w:rsidRPr="00C53C5A">
        <w:rPr>
          <w:sz w:val="14"/>
        </w:rPr>
        <w:t xml:space="preserve"> things may come to be held” (2014), </w:t>
      </w:r>
      <w:proofErr w:type="gramStart"/>
      <w:r w:rsidRPr="00C53C5A">
        <w:rPr>
          <w:sz w:val="14"/>
        </w:rPr>
        <w:t>i.e.</w:t>
      </w:r>
      <w:proofErr w:type="gramEnd"/>
      <w:r w:rsidRPr="00C53C5A">
        <w:rPr>
          <w:sz w:val="14"/>
        </w:rPr>
        <w:t xml:space="preserve"> come to be owned. Hence, original </w:t>
      </w:r>
      <w:r w:rsidRPr="00C53C5A">
        <w:rPr>
          <w:rStyle w:val="StyleUnderline"/>
        </w:rPr>
        <w:t xml:space="preserve">appropriation is about creating normative relations between persons and things. </w:t>
      </w:r>
    </w:p>
    <w:p w14:paraId="325B6F76" w14:textId="77777777" w:rsidR="00AB4F64" w:rsidRDefault="00AB4F64" w:rsidP="00AB4F64">
      <w:pPr>
        <w:pStyle w:val="Heading4"/>
      </w:pPr>
      <w:r>
        <w:t>Anthropocentric views are the only way to allow for ecological movements to become social ecology</w:t>
      </w:r>
    </w:p>
    <w:p w14:paraId="78CFCAC5" w14:textId="77777777" w:rsidR="00AB4F64" w:rsidRPr="00153BE2" w:rsidRDefault="00AB4F64" w:rsidP="00AB4F64">
      <w:pPr>
        <w:rPr>
          <w:b/>
          <w:bCs/>
          <w:sz w:val="26"/>
          <w:szCs w:val="26"/>
        </w:rPr>
      </w:pPr>
      <w:r w:rsidRPr="00153BE2">
        <w:rPr>
          <w:b/>
          <w:bCs/>
          <w:sz w:val="26"/>
          <w:szCs w:val="26"/>
        </w:rPr>
        <w:t xml:space="preserve">Attfield 11 </w:t>
      </w:r>
    </w:p>
    <w:p w14:paraId="56A2DDA7" w14:textId="77777777" w:rsidR="00AB4F64" w:rsidRDefault="00AB4F64" w:rsidP="00AB4F64">
      <w:pPr>
        <w:rPr>
          <w:rStyle w:val="Hyperlink"/>
        </w:rPr>
      </w:pPr>
      <w:r>
        <w:t xml:space="preserve">[Robin Attfield—Cardiff University environmental ethicist, “Beyond Anthropocentrism,” Royal; Institute of Philosophy Supplement,” 2011, </w:t>
      </w:r>
      <w:hyperlink r:id="rId35" w:history="1">
        <w:r w:rsidRPr="00FC6B46">
          <w:rPr>
            <w:rStyle w:val="Hyperlink"/>
          </w:rPr>
          <w:t>https://www.researchgate.net/publication/231991798_Beyond_Anthropocentrism</w:t>
        </w:r>
      </w:hyperlink>
      <w:r>
        <w:t xml:space="preserve">] </w:t>
      </w:r>
    </w:p>
    <w:p w14:paraId="411E33B3" w14:textId="77777777" w:rsidR="00AB4F64" w:rsidRPr="007A3CD7" w:rsidRDefault="00AB4F64" w:rsidP="00AB4F64">
      <w:pPr>
        <w:rPr>
          <w:u w:val="single"/>
        </w:rPr>
      </w:pPr>
      <w:r w:rsidRPr="007A3CD7">
        <w:rPr>
          <w:sz w:val="12"/>
          <w:szCs w:val="12"/>
        </w:rPr>
        <w:t>Later writers have detected tacit anthropocentrism lurking even in Deep Ecology, or have defended ‘perspectival anthropocentrism’, as the inevitable methodology of any system of environmental ethics devised by and for the guidance of human beings.</w:t>
      </w:r>
      <w:r w:rsidRPr="007A3CD7">
        <w:t xml:space="preserve"> </w:t>
      </w:r>
      <w:r w:rsidRPr="0056459B">
        <w:rPr>
          <w:highlight w:val="yellow"/>
          <w:u w:val="single"/>
        </w:rPr>
        <w:t>Human good</w:t>
      </w:r>
      <w:r w:rsidRPr="007A3CD7">
        <w:rPr>
          <w:u w:val="single"/>
        </w:rPr>
        <w:t xml:space="preserve">, broadly enough </w:t>
      </w:r>
      <w:proofErr w:type="spellStart"/>
      <w:r w:rsidRPr="007A3CD7">
        <w:rPr>
          <w:u w:val="single"/>
        </w:rPr>
        <w:t>conceptualised</w:t>
      </w:r>
      <w:proofErr w:type="spellEnd"/>
      <w:r w:rsidRPr="007A3CD7">
        <w:rPr>
          <w:u w:val="single"/>
        </w:rPr>
        <w:t xml:space="preserve">, </w:t>
      </w:r>
      <w:r w:rsidRPr="0056459B">
        <w:rPr>
          <w:highlight w:val="yellow"/>
          <w:u w:val="single"/>
        </w:rPr>
        <w:t>is held to be the basis of ethics</w:t>
      </w:r>
      <w:r w:rsidRPr="007A3CD7">
        <w:rPr>
          <w:u w:val="single"/>
        </w:rPr>
        <w:t>.</w:t>
      </w:r>
    </w:p>
    <w:p w14:paraId="3EB2204F" w14:textId="77777777" w:rsidR="00AB4F64" w:rsidRPr="007A3CD7" w:rsidRDefault="00AB4F64" w:rsidP="00AB4F64">
      <w:r w:rsidRPr="007A3CD7">
        <w:rPr>
          <w:sz w:val="12"/>
          <w:szCs w:val="12"/>
        </w:rPr>
        <w:t>However, the second wave of environmental philosophers often adopted a different approach, and often a more humanistic one</w:t>
      </w:r>
      <w:r w:rsidRPr="007A3CD7">
        <w:rPr>
          <w:sz w:val="12"/>
          <w:szCs w:val="12"/>
          <w:u w:val="single"/>
        </w:rPr>
        <w:t xml:space="preserve">. </w:t>
      </w:r>
      <w:r w:rsidRPr="007A3CD7">
        <w:rPr>
          <w:u w:val="single"/>
        </w:rPr>
        <w:t xml:space="preserve">Bryan Norton, for example, argued that there </w:t>
      </w:r>
      <w:r w:rsidRPr="0056459B">
        <w:rPr>
          <w:highlight w:val="yellow"/>
          <w:u w:val="single"/>
        </w:rPr>
        <w:t>was no need to associate anthropocentrism with shallow rather than deeper environmentalism</w:t>
      </w:r>
      <w:r w:rsidRPr="007A3CD7">
        <w:rPr>
          <w:u w:val="single"/>
        </w:rPr>
        <w:t xml:space="preserve">, concerned with the distant future and with the preservation of other species and their habitats, for </w:t>
      </w:r>
      <w:r w:rsidRPr="0056459B">
        <w:rPr>
          <w:highlight w:val="yellow"/>
          <w:u w:val="single"/>
        </w:rPr>
        <w:t>human interests are sufficient to underpin the case for preservation</w:t>
      </w:r>
      <w:r w:rsidRPr="007A3CD7">
        <w:rPr>
          <w:u w:val="single"/>
        </w:rPr>
        <w:t xml:space="preserve">, and </w:t>
      </w:r>
      <w:r w:rsidRPr="0056459B">
        <w:rPr>
          <w:highlight w:val="yellow"/>
          <w:u w:val="single"/>
        </w:rPr>
        <w:t>the interests of the human future call for a long-term approach to nature independently of appeal to non-human interests.</w:t>
      </w:r>
      <w:r w:rsidRPr="007A3CD7">
        <w:rPr>
          <w:sz w:val="12"/>
          <w:szCs w:val="12"/>
        </w:rPr>
        <w:t xml:space="preserve"> Certainly if human interests are confined to human preferences, as in what he called ‘strong anthropocentrism’, not enough preservation will be justified, but this deficiency will be made good (he believes) if instead we adopt ‘weak anthropocentrism’, and concern ourselves with rational human preferences and thus with human interests much more broadly </w:t>
      </w:r>
      <w:proofErr w:type="spellStart"/>
      <w:r w:rsidRPr="007A3CD7">
        <w:rPr>
          <w:sz w:val="12"/>
          <w:szCs w:val="12"/>
        </w:rPr>
        <w:t>conceptualised</w:t>
      </w:r>
      <w:proofErr w:type="spellEnd"/>
      <w:r w:rsidRPr="007A3CD7">
        <w:rPr>
          <w:sz w:val="12"/>
          <w:szCs w:val="12"/>
        </w:rPr>
        <w:t>.[3] As we shall see, different  versions of this broad approach to human interests have been developed by others, with considerable cogency.</w:t>
      </w:r>
    </w:p>
    <w:p w14:paraId="528E5F13" w14:textId="77777777" w:rsidR="00AB4F64" w:rsidRPr="007A3CD7" w:rsidRDefault="00AB4F64" w:rsidP="00AB4F64">
      <w:pPr>
        <w:rPr>
          <w:u w:val="single"/>
        </w:rPr>
      </w:pPr>
      <w:r w:rsidRPr="007A3CD7">
        <w:rPr>
          <w:u w:val="single"/>
        </w:rPr>
        <w:t>One such philosopher is Janna Thompson, who suggests that natural entities are valuable because they enhance our lives, either through our living in harmony with nature, or through our appreciation of natural processes for what they are.[4]</w:t>
      </w:r>
      <w:r w:rsidRPr="007A3CD7">
        <w:t xml:space="preserve"> </w:t>
      </w:r>
      <w:r w:rsidRPr="007A3CD7">
        <w:rPr>
          <w:sz w:val="12"/>
          <w:szCs w:val="12"/>
        </w:rPr>
        <w:t xml:space="preserve">At the same time Thompson berates what she calls ‘environmental ethics’ for locating intrinsic value in non-sentient creatures, suggesting that those who do so cannot consistently stop short of locating it in machines or in rocks as well; the paper in which she does so is entitled ‘A Refutation of Environmental Ethics’. Clearly Thompson does not regard philosophers who are either </w:t>
      </w:r>
      <w:proofErr w:type="spellStart"/>
      <w:r w:rsidRPr="007A3CD7">
        <w:rPr>
          <w:sz w:val="12"/>
          <w:szCs w:val="12"/>
        </w:rPr>
        <w:t>anthropocentrists</w:t>
      </w:r>
      <w:proofErr w:type="spellEnd"/>
      <w:r w:rsidRPr="007A3CD7">
        <w:rPr>
          <w:sz w:val="12"/>
          <w:szCs w:val="12"/>
        </w:rPr>
        <w:t xml:space="preserve"> or </w:t>
      </w:r>
      <w:proofErr w:type="spellStart"/>
      <w:r w:rsidRPr="007A3CD7">
        <w:rPr>
          <w:sz w:val="12"/>
          <w:szCs w:val="12"/>
        </w:rPr>
        <w:t>sentientists</w:t>
      </w:r>
      <w:proofErr w:type="spellEnd"/>
      <w:r w:rsidRPr="007A3CD7">
        <w:rPr>
          <w:sz w:val="12"/>
          <w:szCs w:val="12"/>
        </w:rPr>
        <w:t xml:space="preserve"> (people such as Peter Singer and such as herself who restrict moral standing to sentient creatures only) as environmental ethicists at all. But most people have sensibly ignored this implicit terminological </w:t>
      </w:r>
      <w:proofErr w:type="gramStart"/>
      <w:r w:rsidRPr="007A3CD7">
        <w:rPr>
          <w:sz w:val="12"/>
          <w:szCs w:val="12"/>
        </w:rPr>
        <w:t>suggestion, and</w:t>
      </w:r>
      <w:proofErr w:type="gramEnd"/>
      <w:r w:rsidRPr="007A3CD7">
        <w:rPr>
          <w:sz w:val="12"/>
          <w:szCs w:val="12"/>
        </w:rPr>
        <w:t xml:space="preserve"> have included among environmental ethicists those arguing in environmental contexts for any of the possible range of normative stances concerning moral standing (including that of Thompson herself).</w:t>
      </w:r>
      <w:r w:rsidRPr="007A3CD7">
        <w:t xml:space="preserve"> </w:t>
      </w:r>
    </w:p>
    <w:p w14:paraId="3AE236B7" w14:textId="77777777" w:rsidR="00AB4F64" w:rsidRPr="007A3CD7" w:rsidRDefault="00AB4F64" w:rsidP="00AB4F64">
      <w:r w:rsidRPr="007A3CD7">
        <w:rPr>
          <w:u w:val="single"/>
        </w:rPr>
        <w:t xml:space="preserve">Yet others reason inductively to the </w:t>
      </w:r>
      <w:proofErr w:type="gramStart"/>
      <w:r w:rsidRPr="007A3CD7">
        <w:rPr>
          <w:u w:val="single"/>
        </w:rPr>
        <w:t>near-inevitability</w:t>
      </w:r>
      <w:proofErr w:type="gramEnd"/>
      <w:r w:rsidRPr="007A3CD7">
        <w:rPr>
          <w:u w:val="single"/>
        </w:rPr>
        <w:t xml:space="preserve"> of adherence to anthropocentrism from its pervasive presence among those who seek to escape it. </w:t>
      </w:r>
      <w:proofErr w:type="gramStart"/>
      <w:r w:rsidRPr="007A3CD7">
        <w:rPr>
          <w:u w:val="single"/>
        </w:rPr>
        <w:t>Thus</w:t>
      </w:r>
      <w:proofErr w:type="gramEnd"/>
      <w:r w:rsidRPr="007A3CD7">
        <w:rPr>
          <w:u w:val="single"/>
        </w:rPr>
        <w:t xml:space="preserve"> Eric Katz finds </w:t>
      </w:r>
      <w:r w:rsidRPr="0056459B">
        <w:rPr>
          <w:highlight w:val="yellow"/>
          <w:u w:val="single"/>
        </w:rPr>
        <w:t>anthropocentrism l</w:t>
      </w:r>
      <w:r w:rsidRPr="007A3CD7">
        <w:rPr>
          <w:u w:val="single"/>
        </w:rPr>
        <w:t xml:space="preserve">urking beneath the surface </w:t>
      </w:r>
      <w:r w:rsidRPr="0056459B">
        <w:rPr>
          <w:highlight w:val="yellow"/>
          <w:u w:val="single"/>
        </w:rPr>
        <w:t>in the writings of Deep Ecologists</w:t>
      </w:r>
      <w:r w:rsidRPr="007A3CD7">
        <w:rPr>
          <w:u w:val="single"/>
        </w:rPr>
        <w:t>, and particularly those who stress the identification of the self and nature, understood as one’s greater Self</w:t>
      </w:r>
      <w:r w:rsidRPr="007A3CD7">
        <w:rPr>
          <w:sz w:val="12"/>
          <w:szCs w:val="12"/>
          <w:u w:val="single"/>
        </w:rPr>
        <w:t>.[</w:t>
      </w:r>
      <w:r w:rsidRPr="007A3CD7">
        <w:rPr>
          <w:sz w:val="12"/>
          <w:szCs w:val="12"/>
        </w:rPr>
        <w:t xml:space="preserve">27] For example, some Deep Ecologists reason as follows. I have a duty to protect myself. But properly understood, nature and myself are one and the same thing, my greater Self. (Let us for present purposes not question this far-reaching claim.) </w:t>
      </w:r>
      <w:proofErr w:type="gramStart"/>
      <w:r w:rsidRPr="007A3CD7">
        <w:rPr>
          <w:sz w:val="12"/>
          <w:szCs w:val="12"/>
        </w:rPr>
        <w:t>Therefore</w:t>
      </w:r>
      <w:proofErr w:type="gramEnd"/>
      <w:r w:rsidRPr="007A3CD7">
        <w:rPr>
          <w:sz w:val="12"/>
          <w:szCs w:val="12"/>
        </w:rPr>
        <w:t xml:space="preserve"> I have a duty to protect nature or the biosphere against whatever may be attacking or endangering it. Here Katz is surely right, for the reason given for protecting nature consists in the importance of protecting a human self. </w:t>
      </w:r>
      <w:proofErr w:type="gramStart"/>
      <w:r w:rsidRPr="007A3CD7">
        <w:rPr>
          <w:sz w:val="12"/>
          <w:szCs w:val="12"/>
        </w:rPr>
        <w:t>Indeed</w:t>
      </w:r>
      <w:proofErr w:type="gramEnd"/>
      <w:r w:rsidRPr="007A3CD7">
        <w:rPr>
          <w:sz w:val="12"/>
          <w:szCs w:val="12"/>
        </w:rPr>
        <w:t xml:space="preserve"> the argument is not only anthropocentric, but is also an appeal to ethical egoism, while at the same time inviting us to suspend our disbelief in there being no boundaries between oneself and the rest of nature. In this and other ways Katz seems to vindicate his claim, where Deep Ecology is concerned.</w:t>
      </w:r>
    </w:p>
    <w:p w14:paraId="1359EA04" w14:textId="77777777" w:rsidR="00AB4F64" w:rsidRPr="007A3CD7" w:rsidRDefault="00AB4F64" w:rsidP="00AB4F64">
      <w:pPr>
        <w:ind w:right="-270"/>
        <w:rPr>
          <w:sz w:val="12"/>
          <w:szCs w:val="12"/>
        </w:rPr>
      </w:pPr>
      <w:r w:rsidRPr="0056459B">
        <w:rPr>
          <w:b/>
          <w:bCs/>
          <w:highlight w:val="yellow"/>
          <w:u w:val="single"/>
        </w:rPr>
        <w:t>Non</w:t>
      </w:r>
      <w:r w:rsidRPr="0056459B">
        <w:rPr>
          <w:highlight w:val="yellow"/>
          <w:u w:val="single"/>
        </w:rPr>
        <w:t xml:space="preserve">e of this suggests that we should give ethical priority to remote species, </w:t>
      </w:r>
      <w:r w:rsidRPr="0056459B">
        <w:rPr>
          <w:b/>
          <w:bCs/>
          <w:highlight w:val="yellow"/>
          <w:u w:val="single"/>
        </w:rPr>
        <w:t>let alone to distant planets</w:t>
      </w:r>
      <w:r w:rsidRPr="0056459B">
        <w:rPr>
          <w:highlight w:val="yellow"/>
          <w:u w:val="single"/>
        </w:rPr>
        <w:t>, ahead of humanity</w:t>
      </w:r>
      <w:r w:rsidRPr="007A3CD7">
        <w:rPr>
          <w:u w:val="single"/>
        </w:rPr>
        <w:t>.</w:t>
      </w:r>
      <w:r w:rsidRPr="007A3CD7">
        <w:t xml:space="preserve"> </w:t>
      </w:r>
      <w:r w:rsidRPr="007A3CD7">
        <w:rPr>
          <w:sz w:val="12"/>
          <w:szCs w:val="12"/>
        </w:rPr>
        <w:t xml:space="preserve">Little that I have said relates to such matters of priorities, although it could be applied </w:t>
      </w:r>
      <w:proofErr w:type="gramStart"/>
      <w:r w:rsidRPr="007A3CD7">
        <w:rPr>
          <w:sz w:val="12"/>
          <w:szCs w:val="12"/>
        </w:rPr>
        <w:t>so as to</w:t>
      </w:r>
      <w:proofErr w:type="gramEnd"/>
      <w:r w:rsidRPr="007A3CD7">
        <w:rPr>
          <w:sz w:val="12"/>
          <w:szCs w:val="12"/>
        </w:rPr>
        <w:t xml:space="preserve"> do so. What is more to the point is the conclusion that without concern for the living nonhuman beings of the present and the future we unduly narrow our own horizons. It is not just that these </w:t>
      </w:r>
      <w:proofErr w:type="gramStart"/>
      <w:r w:rsidRPr="007A3CD7">
        <w:rPr>
          <w:sz w:val="12"/>
          <w:szCs w:val="12"/>
        </w:rPr>
        <w:t>creatures</w:t>
      </w:r>
      <w:proofErr w:type="gramEnd"/>
      <w:r w:rsidRPr="007A3CD7">
        <w:rPr>
          <w:sz w:val="12"/>
          <w:szCs w:val="12"/>
        </w:rPr>
        <w:t xml:space="preserve"> matter for themselves, or will matter if allowed to come into being, but that our failure to respect them can distort our own humanity, albeit in the name of humanism, and lead us into too narrow an understanding of what we are capable of, and thus of ourselves.</w:t>
      </w:r>
    </w:p>
    <w:p w14:paraId="3CEC5DF8" w14:textId="77777777" w:rsidR="00AB4F64" w:rsidRDefault="00AB4F64" w:rsidP="00AB4F64">
      <w:pPr>
        <w:pStyle w:val="Heading4"/>
      </w:pPr>
      <w:r>
        <w:t xml:space="preserve">International courts prevent liberation of public doctrines - prevents recessions, means PTD solves </w:t>
      </w:r>
    </w:p>
    <w:p w14:paraId="52DDD819" w14:textId="77777777" w:rsidR="00AB4F64" w:rsidRPr="00832292" w:rsidRDefault="00AB4F64" w:rsidP="00AB4F64">
      <w:pPr>
        <w:rPr>
          <w:rStyle w:val="Style13ptBold"/>
        </w:rPr>
      </w:pPr>
      <w:proofErr w:type="spellStart"/>
      <w:r w:rsidRPr="00832292">
        <w:rPr>
          <w:rStyle w:val="Style13ptBold"/>
        </w:rPr>
        <w:t>Idlesias</w:t>
      </w:r>
      <w:proofErr w:type="spellEnd"/>
      <w:r w:rsidRPr="00832292">
        <w:rPr>
          <w:rStyle w:val="Style13ptBold"/>
        </w:rPr>
        <w:t xml:space="preserve"> 20 </w:t>
      </w:r>
    </w:p>
    <w:p w14:paraId="23B80B3B" w14:textId="77777777" w:rsidR="00AB4F64" w:rsidRDefault="00AB4F64" w:rsidP="00AB4F64">
      <w:pPr>
        <w:rPr>
          <w:rStyle w:val="Hyperlink"/>
        </w:rPr>
      </w:pPr>
      <w:r>
        <w:t xml:space="preserve">[Alfonso </w:t>
      </w:r>
      <w:proofErr w:type="spellStart"/>
      <w:r>
        <w:t>Idlesia</w:t>
      </w:r>
      <w:proofErr w:type="spellEnd"/>
      <w:r>
        <w:t xml:space="preserve">, “Act of State Doctrine,” Oxford Bibliographies, 04-22-2020, </w:t>
      </w:r>
      <w:hyperlink r:id="rId36" w:history="1">
        <w:r w:rsidRPr="00C254CB">
          <w:rPr>
            <w:rStyle w:val="Hyperlink"/>
          </w:rPr>
          <w:t>https://www.oxfordbibliographies.com/view/document/obo-9780199796953/obo-9780199796953-0207.xml</w:t>
        </w:r>
      </w:hyperlink>
      <w:r>
        <w:rPr>
          <w:rStyle w:val="Hyperlink"/>
        </w:rPr>
        <w:t xml:space="preserve">] </w:t>
      </w:r>
    </w:p>
    <w:p w14:paraId="6693893C" w14:textId="77777777" w:rsidR="00AB4F64" w:rsidRPr="00B74B21" w:rsidRDefault="00AB4F64" w:rsidP="00AB4F64">
      <w:pPr>
        <w:rPr>
          <w:rFonts w:asciiTheme="minorHAnsi" w:hAnsiTheme="minorHAnsi" w:cs="Arial"/>
          <w:color w:val="333333"/>
          <w:shd w:val="clear" w:color="auto" w:fill="FFFFFF"/>
        </w:rPr>
      </w:pPr>
      <w:r w:rsidRPr="00DC19AB">
        <w:rPr>
          <w:rFonts w:asciiTheme="minorHAnsi" w:hAnsiTheme="minorHAnsi" w:cs="Arial"/>
          <w:color w:val="333333"/>
          <w:highlight w:val="yellow"/>
          <w:u w:val="single"/>
          <w:shd w:val="clear" w:color="auto" w:fill="FFFFFF"/>
        </w:rPr>
        <w:t>According to the act of state doctrine,</w:t>
      </w:r>
      <w:r w:rsidRPr="00F21151">
        <w:rPr>
          <w:rFonts w:asciiTheme="minorHAnsi" w:hAnsiTheme="minorHAnsi" w:cs="Arial"/>
          <w:color w:val="333333"/>
          <w:u w:val="single"/>
          <w:shd w:val="clear" w:color="auto" w:fill="FFFFFF"/>
        </w:rPr>
        <w:t xml:space="preserve"> </w:t>
      </w:r>
      <w:r w:rsidRPr="00DC19AB">
        <w:rPr>
          <w:rFonts w:asciiTheme="minorHAnsi" w:hAnsiTheme="minorHAnsi" w:cs="Arial"/>
          <w:color w:val="333333"/>
          <w:highlight w:val="yellow"/>
          <w:u w:val="single"/>
          <w:shd w:val="clear" w:color="auto" w:fill="FFFFFF"/>
        </w:rPr>
        <w:t xml:space="preserve">national courts must </w:t>
      </w:r>
      <w:r w:rsidRPr="00DC19AB">
        <w:rPr>
          <w:rFonts w:asciiTheme="minorHAnsi" w:hAnsiTheme="minorHAnsi" w:cs="Arial"/>
          <w:b/>
          <w:bCs/>
          <w:color w:val="333333"/>
          <w:highlight w:val="yellow"/>
          <w:u w:val="single"/>
          <w:shd w:val="clear" w:color="auto" w:fill="FFFFFF"/>
        </w:rPr>
        <w:t>refrain</w:t>
      </w:r>
      <w:r w:rsidRPr="00DC19AB">
        <w:rPr>
          <w:rFonts w:asciiTheme="minorHAnsi" w:hAnsiTheme="minorHAnsi" w:cs="Arial"/>
          <w:color w:val="333333"/>
          <w:highlight w:val="yellow"/>
          <w:u w:val="single"/>
          <w:shd w:val="clear" w:color="auto" w:fill="FFFFFF"/>
        </w:rPr>
        <w:t xml:space="preserve"> from prosecuting the validity of official acts carried out by a foreign state within its own territory</w:t>
      </w:r>
      <w:r w:rsidRPr="00F21151">
        <w:rPr>
          <w:rFonts w:asciiTheme="minorHAnsi" w:hAnsiTheme="minorHAnsi" w:cs="Arial"/>
          <w:color w:val="333333"/>
          <w:sz w:val="12"/>
          <w:szCs w:val="12"/>
          <w:u w:val="single"/>
          <w:shd w:val="clear" w:color="auto" w:fill="FFFFFF"/>
        </w:rPr>
        <w:t>,</w:t>
      </w:r>
      <w:r w:rsidRPr="00F21151">
        <w:rPr>
          <w:rFonts w:asciiTheme="minorHAnsi" w:hAnsiTheme="minorHAnsi" w:cs="Arial"/>
          <w:color w:val="333333"/>
          <w:sz w:val="12"/>
          <w:szCs w:val="12"/>
          <w:shd w:val="clear" w:color="auto" w:fill="FFFFFF"/>
        </w:rPr>
        <w:t xml:space="preserve"> except if it commits violations of international norms with broad consensus of international society, such as, for example, a case of genocide. Both its judicial self-restraint character and its reflection in the judicial deference to the executive branch would justify the ex officio application of the act of state doctrine by the courts. This doctrine is neither a rule nor a legal obligation required by international law, although it arises from the relevance of the international rule of territorial sovereignty of the state. It was not introduced by a constitutional or legislative </w:t>
      </w:r>
      <w:proofErr w:type="gramStart"/>
      <w:r w:rsidRPr="00F21151">
        <w:rPr>
          <w:rFonts w:asciiTheme="minorHAnsi" w:hAnsiTheme="minorHAnsi" w:cs="Arial"/>
          <w:color w:val="333333"/>
          <w:sz w:val="12"/>
          <w:szCs w:val="12"/>
          <w:shd w:val="clear" w:color="auto" w:fill="FFFFFF"/>
        </w:rPr>
        <w:t>provision, but</w:t>
      </w:r>
      <w:proofErr w:type="gramEnd"/>
      <w:r w:rsidRPr="00B74B21">
        <w:rPr>
          <w:rFonts w:asciiTheme="minorHAnsi" w:hAnsiTheme="minorHAnsi" w:cs="Arial"/>
          <w:color w:val="333333"/>
          <w:shd w:val="clear" w:color="auto" w:fill="FFFFFF"/>
        </w:rPr>
        <w:t xml:space="preserve"> </w:t>
      </w:r>
      <w:r w:rsidRPr="00DC19AB">
        <w:rPr>
          <w:rFonts w:asciiTheme="minorHAnsi" w:hAnsiTheme="minorHAnsi" w:cs="Arial"/>
          <w:color w:val="333333"/>
          <w:highlight w:val="yellow"/>
          <w:u w:val="single"/>
          <w:shd w:val="clear" w:color="auto" w:fill="FFFFFF"/>
        </w:rPr>
        <w:t>is a common law principle</w:t>
      </w:r>
      <w:r w:rsidRPr="00B74B21">
        <w:rPr>
          <w:rFonts w:asciiTheme="minorHAnsi" w:hAnsiTheme="minorHAnsi" w:cs="Arial"/>
          <w:color w:val="333333"/>
          <w:shd w:val="clear" w:color="auto" w:fill="FFFFFF"/>
        </w:rPr>
        <w:t xml:space="preserve"> </w:t>
      </w:r>
      <w:r w:rsidRPr="00F21151">
        <w:rPr>
          <w:rFonts w:asciiTheme="minorHAnsi" w:hAnsiTheme="minorHAnsi" w:cs="Arial"/>
          <w:color w:val="333333"/>
          <w:sz w:val="12"/>
          <w:szCs w:val="12"/>
          <w:shd w:val="clear" w:color="auto" w:fill="FFFFFF"/>
        </w:rPr>
        <w:t>developed mainly by Anglo-Saxon jurisdictions</w:t>
      </w:r>
      <w:r w:rsidRPr="00B74B21">
        <w:rPr>
          <w:rFonts w:asciiTheme="minorHAnsi" w:hAnsiTheme="minorHAnsi" w:cs="Arial"/>
          <w:color w:val="333333"/>
          <w:shd w:val="clear" w:color="auto" w:fill="FFFFFF"/>
        </w:rPr>
        <w:t xml:space="preserve"> </w:t>
      </w:r>
      <w:r w:rsidRPr="00DC19AB">
        <w:rPr>
          <w:rFonts w:asciiTheme="minorHAnsi" w:hAnsiTheme="minorHAnsi" w:cs="Arial"/>
          <w:color w:val="333333"/>
          <w:highlight w:val="yellow"/>
          <w:u w:val="single"/>
          <w:shd w:val="clear" w:color="auto" w:fill="FFFFFF"/>
        </w:rPr>
        <w:t xml:space="preserve">on the basis of considerations of international comity, respect for the principles of sovereign equality </w:t>
      </w:r>
      <w:r w:rsidRPr="00DC19AB">
        <w:rPr>
          <w:rFonts w:asciiTheme="minorHAnsi" w:hAnsiTheme="minorHAnsi" w:cs="Arial"/>
          <w:b/>
          <w:bCs/>
          <w:color w:val="333333"/>
          <w:highlight w:val="yellow"/>
          <w:u w:val="single"/>
          <w:shd w:val="clear" w:color="auto" w:fill="FFFFFF"/>
        </w:rPr>
        <w:t>and non-intervention</w:t>
      </w:r>
      <w:r w:rsidRPr="00DC19AB">
        <w:rPr>
          <w:rFonts w:asciiTheme="minorHAnsi" w:hAnsiTheme="minorHAnsi" w:cs="Arial"/>
          <w:color w:val="333333"/>
          <w:highlight w:val="yellow"/>
          <w:u w:val="single"/>
          <w:shd w:val="clear" w:color="auto" w:fill="FFFFFF"/>
        </w:rPr>
        <w:t xml:space="preserve"> in the internal affairs of other states, separation of powers, and the choice of law freedom</w:t>
      </w:r>
      <w:r w:rsidRPr="00F21151">
        <w:rPr>
          <w:rFonts w:asciiTheme="minorHAnsi" w:hAnsiTheme="minorHAnsi" w:cs="Arial"/>
          <w:color w:val="333333"/>
          <w:u w:val="single"/>
          <w:shd w:val="clear" w:color="auto" w:fill="FFFFFF"/>
        </w:rPr>
        <w:t>. To some extent, the legal basis of the doctrine of immunity for acts of state was analogous to the basis of immunity granted to the foreign sovereign state and its agents. The underlying rationale of this doctrine consists in preventing domestic courts from issuing adverse judgments against foreign governments that could embarrass international relations and interfere with the conduct of foreign affairs by the executive branch power.</w:t>
      </w:r>
      <w:r w:rsidRPr="00B74B21">
        <w:rPr>
          <w:rFonts w:asciiTheme="minorHAnsi" w:hAnsiTheme="minorHAnsi" w:cs="Arial"/>
          <w:color w:val="333333"/>
          <w:shd w:val="clear" w:color="auto" w:fill="FFFFFF"/>
        </w:rPr>
        <w:t> </w:t>
      </w:r>
    </w:p>
    <w:p w14:paraId="4504A27B" w14:textId="77777777" w:rsidR="00AB4F64" w:rsidRPr="00A44D39" w:rsidRDefault="00AB4F64" w:rsidP="00AB4F64">
      <w:pPr>
        <w:rPr>
          <w:rFonts w:asciiTheme="minorHAnsi" w:hAnsiTheme="minorHAnsi"/>
          <w:sz w:val="12"/>
          <w:szCs w:val="12"/>
        </w:rPr>
      </w:pPr>
      <w:r w:rsidRPr="00DC19AB">
        <w:rPr>
          <w:rFonts w:asciiTheme="minorHAnsi" w:hAnsiTheme="minorHAnsi" w:cs="Arial"/>
          <w:color w:val="333333"/>
          <w:highlight w:val="yellow"/>
          <w:u w:val="single"/>
          <w:shd w:val="clear" w:color="auto" w:fill="FFFFFF"/>
        </w:rPr>
        <w:t xml:space="preserve">The doctrine of the act of state (and that of the political question) has </w:t>
      </w:r>
      <w:r w:rsidRPr="00DC19AB">
        <w:rPr>
          <w:rFonts w:asciiTheme="minorHAnsi" w:hAnsiTheme="minorHAnsi" w:cs="Arial"/>
          <w:b/>
          <w:bCs/>
          <w:color w:val="333333"/>
          <w:highlight w:val="yellow"/>
          <w:u w:val="single"/>
          <w:shd w:val="clear" w:color="auto" w:fill="FFFFFF"/>
        </w:rPr>
        <w:t>important differences</w:t>
      </w:r>
      <w:r w:rsidRPr="00DC19AB">
        <w:rPr>
          <w:rFonts w:asciiTheme="minorHAnsi" w:hAnsiTheme="minorHAnsi" w:cs="Arial"/>
          <w:color w:val="333333"/>
          <w:highlight w:val="yellow"/>
          <w:u w:val="single"/>
          <w:shd w:val="clear" w:color="auto" w:fill="FFFFFF"/>
        </w:rPr>
        <w:t xml:space="preserve"> with the immunity of the foreign state</w:t>
      </w:r>
      <w:r w:rsidRPr="00DC19AB">
        <w:rPr>
          <w:rFonts w:asciiTheme="minorHAnsi" w:hAnsiTheme="minorHAnsi" w:cs="Arial"/>
          <w:color w:val="333333"/>
          <w:highlight w:val="yellow"/>
          <w:shd w:val="clear" w:color="auto" w:fill="FFFFFF"/>
        </w:rPr>
        <w:t>:</w:t>
      </w:r>
      <w:r w:rsidRPr="00B74B21">
        <w:rPr>
          <w:rFonts w:asciiTheme="minorHAnsi" w:hAnsiTheme="minorHAnsi" w:cs="Arial"/>
          <w:color w:val="333333"/>
          <w:shd w:val="clear" w:color="auto" w:fill="FFFFFF"/>
        </w:rPr>
        <w:t xml:space="preserve"> </w:t>
      </w:r>
      <w:r w:rsidRPr="00A44D39">
        <w:rPr>
          <w:rFonts w:asciiTheme="minorHAnsi" w:hAnsiTheme="minorHAnsi" w:cs="Arial"/>
          <w:color w:val="333333"/>
          <w:sz w:val="12"/>
          <w:szCs w:val="12"/>
          <w:shd w:val="clear" w:color="auto" w:fill="FFFFFF"/>
        </w:rPr>
        <w:t>(1) This immunity is </w:t>
      </w:r>
      <w:r w:rsidRPr="00A44D39">
        <w:rPr>
          <w:rFonts w:asciiTheme="minorHAnsi" w:hAnsiTheme="minorHAnsi" w:cs="Arial"/>
          <w:i/>
          <w:iCs/>
          <w:color w:val="333333"/>
          <w:sz w:val="12"/>
          <w:szCs w:val="12"/>
          <w:shd w:val="clear" w:color="auto" w:fill="FFFFFF"/>
        </w:rPr>
        <w:t>per se</w:t>
      </w:r>
      <w:r w:rsidRPr="00A44D39">
        <w:rPr>
          <w:rFonts w:asciiTheme="minorHAnsi" w:hAnsiTheme="minorHAnsi" w:cs="Arial"/>
          <w:color w:val="333333"/>
          <w:sz w:val="12"/>
          <w:szCs w:val="12"/>
          <w:shd w:val="clear" w:color="auto" w:fill="FFFFFF"/>
        </w:rPr>
        <w:t> a general rule of public international law of a customary nature accepted and applied universally—in addition to being regulated in various international conventions, one of them of universal vocation—unlike the doctrines cited, which are not regulated by national legislations or by international codification efforts. (2) The moment of operation is also different, since the immunity of the foreign state functions ex ante as a procedural exception to the exercise of jurisdiction by the court of the territorial state (or court of the forum), which for that reason is obliged to recognize its lack of competence to try the case before it, while the doctrines of the state act and the political question act later—only if the defendant does not enjoy immunity—when the court is already exercising its competence and knowing the merits of the case. (3) The application of the immunity of the foreign state requires that the foreign state be sued before the courts of the forum, whereas the act of state doctrine does not require that the foreign state itself be a party to the proceedings, but it is sufficient to question the validity of an internal act of the foreign state during the judicial proceedings.</w:t>
      </w:r>
    </w:p>
    <w:p w14:paraId="2FB83769" w14:textId="77777777" w:rsidR="00AB4F64" w:rsidRPr="00AB4F64" w:rsidRDefault="00AB4F64" w:rsidP="00AB4F64"/>
    <w:sectPr w:rsidR="00AB4F64" w:rsidRPr="00AB4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30459906624"/>
    <w:docVar w:name="VerbatimVersion" w:val="5.1"/>
  </w:docVars>
  <w:rsids>
    <w:rsidRoot w:val="00DD7032"/>
    <w:rsid w:val="000139A3"/>
    <w:rsid w:val="00046506"/>
    <w:rsid w:val="00097A45"/>
    <w:rsid w:val="000C39DB"/>
    <w:rsid w:val="00100833"/>
    <w:rsid w:val="00104529"/>
    <w:rsid w:val="00105942"/>
    <w:rsid w:val="00107396"/>
    <w:rsid w:val="00144A4C"/>
    <w:rsid w:val="00152276"/>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407037"/>
    <w:rsid w:val="0045796A"/>
    <w:rsid w:val="004605D6"/>
    <w:rsid w:val="00470E02"/>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66EA0"/>
    <w:rsid w:val="007A2226"/>
    <w:rsid w:val="007F5B66"/>
    <w:rsid w:val="00814F99"/>
    <w:rsid w:val="00823A1C"/>
    <w:rsid w:val="0082497D"/>
    <w:rsid w:val="00845B9D"/>
    <w:rsid w:val="00860984"/>
    <w:rsid w:val="008B3ECB"/>
    <w:rsid w:val="008B4E85"/>
    <w:rsid w:val="008C1B2E"/>
    <w:rsid w:val="0091627E"/>
    <w:rsid w:val="0097032B"/>
    <w:rsid w:val="009D2EAD"/>
    <w:rsid w:val="009D54B2"/>
    <w:rsid w:val="009E1922"/>
    <w:rsid w:val="009F7E08"/>
    <w:rsid w:val="009F7ED2"/>
    <w:rsid w:val="00A93661"/>
    <w:rsid w:val="00A95652"/>
    <w:rsid w:val="00AB4F64"/>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24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4F64"/>
    <w:rPr>
      <w:rFonts w:ascii="Calibri" w:hAnsi="Calibri" w:cs="Calibri"/>
    </w:rPr>
  </w:style>
  <w:style w:type="paragraph" w:styleId="Heading1">
    <w:name w:val="heading 1"/>
    <w:aliases w:val="Pocket"/>
    <w:basedOn w:val="Normal"/>
    <w:next w:val="Normal"/>
    <w:link w:val="Heading1Char"/>
    <w:qFormat/>
    <w:rsid w:val="00AB4F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4F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AB4F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AB4F6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AB4F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F64"/>
  </w:style>
  <w:style w:type="character" w:customStyle="1" w:styleId="Heading1Char">
    <w:name w:val="Heading 1 Char"/>
    <w:aliases w:val="Pocket Char"/>
    <w:basedOn w:val="DefaultParagraphFont"/>
    <w:link w:val="Heading1"/>
    <w:rsid w:val="00AB4F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4F6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AB4F6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AB4F64"/>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AB4F6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4F64"/>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AB4F6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B4F64"/>
    <w:rPr>
      <w:color w:val="auto"/>
      <w:u w:val="none"/>
    </w:rPr>
  </w:style>
  <w:style w:type="character" w:styleId="FollowedHyperlink">
    <w:name w:val="FollowedHyperlink"/>
    <w:basedOn w:val="DefaultParagraphFont"/>
    <w:uiPriority w:val="99"/>
    <w:semiHidden/>
    <w:unhideWhenUsed/>
    <w:rsid w:val="00AB4F64"/>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apcz.umk.pl/HiP/article/view/HiP.2017.026/13714" TargetMode="External"/><Relationship Id="rId7" Type="http://schemas.openxmlformats.org/officeDocument/2006/relationships/hyperlink" Target="https://commons.und.edu/theses/2455/" TargetMode="Externa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mitpress.mit.edu/books/whats-worst-could-happe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016/j.spacepol.2018.02.00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hyperlink" Target="https://www.oxfordbibliographies.com/view/document/obo-9780199796953/obo-9780199796953-0207.xml" TargetMode="Externa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80/20414005.2021.2006030"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hyperlink" Target="https://www.researchgate.net/publication/231991798_Beyond_Anthropocentrism" TargetMode="External"/><Relationship Id="rId8" Type="http://schemas.openxmlformats.org/officeDocument/2006/relationships/hyperlink" Target="https://allthingsnuclear.org/lgrego/preventing-space-war"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42919</Words>
  <Characters>244642</Characters>
  <Application>Microsoft Office Word</Application>
  <DocSecurity>0</DocSecurity>
  <Lines>2038</Lines>
  <Paragraphs>573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15</cp:revision>
  <dcterms:created xsi:type="dcterms:W3CDTF">2022-02-11T15:24:00Z</dcterms:created>
  <dcterms:modified xsi:type="dcterms:W3CDTF">2022-02-13T03:14:00Z</dcterms:modified>
</cp:coreProperties>
</file>