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4B2C1" w14:textId="36CD5E99" w:rsidR="00D217B8" w:rsidRDefault="00576D9F" w:rsidP="00D217B8">
      <w:pPr>
        <w:pStyle w:val="Heading1"/>
      </w:pPr>
      <w:r>
        <w:t>1</w:t>
      </w:r>
      <w:r w:rsidR="00D217B8">
        <w:t xml:space="preserve">NC </w:t>
      </w:r>
    </w:p>
    <w:p w14:paraId="1D4D2230" w14:textId="3B711DE5" w:rsidR="009929BB" w:rsidRDefault="009929BB" w:rsidP="009929BB">
      <w:pPr>
        <w:pStyle w:val="Heading3"/>
      </w:pPr>
      <w:r>
        <w:lastRenderedPageBreak/>
        <w:t xml:space="preserve">1NC – </w:t>
      </w:r>
      <w:r w:rsidR="00D217B8">
        <w:t>K</w:t>
      </w:r>
    </w:p>
    <w:p w14:paraId="33254A9A" w14:textId="77777777" w:rsidR="009929BB" w:rsidRPr="00CB54B9" w:rsidRDefault="009929BB" w:rsidP="009929BB">
      <w:pPr>
        <w:pStyle w:val="Heading4"/>
      </w:pPr>
      <w:r>
        <w:t>Settler colonialism is a permeating structure that operates via the promotion of the nation-state – it thrives off of the elimination of indigenous people and their relationship to land – that appropriation turns them into ghosts</w:t>
      </w:r>
    </w:p>
    <w:p w14:paraId="38ABD481" w14:textId="77777777" w:rsidR="009929BB" w:rsidRDefault="009929BB" w:rsidP="009929BB">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33043B8C" w14:textId="77777777" w:rsidR="009929BB" w:rsidRPr="00804BFA" w:rsidRDefault="009929BB" w:rsidP="009929BB">
      <w:pPr>
        <w:rPr>
          <w:u w:val="singl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r w:rsidRPr="00B76693">
        <w:rPr>
          <w:sz w:val="8"/>
          <w:szCs w:val="18"/>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Indigenous inhabitant and the chattel slave are unnatural, even supernatural. Settlers are not </w:t>
      </w:r>
      <w:r w:rsidRPr="00CB54B9">
        <w:rPr>
          <w:rStyle w:val="StyleUnderline"/>
        </w:rPr>
        <w:lastRenderedPageBreak/>
        <w:t>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446D25CD" w14:textId="77777777" w:rsidR="009929BB" w:rsidRPr="008A2B6C" w:rsidRDefault="009929BB" w:rsidP="009929BB">
      <w:pPr>
        <w:pStyle w:val="Heading4"/>
      </w:pPr>
      <w:r>
        <w:t xml:space="preserve">The 1AC is embedded within an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2A500F4D" w14:textId="77777777" w:rsidR="009929BB" w:rsidRPr="00C95B80" w:rsidRDefault="009929BB" w:rsidP="009929BB">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5C67D10A" w14:textId="77777777" w:rsidR="009929BB" w:rsidRDefault="009929BB" w:rsidP="009929BB">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w:t>
      </w:r>
      <w:r w:rsidRPr="008A2B6C">
        <w:rPr>
          <w:sz w:val="8"/>
        </w:rPr>
        <w:lastRenderedPageBreak/>
        <w:t xml:space="preserve">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similar to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(e.g.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r w:rsidRPr="008A2B6C">
        <w:rPr>
          <w:sz w:val="8"/>
        </w:rPr>
        <w:t>a‘historical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r w:rsidRPr="008A2B6C">
        <w:rPr>
          <w:sz w:val="8"/>
        </w:rPr>
        <w:t>Deudney</w:t>
      </w:r>
      <w:proofErr w:type="spellEnd"/>
      <w:r w:rsidRPr="008A2B6C">
        <w:rPr>
          <w:sz w:val="8"/>
        </w:rPr>
        <w:t xml:space="preserve">, but modifies their </w:t>
      </w:r>
      <w:r w:rsidRPr="008A2B6C">
        <w:rPr>
          <w:sz w:val="8"/>
        </w:rPr>
        <w:lastRenderedPageBreak/>
        <w:t xml:space="preserve">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6BF96E3B" w14:textId="77777777" w:rsidR="001D2733" w:rsidRDefault="001D2733" w:rsidP="001D2733">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r>
        <w:t>“</w:t>
      </w:r>
      <w:r w:rsidRPr="0075160E">
        <w:t>commons</w:t>
      </w:r>
      <w:r>
        <w:t>”</w:t>
      </w:r>
      <w:r w:rsidRPr="0075160E">
        <w:t xml:space="preserve"> </w:t>
      </w:r>
      <w:r>
        <w:t>is the</w:t>
      </w:r>
      <w:r w:rsidRPr="0075160E">
        <w:t xml:space="preserve"> exclusive</w:t>
      </w:r>
      <w:r>
        <w:t xml:space="preserve"> domain of space-faring nations</w:t>
      </w:r>
    </w:p>
    <w:p w14:paraId="5B06CB9D" w14:textId="77777777" w:rsidR="001D2733" w:rsidRDefault="001D2733" w:rsidP="001D2733">
      <w:pPr>
        <w:rPr>
          <w:rStyle w:val="Style13ptBold"/>
        </w:rPr>
      </w:pPr>
      <w:proofErr w:type="spellStart"/>
      <w:r>
        <w:rPr>
          <w:rStyle w:val="Style13ptBold"/>
        </w:rPr>
        <w:t>Stroikos</w:t>
      </w:r>
      <w:proofErr w:type="spellEnd"/>
      <w:r>
        <w:rPr>
          <w:rStyle w:val="Style13ptBold"/>
        </w:rPr>
        <w:t xml:space="preserve"> ‘16</w:t>
      </w:r>
    </w:p>
    <w:p w14:paraId="2EBE1B61" w14:textId="77777777" w:rsidR="001D2733" w:rsidRPr="00B62778" w:rsidRDefault="001D2733" w:rsidP="001D2733">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4E2D2DCE" w14:textId="77777777" w:rsidR="001D2733" w:rsidRPr="00BA182C" w:rsidRDefault="001D2733" w:rsidP="001D2733">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727917">
        <w:rPr>
          <w:rStyle w:val="Emphasis"/>
        </w:rPr>
        <w:t xml:space="preserve">because </w:t>
      </w:r>
      <w:r w:rsidRPr="00EC2AE9">
        <w:rPr>
          <w:rStyle w:val="Emphasis"/>
          <w:highlight w:val="green"/>
        </w:rPr>
        <w:t xml:space="preserve">sovereignty </w:t>
      </w:r>
      <w:r w:rsidRPr="00727917">
        <w:rPr>
          <w:rStyle w:val="Emphasis"/>
        </w:rPr>
        <w:t xml:space="preserve">in space </w:t>
      </w:r>
      <w:r w:rsidRPr="00EC2AE9">
        <w:rPr>
          <w:rStyle w:val="Emphasis"/>
          <w:highlight w:val="green"/>
        </w:rPr>
        <w:t>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727917">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727917">
        <w:rPr>
          <w:rStyle w:val="StyleUnderline"/>
        </w:rPr>
        <w:t xml:space="preserve">closely </w:t>
      </w:r>
      <w:r w:rsidRPr="00EC2AE9">
        <w:rPr>
          <w:rStyle w:val="StyleUnderline"/>
          <w:highlight w:val="green"/>
        </w:rPr>
        <w:t>linked to</w:t>
      </w:r>
      <w:r w:rsidRPr="000D480F">
        <w:rPr>
          <w:rStyle w:val="StyleUnderline"/>
        </w:rPr>
        <w:t xml:space="preserve"> great power status and </w:t>
      </w:r>
      <w:r w:rsidRPr="00727917">
        <w:rPr>
          <w:rStyle w:val="StyleUnderline"/>
        </w:rPr>
        <w:t xml:space="preserve">great power </w:t>
      </w:r>
      <w:r w:rsidRPr="00EC2AE9">
        <w:rPr>
          <w:rStyle w:val="StyleUnderline"/>
          <w:highlight w:val="green"/>
        </w:rPr>
        <w:t xml:space="preserve">management in </w:t>
      </w:r>
      <w:r w:rsidRPr="00727917">
        <w:rPr>
          <w:rStyle w:val="StyleUnderline"/>
        </w:rPr>
        <w:t>the sense that</w:t>
      </w:r>
      <w:r w:rsidRPr="000D480F">
        <w:rPr>
          <w:rStyle w:val="StyleUnderline"/>
        </w:rPr>
        <w:t xml:space="preserve"> different </w:t>
      </w:r>
      <w:r w:rsidRPr="00EC2AE9">
        <w:rPr>
          <w:rStyle w:val="StyleUnderline"/>
          <w:highlight w:val="green"/>
        </w:rPr>
        <w:t xml:space="preserve">space </w:t>
      </w:r>
      <w:r w:rsidRPr="00727917">
        <w:rPr>
          <w:rStyle w:val="StyleUnderline"/>
        </w:rPr>
        <w:t>capabilities</w:t>
      </w:r>
      <w:r w:rsidRPr="000D480F">
        <w:rPr>
          <w:rStyle w:val="StyleUnderline"/>
        </w:rPr>
        <w:t xml:space="preserve"> also </w:t>
      </w:r>
      <w:r w:rsidRPr="00727917">
        <w:rPr>
          <w:rStyle w:val="StyleUnderline"/>
        </w:rPr>
        <w:t>confer different</w:t>
      </w:r>
      <w:r w:rsidRPr="000D480F">
        <w:rPr>
          <w:rStyle w:val="StyleUnderline"/>
        </w:rPr>
        <w:t xml:space="preserve"> levels of </w:t>
      </w:r>
      <w:r w:rsidRPr="00727917">
        <w:rPr>
          <w:rStyle w:val="StyleUnderline"/>
        </w:rPr>
        <w:t>status</w:t>
      </w:r>
      <w:r w:rsidRPr="000D480F">
        <w:rPr>
          <w:rStyle w:val="StyleUnderline"/>
        </w:rPr>
        <w:t xml:space="preserve"> and responsibilities </w:t>
      </w:r>
      <w:r w:rsidRPr="00727917">
        <w:rPr>
          <w:rStyle w:val="StyleUnderline"/>
        </w:rPr>
        <w:t xml:space="preserve">in the </w:t>
      </w:r>
      <w:r w:rsidRPr="00EC2AE9">
        <w:rPr>
          <w:rStyle w:val="StyleUnderline"/>
          <w:highlight w:val="green"/>
        </w:rPr>
        <w:t>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it is clear that the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 xml:space="preserve">dialectics between </w:t>
      </w:r>
      <w:r w:rsidRPr="00EC2AE9">
        <w:rPr>
          <w:rStyle w:val="StyleUnderline"/>
          <w:highlight w:val="green"/>
        </w:rPr>
        <w:lastRenderedPageBreak/>
        <w:t>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727917">
        <w:rPr>
          <w:rStyle w:val="Emphasis"/>
          <w:highlight w:val="green"/>
        </w:rPr>
        <w:t>efforts</w:t>
      </w:r>
      <w:r w:rsidRPr="00727917">
        <w:rPr>
          <w:rStyle w:val="Emphasis"/>
        </w:rPr>
        <w:t xml:space="preserve"> to find ways </w:t>
      </w:r>
      <w:r w:rsidRPr="00727917">
        <w:rPr>
          <w:rStyle w:val="Emphasis"/>
          <w:highlight w:val="green"/>
        </w:rPr>
        <w:t>to mitigate space debris as well as</w:t>
      </w:r>
      <w:r w:rsidRPr="00727917">
        <w:rPr>
          <w:rStyle w:val="Emphasis"/>
        </w:rPr>
        <w:t xml:space="preserve"> to </w:t>
      </w:r>
      <w:r w:rsidRPr="00727917">
        <w:rPr>
          <w:rStyle w:val="Emphasis"/>
          <w:highlight w:val="green"/>
        </w:rPr>
        <w:t>create a normative framework</w:t>
      </w:r>
      <w:r w:rsidRPr="00727917">
        <w:rPr>
          <w:rStyle w:val="Emphasis"/>
        </w:rPr>
        <w:t xml:space="preserve"> for the sustainability of space </w:t>
      </w:r>
      <w:r w:rsidRPr="00727917">
        <w:rPr>
          <w:rStyle w:val="Emphasis"/>
          <w:highlight w:val="green"/>
        </w:rPr>
        <w:t>are illustrative of how</w:t>
      </w:r>
      <w:r w:rsidRPr="00727917">
        <w:rPr>
          <w:rStyle w:val="Emphasis"/>
        </w:rPr>
        <w:t xml:space="preserve"> environmental </w:t>
      </w:r>
      <w:r w:rsidRPr="00727917">
        <w:rPr>
          <w:rStyle w:val="Emphasis"/>
          <w:highlight w:val="green"/>
        </w:rPr>
        <w:t>stewardship is</w:t>
      </w:r>
      <w:r w:rsidRPr="00727917">
        <w:rPr>
          <w:rStyle w:val="Emphasis"/>
        </w:rPr>
        <w:t xml:space="preserve"> gradually </w:t>
      </w:r>
      <w:r w:rsidRPr="00727917">
        <w:rPr>
          <w:rStyle w:val="Emphasis"/>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65C9464F" w14:textId="77777777" w:rsidR="009B22FC" w:rsidRPr="0026018A" w:rsidRDefault="009B22FC" w:rsidP="009B22FC">
      <w:pPr>
        <w:pStyle w:val="Heading4"/>
      </w:pPr>
      <w:r>
        <w:lastRenderedPageBreak/>
        <w:t>Resource management is a product of the Settler desire to micromanage indigeneity – the 1AC’s propagation of conservation regimes just bolsters an ideology that turns people and land into commodities via environmental governance</w:t>
      </w:r>
    </w:p>
    <w:p w14:paraId="759B3431" w14:textId="77777777" w:rsidR="009B22FC" w:rsidRDefault="009B22FC" w:rsidP="009B22FC">
      <w:pPr>
        <w:rPr>
          <w:rStyle w:val="Style13ptBold"/>
          <w:b w:val="0"/>
          <w:bCs/>
          <w:sz w:val="16"/>
          <w:szCs w:val="12"/>
        </w:rPr>
      </w:pPr>
      <w:r>
        <w:rPr>
          <w:rStyle w:val="Style13ptBold"/>
        </w:rPr>
        <w:t>Stanley 16</w:t>
      </w:r>
      <w:r>
        <w:rPr>
          <w:rStyle w:val="Style13ptBold"/>
          <w:sz w:val="16"/>
          <w:szCs w:val="12"/>
        </w:rPr>
        <w:t xml:space="preserve"> (Anna Stanley; 2016; Environment and Planning A Vol. 48, Issue 12; </w:t>
      </w:r>
      <w:r>
        <w:rPr>
          <w:rStyle w:val="Style13ptBold"/>
          <w:i/>
          <w:iCs/>
          <w:sz w:val="16"/>
          <w:szCs w:val="12"/>
        </w:rPr>
        <w:t>“</w:t>
      </w:r>
      <w:r w:rsidRPr="00CD7140">
        <w:rPr>
          <w:rStyle w:val="Style13ptBold"/>
          <w:i/>
          <w:iCs/>
          <w:sz w:val="16"/>
          <w:szCs w:val="12"/>
        </w:rPr>
        <w:t>Resilient Settler Colonialism:</w:t>
      </w:r>
      <w:r>
        <w:rPr>
          <w:rStyle w:val="Style13ptBold"/>
          <w:i/>
          <w:iCs/>
          <w:sz w:val="16"/>
          <w:szCs w:val="12"/>
        </w:rPr>
        <w:t xml:space="preserve"> </w:t>
      </w:r>
      <w:r w:rsidRPr="00CD7140">
        <w:rPr>
          <w:rStyle w:val="Style13ptBold"/>
          <w:i/>
          <w:iCs/>
          <w:sz w:val="16"/>
          <w:szCs w:val="12"/>
        </w:rPr>
        <w:t>‘‘Responsible Resource</w:t>
      </w:r>
      <w:r>
        <w:rPr>
          <w:rStyle w:val="Style13ptBold"/>
          <w:i/>
          <w:iCs/>
          <w:sz w:val="16"/>
          <w:szCs w:val="12"/>
        </w:rPr>
        <w:t xml:space="preserve"> </w:t>
      </w:r>
      <w:r w:rsidRPr="00CD7140">
        <w:rPr>
          <w:rStyle w:val="Style13ptBold"/>
          <w:i/>
          <w:iCs/>
          <w:sz w:val="16"/>
          <w:szCs w:val="12"/>
        </w:rPr>
        <w:t>Development,’’</w:t>
      </w:r>
      <w:r>
        <w:rPr>
          <w:rStyle w:val="Style13ptBold"/>
          <w:i/>
          <w:iCs/>
          <w:sz w:val="16"/>
          <w:szCs w:val="12"/>
        </w:rPr>
        <w:t xml:space="preserve"> </w:t>
      </w:r>
      <w:r w:rsidRPr="00CD7140">
        <w:rPr>
          <w:rStyle w:val="Style13ptBold"/>
          <w:i/>
          <w:iCs/>
          <w:sz w:val="16"/>
          <w:szCs w:val="12"/>
        </w:rPr>
        <w:t>‘‘Flow-Through’’ Financing,</w:t>
      </w:r>
      <w:r>
        <w:rPr>
          <w:rStyle w:val="Style13ptBold"/>
          <w:i/>
          <w:iCs/>
          <w:sz w:val="16"/>
          <w:szCs w:val="12"/>
        </w:rPr>
        <w:t xml:space="preserve"> </w:t>
      </w:r>
      <w:r w:rsidRPr="00CD7140">
        <w:rPr>
          <w:rStyle w:val="Style13ptBold"/>
          <w:i/>
          <w:iCs/>
          <w:sz w:val="16"/>
          <w:szCs w:val="12"/>
        </w:rPr>
        <w:t>and the Risk Management</w:t>
      </w:r>
      <w:r>
        <w:rPr>
          <w:rStyle w:val="Style13ptBold"/>
          <w:i/>
          <w:iCs/>
          <w:sz w:val="16"/>
          <w:szCs w:val="12"/>
        </w:rPr>
        <w:t xml:space="preserve"> </w:t>
      </w:r>
      <w:r w:rsidRPr="00CD7140">
        <w:rPr>
          <w:rStyle w:val="Style13ptBold"/>
          <w:i/>
          <w:iCs/>
          <w:sz w:val="16"/>
          <w:szCs w:val="12"/>
        </w:rPr>
        <w:t>of Indigenous Sovereignty</w:t>
      </w:r>
      <w:r>
        <w:rPr>
          <w:rStyle w:val="Style13ptBold"/>
          <w:i/>
          <w:iCs/>
          <w:sz w:val="16"/>
          <w:szCs w:val="12"/>
        </w:rPr>
        <w:t xml:space="preserve"> </w:t>
      </w:r>
      <w:r w:rsidRPr="00CD7140">
        <w:rPr>
          <w:rStyle w:val="Style13ptBold"/>
          <w:i/>
          <w:iCs/>
          <w:sz w:val="16"/>
          <w:szCs w:val="12"/>
        </w:rPr>
        <w:t>in Canada</w:t>
      </w:r>
      <w:r>
        <w:rPr>
          <w:rStyle w:val="Style13ptBold"/>
          <w:i/>
          <w:iCs/>
          <w:sz w:val="16"/>
          <w:szCs w:val="12"/>
        </w:rPr>
        <w:t>”</w:t>
      </w:r>
      <w:r>
        <w:rPr>
          <w:rStyle w:val="Style13ptBold"/>
          <w:sz w:val="16"/>
          <w:szCs w:val="12"/>
        </w:rPr>
        <w:t xml:space="preserve">; accessed 1/5/21; </w:t>
      </w:r>
      <w:hyperlink r:id="rId11" w:history="1">
        <w:r w:rsidRPr="000F7B81">
          <w:rPr>
            <w:rStyle w:val="Hyperlink"/>
            <w:sz w:val="16"/>
            <w:szCs w:val="12"/>
          </w:rPr>
          <w:t>https://journals.sagepub.com/doi/pdf/10.1177/0308518X16660352</w:t>
        </w:r>
      </w:hyperlink>
      <w:r>
        <w:rPr>
          <w:rStyle w:val="Style13ptBold"/>
          <w:sz w:val="16"/>
          <w:szCs w:val="12"/>
        </w:rPr>
        <w:t xml:space="preserve">; </w:t>
      </w:r>
      <w:r w:rsidRPr="00CD7140">
        <w:rPr>
          <w:rStyle w:val="Style13ptBold"/>
          <w:sz w:val="16"/>
          <w:szCs w:val="12"/>
        </w:rPr>
        <w:t>Anna Stanley is Assistant Professor at the University of Guelph in the Department of Geography, Environment and Geomatics. Prior to Joining the university of Guelph she was faculty at the National University of Ireland, Galway. She has also held a number of visiting professorships including at York University and the University of Toronto. Her research focuses on the political economy of settler colonialism in Canada with specific reference to mining and mineral exploration, infrastructure development and toxic exposure.</w:t>
      </w:r>
      <w:r>
        <w:rPr>
          <w:rStyle w:val="Style13ptBold"/>
          <w:sz w:val="16"/>
          <w:szCs w:val="12"/>
        </w:rPr>
        <w:t>; pages 2425-2428) HB</w:t>
      </w:r>
    </w:p>
    <w:p w14:paraId="5E2E206E" w14:textId="77777777" w:rsidR="009B22FC" w:rsidRPr="00E13FA9" w:rsidRDefault="009B22FC" w:rsidP="009B22FC">
      <w:pPr>
        <w:rPr>
          <w:rStyle w:val="StyleUnderline"/>
        </w:rPr>
      </w:pPr>
      <w:r w:rsidRPr="0026018A">
        <w:rPr>
          <w:rStyle w:val="Style13ptBold"/>
          <w:sz w:val="8"/>
          <w:szCs w:val="18"/>
        </w:rPr>
        <w:t xml:space="preserve">Responsible resource development: Resilient settler colonialism and Canadian environmental governance While the global economic outlook remains uncertain, Canada is in a strong fiscal position ...due in part to the country’s large and diverse natural resource endowment and stable investment climate. Slower than anticipated economic growth in the US and the fragile economic growth in Europe remain a key risk for our natural resources sectors. </w:t>
      </w:r>
      <w:r w:rsidRPr="00474CCD">
        <w:rPr>
          <w:rStyle w:val="StyleUnderline"/>
        </w:rPr>
        <w:t>To address</w:t>
      </w:r>
      <w:r w:rsidRPr="0026018A">
        <w:rPr>
          <w:rStyle w:val="Style13ptBold"/>
          <w:sz w:val="8"/>
          <w:szCs w:val="18"/>
        </w:rPr>
        <w:t xml:space="preserve"> this </w:t>
      </w:r>
      <w:proofErr w:type="spellStart"/>
      <w:r w:rsidRPr="0026018A">
        <w:rPr>
          <w:rStyle w:val="Style13ptBold"/>
          <w:sz w:val="8"/>
          <w:szCs w:val="18"/>
        </w:rPr>
        <w:t>NRCan</w:t>
      </w:r>
      <w:proofErr w:type="spellEnd"/>
      <w:r w:rsidRPr="0026018A">
        <w:rPr>
          <w:rStyle w:val="Style13ptBold"/>
          <w:sz w:val="8"/>
          <w:szCs w:val="18"/>
        </w:rPr>
        <w:t xml:space="preserve"> has in place programs directed at </w:t>
      </w:r>
      <w:r w:rsidRPr="004F5916">
        <w:rPr>
          <w:rStyle w:val="StyleUnderline"/>
          <w:highlight w:val="green"/>
        </w:rPr>
        <w:t>strengthening</w:t>
      </w:r>
      <w:r w:rsidRPr="00474CCD">
        <w:rPr>
          <w:rStyle w:val="StyleUnderline"/>
        </w:rPr>
        <w:t xml:space="preserve"> the </w:t>
      </w:r>
      <w:r w:rsidRPr="004F5916">
        <w:rPr>
          <w:rStyle w:val="StyleUnderline"/>
          <w:highlight w:val="green"/>
        </w:rPr>
        <w:t>resiliency</w:t>
      </w:r>
      <w:r w:rsidRPr="00474CCD">
        <w:rPr>
          <w:rStyle w:val="StyleUnderline"/>
        </w:rPr>
        <w:t xml:space="preserve"> and competitiveness </w:t>
      </w:r>
      <w:r w:rsidRPr="004F5916">
        <w:rPr>
          <w:rStyle w:val="StyleUnderline"/>
          <w:highlight w:val="green"/>
        </w:rPr>
        <w:t>of</w:t>
      </w:r>
      <w:r w:rsidRPr="00474CCD">
        <w:rPr>
          <w:rStyle w:val="StyleUnderline"/>
        </w:rPr>
        <w:t xml:space="preserve"> the </w:t>
      </w:r>
      <w:r w:rsidRPr="004F5916">
        <w:rPr>
          <w:rStyle w:val="StyleUnderline"/>
          <w:highlight w:val="green"/>
        </w:rPr>
        <w:t>resource sectors</w:t>
      </w:r>
      <w:r w:rsidRPr="00474CCD">
        <w:rPr>
          <w:rStyle w:val="StyleUnderline"/>
        </w:rPr>
        <w:t xml:space="preserve"> ... the right conditions need to be in place to attract capital to develop</w:t>
      </w:r>
      <w:r w:rsidRPr="0026018A">
        <w:rPr>
          <w:rStyle w:val="Style13ptBold"/>
          <w:sz w:val="8"/>
          <w:szCs w:val="18"/>
        </w:rPr>
        <w:t xml:space="preserve"> Canada’s natural resources. (</w:t>
      </w:r>
      <w:proofErr w:type="spellStart"/>
      <w:r w:rsidRPr="0026018A">
        <w:rPr>
          <w:rStyle w:val="Style13ptBold"/>
          <w:sz w:val="8"/>
          <w:szCs w:val="18"/>
        </w:rPr>
        <w:t>NRCan</w:t>
      </w:r>
      <w:proofErr w:type="spellEnd"/>
      <w:r w:rsidRPr="0026018A">
        <w:rPr>
          <w:rStyle w:val="Style13ptBold"/>
          <w:sz w:val="8"/>
          <w:szCs w:val="18"/>
        </w:rPr>
        <w:t>, 2012b: 9) RRD has consisted largely of a series of unprecedented and possibly unconstitutional measures directed primarily at ‘‘strengthening the resiliency and competitiveness of the resource sectors’’ (</w:t>
      </w:r>
      <w:proofErr w:type="spellStart"/>
      <w:r w:rsidRPr="0026018A">
        <w:rPr>
          <w:rStyle w:val="Style13ptBold"/>
          <w:sz w:val="8"/>
          <w:szCs w:val="18"/>
        </w:rPr>
        <w:t>NRCan</w:t>
      </w:r>
      <w:proofErr w:type="spellEnd"/>
      <w:r w:rsidRPr="0026018A">
        <w:rPr>
          <w:rStyle w:val="Style13ptBold"/>
          <w:sz w:val="8"/>
          <w:szCs w:val="18"/>
        </w:rPr>
        <w:t xml:space="preserve">, 2012b: 9). The Strategy itself is organized </w:t>
      </w:r>
      <w:r w:rsidRPr="00474CCD">
        <w:rPr>
          <w:rStyle w:val="StyleUnderline"/>
        </w:rPr>
        <w:t>according to a logic of resilience management that</w:t>
      </w:r>
      <w:r w:rsidRPr="0026018A">
        <w:rPr>
          <w:rStyle w:val="Style13ptBold"/>
          <w:sz w:val="8"/>
          <w:szCs w:val="18"/>
        </w:rPr>
        <w:t xml:space="preserve"> on the one hand encourages elements of the national economic system that attract investment in the mining economy and facilitate the circulation of capital—including increasing access to contested lands and resources—and on the other that </w:t>
      </w:r>
      <w:r w:rsidRPr="004F5916">
        <w:rPr>
          <w:rStyle w:val="StyleUnderline"/>
          <w:highlight w:val="green"/>
        </w:rPr>
        <w:t>removes</w:t>
      </w:r>
      <w:r w:rsidRPr="00474CCD">
        <w:rPr>
          <w:rStyle w:val="StyleUnderline"/>
        </w:rPr>
        <w:t xml:space="preserve"> and reduces elements that restrict or discourage investment—including </w:t>
      </w:r>
      <w:r w:rsidRPr="004F5916">
        <w:rPr>
          <w:rStyle w:val="StyleUnderline"/>
          <w:highlight w:val="green"/>
        </w:rPr>
        <w:t xml:space="preserve">Indigenous </w:t>
      </w:r>
      <w:r w:rsidRPr="004F5916">
        <w:rPr>
          <w:rStyle w:val="StyleUnderline"/>
        </w:rPr>
        <w:t>rights and</w:t>
      </w:r>
      <w:r w:rsidRPr="00474CCD">
        <w:rPr>
          <w:rStyle w:val="StyleUnderline"/>
        </w:rPr>
        <w:t xml:space="preserve"> </w:t>
      </w:r>
      <w:r w:rsidRPr="004F5916">
        <w:rPr>
          <w:rStyle w:val="StyleUnderline"/>
          <w:highlight w:val="green"/>
        </w:rPr>
        <w:t>sovereignty</w:t>
      </w:r>
      <w:r w:rsidRPr="0026018A">
        <w:rPr>
          <w:rStyle w:val="Style13ptBold"/>
          <w:sz w:val="8"/>
          <w:szCs w:val="18"/>
        </w:rPr>
        <w:t xml:space="preserve">. Resilience is an ecological concept, originating in the work of applied ecologist </w:t>
      </w:r>
      <w:proofErr w:type="spellStart"/>
      <w:r w:rsidRPr="0026018A">
        <w:rPr>
          <w:rStyle w:val="Style13ptBold"/>
          <w:sz w:val="8"/>
          <w:szCs w:val="18"/>
        </w:rPr>
        <w:t>Holling</w:t>
      </w:r>
      <w:proofErr w:type="spellEnd"/>
      <w:r w:rsidRPr="0026018A">
        <w:rPr>
          <w:rStyle w:val="Style13ptBold"/>
          <w:sz w:val="8"/>
          <w:szCs w:val="18"/>
        </w:rPr>
        <w:t xml:space="preserve"> (1973), that describes the ability of an ecosystem to withstand stress and remain productive under conditions of extreme instability. Since extended to apply to all manner of eco-social and socio-economic systems (for critique see Cooper, 2011; Duffield, 2013; Walker and Cooper, 2011), it also refers to the complex interactions that determine the persistence of relationships within any system. Resilience is closely connected to arguments that </w:t>
      </w:r>
      <w:proofErr w:type="spellStart"/>
      <w:r w:rsidRPr="0026018A">
        <w:rPr>
          <w:rStyle w:val="Style13ptBold"/>
          <w:sz w:val="8"/>
          <w:szCs w:val="18"/>
        </w:rPr>
        <w:t>Holling</w:t>
      </w:r>
      <w:proofErr w:type="spellEnd"/>
      <w:r w:rsidRPr="0026018A">
        <w:rPr>
          <w:rStyle w:val="Style13ptBold"/>
          <w:sz w:val="8"/>
          <w:szCs w:val="18"/>
        </w:rPr>
        <w:t xml:space="preserve"> and his colleagues made about the Adaptive Cycle of an ecosystem (</w:t>
      </w:r>
      <w:proofErr w:type="spellStart"/>
      <w:r w:rsidRPr="0026018A">
        <w:rPr>
          <w:rStyle w:val="Style13ptBold"/>
          <w:sz w:val="8"/>
          <w:szCs w:val="18"/>
        </w:rPr>
        <w:t>Holling</w:t>
      </w:r>
      <w:proofErr w:type="spellEnd"/>
      <w:r w:rsidRPr="0026018A">
        <w:rPr>
          <w:rStyle w:val="Style13ptBold"/>
          <w:sz w:val="8"/>
          <w:szCs w:val="18"/>
        </w:rPr>
        <w:t>, 1986) in which it was argued that ecosystems (and later all systems) were dynamic (non-linear) systems exhibiting an inherent tendency to crisis, a tendency essential to the normal and natural development of an ecosystem. The Adaptive Cycle proposes that all ecosystems move through phases of rapid succession growth, ‘‘relative’’ equilibrium, collapse, and spontaneous reorganization that lead to a new growth phase, and suggests that resilience is a sort of inherent potential within a system that enables it to withstand collapse and provides reorganization and new growth. As a management approach, resilience aims to sustain system productivity and function under conditions of extreme instability, and to support a system’s ability to accommodate future events, ‘‘in whatever unexpected form they may take’’ (</w:t>
      </w:r>
      <w:proofErr w:type="spellStart"/>
      <w:r w:rsidRPr="0026018A">
        <w:rPr>
          <w:rStyle w:val="Style13ptBold"/>
          <w:sz w:val="8"/>
          <w:szCs w:val="18"/>
        </w:rPr>
        <w:t>Holling</w:t>
      </w:r>
      <w:proofErr w:type="spellEnd"/>
      <w:r w:rsidRPr="0026018A">
        <w:rPr>
          <w:rStyle w:val="Style13ptBold"/>
          <w:sz w:val="8"/>
          <w:szCs w:val="18"/>
        </w:rPr>
        <w:t xml:space="preserve">, 1973: 21) rather than prevent or attempt to eliminate a threat. </w:t>
      </w:r>
      <w:r w:rsidRPr="004F5916">
        <w:rPr>
          <w:rStyle w:val="StyleUnderline"/>
          <w:highlight w:val="green"/>
        </w:rPr>
        <w:t>Resilience</w:t>
      </w:r>
      <w:r w:rsidRPr="0026018A">
        <w:rPr>
          <w:rStyle w:val="Style13ptBold"/>
          <w:sz w:val="8"/>
          <w:szCs w:val="18"/>
        </w:rPr>
        <w:t xml:space="preserve"> (and broader conceptualization of economy as a complex system) </w:t>
      </w:r>
      <w:r w:rsidRPr="00D95A52">
        <w:rPr>
          <w:rStyle w:val="StyleUnderline"/>
        </w:rPr>
        <w:t>is a</w:t>
      </w:r>
      <w:r w:rsidRPr="00787806">
        <w:rPr>
          <w:rStyle w:val="StyleUnderline"/>
        </w:rPr>
        <w:t xml:space="preserve"> notion bound to a version of the social in which uncertainties abound, and exposure is an inherent, </w:t>
      </w:r>
      <w:r w:rsidRPr="00D95A52">
        <w:rPr>
          <w:rStyle w:val="StyleUnderline"/>
        </w:rPr>
        <w:t>permanent condition of social life</w:t>
      </w:r>
      <w:r w:rsidRPr="0026018A">
        <w:rPr>
          <w:rStyle w:val="Style13ptBold"/>
          <w:sz w:val="8"/>
          <w:szCs w:val="18"/>
        </w:rPr>
        <w:t xml:space="preserve"> (Duffield, 2013). It is also a notion that as Walker and Cooper (2011: 144) argue, demonstrates an ‘‘intuitive ideological fit’’ with neoliberalism (see also, Braun, 2013, online; Duffield, 2013; Evans and Reid, 2014); a fit that derives primarily from ontological slippage between the belief in the ability of systems to self-organize and spontaneous market order (for a thorough deconstruction of the genealogy of resilience see Walker and Cooper, 2011).</w:t>
      </w:r>
      <w:r w:rsidRPr="0026018A">
        <w:rPr>
          <w:sz w:val="8"/>
          <w:szCs w:val="32"/>
        </w:rPr>
        <w:t xml:space="preserve"> </w:t>
      </w:r>
      <w:r w:rsidRPr="0026018A">
        <w:rPr>
          <w:rStyle w:val="Style13ptBold"/>
          <w:sz w:val="8"/>
          <w:szCs w:val="18"/>
        </w:rPr>
        <w:t xml:space="preserve">These themes, and particularly this notion of managing a system to enhance its inherent ability to withstand threats, are very clearly reflected in the EAP and RRD Strategy where RRD is neatly conceived of as a project to enhance the ability of the resource economy to withstand ‘‘economic uncertainty,’’ and ‘‘global crisis’’ through the removal of barriers to investment and encouragement of forms of productive economic life (e.g. GOC, 2012). Herein, a resilient (resource) economy is conceived as one in which the right conditions have been put in place to attract investment, and resilience itself is equated with the ability of the resource economy to attract and circulate investment capital (GOC, 2012). Natural Resources Canada Operational and Strategic plans for instance incorporate metrics aimed at directly measuring resilience based on a threshold annual increase in sectoral investment (e.g. </w:t>
      </w:r>
      <w:proofErr w:type="spellStart"/>
      <w:r w:rsidRPr="0026018A">
        <w:rPr>
          <w:rStyle w:val="Style13ptBold"/>
          <w:sz w:val="8"/>
          <w:szCs w:val="18"/>
        </w:rPr>
        <w:t>NRCan</w:t>
      </w:r>
      <w:proofErr w:type="spellEnd"/>
      <w:r w:rsidRPr="0026018A">
        <w:rPr>
          <w:rStyle w:val="Style13ptBold"/>
          <w:sz w:val="8"/>
          <w:szCs w:val="18"/>
        </w:rPr>
        <w:t xml:space="preserve">, 2012b). Unsurprisingly, </w:t>
      </w:r>
      <w:r w:rsidRPr="00694655">
        <w:rPr>
          <w:rStyle w:val="StyleUnderline"/>
        </w:rPr>
        <w:t xml:space="preserve">RRD directly </w:t>
      </w:r>
      <w:r w:rsidRPr="00D95A52">
        <w:rPr>
          <w:rStyle w:val="StyleUnderline"/>
          <w:highlight w:val="green"/>
        </w:rPr>
        <w:t xml:space="preserve">engages Indigenous peoples </w:t>
      </w:r>
      <w:r w:rsidRPr="00D95A52">
        <w:rPr>
          <w:rStyle w:val="StyleUnderline"/>
        </w:rPr>
        <w:t>and</w:t>
      </w:r>
      <w:r w:rsidRPr="00694655">
        <w:rPr>
          <w:rStyle w:val="StyleUnderline"/>
        </w:rPr>
        <w:t xml:space="preserve"> their rights </w:t>
      </w:r>
      <w:r w:rsidRPr="00D95A52">
        <w:rPr>
          <w:rStyle w:val="StyleUnderline"/>
          <w:highlight w:val="green"/>
        </w:rPr>
        <w:t>as a liability: expressions of</w:t>
      </w:r>
      <w:r w:rsidRPr="00694655">
        <w:rPr>
          <w:rStyle w:val="StyleUnderline"/>
        </w:rPr>
        <w:t xml:space="preserve"> Indigenous </w:t>
      </w:r>
      <w:r w:rsidRPr="00D95A52">
        <w:rPr>
          <w:rStyle w:val="StyleUnderline"/>
          <w:highlight w:val="green"/>
        </w:rPr>
        <w:t>sovereignty</w:t>
      </w:r>
      <w:r w:rsidRPr="00694655">
        <w:rPr>
          <w:rStyle w:val="StyleUnderline"/>
        </w:rPr>
        <w:t xml:space="preserve">—and particularly Indigenous title, unsettled </w:t>
      </w:r>
      <w:r w:rsidRPr="00D95A52">
        <w:rPr>
          <w:rStyle w:val="StyleUnderline"/>
          <w:highlight w:val="green"/>
        </w:rPr>
        <w:t>land claims</w:t>
      </w:r>
      <w:r w:rsidRPr="00694655">
        <w:rPr>
          <w:rStyle w:val="StyleUnderline"/>
        </w:rPr>
        <w:t>, and the series of rights and responsibilities currently worked into environmental governance like duty to consult and accommodate in advance of a project—</w:t>
      </w:r>
      <w:r w:rsidRPr="00D95A52">
        <w:rPr>
          <w:rStyle w:val="StyleUnderline"/>
          <w:highlight w:val="green"/>
        </w:rPr>
        <w:t>are</w:t>
      </w:r>
      <w:r w:rsidRPr="00694655">
        <w:rPr>
          <w:rStyle w:val="StyleUnderline"/>
        </w:rPr>
        <w:t xml:space="preserve"> clearly </w:t>
      </w:r>
      <w:r w:rsidRPr="00D95A52">
        <w:rPr>
          <w:rStyle w:val="StyleUnderline"/>
          <w:highlight w:val="green"/>
        </w:rPr>
        <w:t>produced as ‘‘barriers’’</w:t>
      </w:r>
      <w:r w:rsidRPr="00694655">
        <w:rPr>
          <w:rStyle w:val="StyleUnderline"/>
        </w:rPr>
        <w:t xml:space="preserve"> to investment and development, ‘‘sources of uncertainty,’’ </w:t>
      </w:r>
      <w:r w:rsidRPr="00D95A52">
        <w:rPr>
          <w:rStyle w:val="StyleUnderline"/>
          <w:highlight w:val="green"/>
        </w:rPr>
        <w:t>and</w:t>
      </w:r>
      <w:r w:rsidRPr="00694655">
        <w:rPr>
          <w:rStyle w:val="StyleUnderline"/>
        </w:rPr>
        <w:t xml:space="preserve"> general </w:t>
      </w:r>
      <w:r w:rsidRPr="00D95A52">
        <w:rPr>
          <w:rStyle w:val="StyleUnderline"/>
          <w:highlight w:val="green"/>
        </w:rPr>
        <w:t>disincentives to capital</w:t>
      </w:r>
      <w:r w:rsidRPr="00694655">
        <w:rPr>
          <w:rStyle w:val="StyleUnderline"/>
        </w:rPr>
        <w:t xml:space="preserve"> and hence as threats to the overall resilience of the system</w:t>
      </w:r>
      <w:r w:rsidRPr="0026018A">
        <w:rPr>
          <w:rStyle w:val="Style13ptBold"/>
          <w:sz w:val="8"/>
          <w:szCs w:val="18"/>
        </w:rPr>
        <w:t xml:space="preserve"> (</w:t>
      </w:r>
      <w:proofErr w:type="spellStart"/>
      <w:r w:rsidRPr="0026018A">
        <w:rPr>
          <w:rStyle w:val="Style13ptBold"/>
          <w:sz w:val="8"/>
          <w:szCs w:val="18"/>
        </w:rPr>
        <w:t>NRCan</w:t>
      </w:r>
      <w:proofErr w:type="spellEnd"/>
      <w:r w:rsidRPr="0026018A">
        <w:rPr>
          <w:rStyle w:val="Style13ptBold"/>
          <w:sz w:val="8"/>
          <w:szCs w:val="18"/>
        </w:rPr>
        <w:t xml:space="preserve">, 2012b). The RRD Strategy has in the main taken shape around three sets of initiatives, </w:t>
      </w:r>
      <w:r w:rsidRPr="00D95A52">
        <w:rPr>
          <w:rStyle w:val="StyleUnderline"/>
          <w:highlight w:val="green"/>
        </w:rPr>
        <w:t>beginning with</w:t>
      </w:r>
      <w:r w:rsidRPr="00694655">
        <w:rPr>
          <w:rStyle w:val="StyleUnderline"/>
        </w:rPr>
        <w:t xml:space="preserve"> the wholesale </w:t>
      </w:r>
      <w:r w:rsidRPr="00D95A52">
        <w:rPr>
          <w:rStyle w:val="StyleUnderline"/>
          <w:highlight w:val="green"/>
        </w:rPr>
        <w:t>reconfiguration of</w:t>
      </w:r>
      <w:r w:rsidRPr="00694655">
        <w:rPr>
          <w:rStyle w:val="StyleUnderline"/>
        </w:rPr>
        <w:t xml:space="preserve"> the federal </w:t>
      </w:r>
      <w:r w:rsidRPr="00D95A52">
        <w:rPr>
          <w:rStyle w:val="StyleUnderline"/>
          <w:highlight w:val="green"/>
        </w:rPr>
        <w:t>environmental regulatory</w:t>
      </w:r>
      <w:r w:rsidRPr="00694655">
        <w:rPr>
          <w:rStyle w:val="StyleUnderline"/>
        </w:rPr>
        <w:t xml:space="preserve"> system and governance </w:t>
      </w:r>
      <w:r w:rsidRPr="00D95A52">
        <w:rPr>
          <w:rStyle w:val="StyleUnderline"/>
          <w:highlight w:val="green"/>
        </w:rPr>
        <w:t>regime</w:t>
      </w:r>
      <w:r w:rsidRPr="00694655">
        <w:rPr>
          <w:rStyle w:val="StyleUnderline"/>
        </w:rPr>
        <w:t>—especially the ways in which this system engages Indigenous rights</w:t>
      </w:r>
      <w:r w:rsidRPr="0026018A">
        <w:rPr>
          <w:rStyle w:val="Style13ptBold"/>
          <w:sz w:val="8"/>
          <w:szCs w:val="18"/>
        </w:rPr>
        <w:t xml:space="preserve">. Itself figured, as a barrier to investment, and judged by industry and government nothing more than a series of ‘‘duplicative cumbersome and uncertain processes’’ plagued by ‘‘delays and uncertainties’’ (Meyers, 2012; Oliver, 2012b) the entire environmental governance system has been dramatically reconfigured in accordance with the aims of the Strategy to ‘‘ensure that Canada has the right conditions to attract global capital in our provinces and territories,’’ and to ‘‘unleash the potential of our resource sector’’ (Oliver, 2012b). Sweeping amendments to this body of legislation (in which changes were made to more than 60 pieces of legislation, including the Indian Act—some of which like the Canadian Environmental Assessment Act were repealed and re-written) aimed to increase investment by eroding the legislative responsibility of governments to fulfill their duty to consult and accommodate Indigenous peoples in relation to most aspects of environmental resource governance, and removing the majority of environmental and rights-based triggers for consultation and accommodation (for detailed description see Kirchhoff et al., 2013). As was repeatedly pointed out by Indigenous leaders, organizations, and communities through the Idle No More Movement these changes drastically reduce avenues and vehicles for crown recognition of Aboriginal and Treaty rights and dramatically limit Indigenous peoples’ ability to protect those rights through consultation processes with the crown. According to legal analysts from the Assembly of First Nations, these legislative and regulatory amendments ‘‘do not contemplate the existence of First Nations Peoples in Canada...[are] silent in terms of specifying whether and how the Crown is to discharge its duty to consult and accommodate with First Nations...[and] represent an attempt by the government to explicitly legislate itself out of its own constitution’’ (Mayes, 2012: Nov 22). While Indigenous rights and struggles for self-determination in the context of resource development are emphatically not new—and nor are the threat they pose to resource extraction and the logics of property that underwrite extractive regimes (see in particular Blackburn, 2005; </w:t>
      </w:r>
      <w:proofErr w:type="spellStart"/>
      <w:r w:rsidRPr="0026018A">
        <w:rPr>
          <w:rStyle w:val="Style13ptBold"/>
          <w:sz w:val="8"/>
          <w:szCs w:val="18"/>
        </w:rPr>
        <w:t>Coulthard</w:t>
      </w:r>
      <w:proofErr w:type="spellEnd"/>
      <w:r w:rsidRPr="0026018A">
        <w:rPr>
          <w:rStyle w:val="Style13ptBold"/>
          <w:sz w:val="8"/>
          <w:szCs w:val="18"/>
        </w:rPr>
        <w:t xml:space="preserve">, 2014; Gordon, 2010), the terms through which they are understood and confronted by the state and exploration capital appear to be changing. Previous settler governments, including conservative and neoliberal ones, have in the last few decades adopted a recognition based approach to reconciling the problem of Indigenous rights and title with the needs of the settler-state and global capital (an approach that stressed consultation, accommodation, and cultural recognition in relation to resource development and encouraged surrender and extinguishment of Aboriginal title through ‘‘modification’’ and ‘‘transformation’’ of inherent rights and title into a defined, exclusive set of largely cultural rights (for extensive critique of this approach see </w:t>
      </w:r>
      <w:proofErr w:type="spellStart"/>
      <w:r w:rsidRPr="0026018A">
        <w:rPr>
          <w:rStyle w:val="Style13ptBold"/>
          <w:sz w:val="8"/>
          <w:szCs w:val="18"/>
        </w:rPr>
        <w:t>Coulthard</w:t>
      </w:r>
      <w:proofErr w:type="spellEnd"/>
      <w:r w:rsidRPr="0026018A">
        <w:rPr>
          <w:rStyle w:val="Style13ptBold"/>
          <w:sz w:val="8"/>
          <w:szCs w:val="18"/>
        </w:rPr>
        <w:t xml:space="preserve">, 2014)). The conservative government was acutely hostile to the recognition of Indigenous rights in any form, and particularly to the way in which recognition has been institutionalized in the governance of resource development as a duty to consult and accommodate Indigenous peoples. </w:t>
      </w:r>
      <w:r w:rsidRPr="000F0277">
        <w:rPr>
          <w:rStyle w:val="StyleUnderline"/>
        </w:rPr>
        <w:t>Preferring instead to engage the problem of Indigenous sovereignty, rights and struggles for self-determination exclusively through criminalization of Indigenous resistance and inclusion of Indigenous peoples and lands into commodity markets, the conservative’s first step toward reconfiguring resource governance to better suit the need of capital was to jettison this previously established colonial consensus</w:t>
      </w:r>
      <w:r w:rsidRPr="0026018A">
        <w:rPr>
          <w:rStyle w:val="Style13ptBold"/>
          <w:sz w:val="8"/>
          <w:szCs w:val="18"/>
        </w:rPr>
        <w:t xml:space="preserve">. While the current liberal government seems to favor a return to the previous model of cultural recognition and reconciliation they have done little to reverse the significant regulatory measures taken by their predecessors in relation to resource development. Indeed their recent (2016) budget suggests support for much of the RRD agenda. </w:t>
      </w:r>
      <w:r w:rsidRPr="00D95A52">
        <w:rPr>
          <w:rStyle w:val="StyleUnderline"/>
          <w:highlight w:val="green"/>
        </w:rPr>
        <w:t>These</w:t>
      </w:r>
      <w:r w:rsidRPr="000F0277">
        <w:rPr>
          <w:rStyle w:val="StyleUnderline"/>
        </w:rPr>
        <w:t xml:space="preserve"> primarily legislative and regulatory </w:t>
      </w:r>
      <w:r w:rsidRPr="00D95A52">
        <w:rPr>
          <w:rStyle w:val="StyleUnderline"/>
          <w:highlight w:val="green"/>
        </w:rPr>
        <w:t>reconfigurations disproportionately target</w:t>
      </w:r>
      <w:r w:rsidRPr="000F0277">
        <w:rPr>
          <w:rStyle w:val="StyleUnderline"/>
        </w:rPr>
        <w:t xml:space="preserve"> and </w:t>
      </w:r>
      <w:r w:rsidRPr="000F0277">
        <w:rPr>
          <w:rStyle w:val="StyleUnderline"/>
        </w:rPr>
        <w:lastRenderedPageBreak/>
        <w:t xml:space="preserve">vilify </w:t>
      </w:r>
      <w:r w:rsidRPr="00D95A52">
        <w:rPr>
          <w:rStyle w:val="StyleUnderline"/>
          <w:highlight w:val="green"/>
        </w:rPr>
        <w:t>Indigenous peoples</w:t>
      </w:r>
      <w:r w:rsidRPr="000F0277">
        <w:rPr>
          <w:rStyle w:val="StyleUnderline"/>
        </w:rPr>
        <w:t xml:space="preserve"> (especially those who insist on respect for their rights) </w:t>
      </w:r>
      <w:r w:rsidRPr="00D95A52">
        <w:rPr>
          <w:rStyle w:val="StyleUnderline"/>
          <w:highlight w:val="green"/>
        </w:rPr>
        <w:t>and</w:t>
      </w:r>
      <w:r w:rsidRPr="000F0277">
        <w:rPr>
          <w:rStyle w:val="StyleUnderline"/>
        </w:rPr>
        <w:t xml:space="preserve"> move to </w:t>
      </w:r>
      <w:r w:rsidRPr="00D95A52">
        <w:rPr>
          <w:rStyle w:val="StyleUnderline"/>
          <w:highlight w:val="green"/>
        </w:rPr>
        <w:t>deliberately expunge and eliminate</w:t>
      </w:r>
      <w:r w:rsidRPr="000F0277">
        <w:rPr>
          <w:rStyle w:val="StyleUnderline"/>
        </w:rPr>
        <w:t xml:space="preserve"> recognition of their rights from the environmental governance regime</w:t>
      </w:r>
      <w:r w:rsidRPr="0026018A">
        <w:rPr>
          <w:rStyle w:val="Style13ptBold"/>
          <w:sz w:val="8"/>
          <w:szCs w:val="18"/>
        </w:rPr>
        <w:t xml:space="preserve">; transformations which go hand-in-glove with the development and initiation of a second set of initiatives aimed at creating Indigenous ‘‘capacity’’ and increasing Indigenous communities’ ‘‘opportunity readiness’’ in relation to extractive projects (e.g. AANDC, 2013). These public–private initiatives developed by government in collaboration with industry associations and corporate donors like the Prospectors and Developers Association of Canada (PDAC) and Mining Association of Canada (MAC) </w:t>
      </w:r>
      <w:r w:rsidRPr="00664976">
        <w:rPr>
          <w:rStyle w:val="StyleUnderline"/>
        </w:rPr>
        <w:t xml:space="preserve">aim to secure access to Indigenous lands and resources </w:t>
      </w:r>
      <w:r w:rsidRPr="00D95A52">
        <w:rPr>
          <w:rStyle w:val="StyleUnderline"/>
          <w:highlight w:val="green"/>
        </w:rPr>
        <w:t>through creation of</w:t>
      </w:r>
      <w:r w:rsidRPr="0026018A">
        <w:rPr>
          <w:rStyle w:val="Style13ptBold"/>
          <w:sz w:val="8"/>
          <w:szCs w:val="18"/>
        </w:rPr>
        <w:t xml:space="preserve"> what Lawrence (2005) has elsewhere called ‘‘</w:t>
      </w:r>
      <w:r w:rsidRPr="00664976">
        <w:rPr>
          <w:rStyle w:val="StyleUnderline"/>
        </w:rPr>
        <w:t xml:space="preserve">job ready,’’ </w:t>
      </w:r>
      <w:proofErr w:type="spellStart"/>
      <w:r w:rsidRPr="00D95A52">
        <w:rPr>
          <w:rStyle w:val="StyleUnderline"/>
          <w:highlight w:val="green"/>
        </w:rPr>
        <w:t>responsibilized</w:t>
      </w:r>
      <w:proofErr w:type="spellEnd"/>
      <w:r w:rsidRPr="00D95A52">
        <w:rPr>
          <w:rStyle w:val="StyleUnderline"/>
          <w:highlight w:val="green"/>
        </w:rPr>
        <w:t>, neoliberal</w:t>
      </w:r>
      <w:r w:rsidRPr="00664976">
        <w:rPr>
          <w:rStyle w:val="StyleUnderline"/>
        </w:rPr>
        <w:t xml:space="preserve"> Indigenous </w:t>
      </w:r>
      <w:r w:rsidRPr="00D95A52">
        <w:rPr>
          <w:rStyle w:val="StyleUnderline"/>
          <w:highlight w:val="green"/>
        </w:rPr>
        <w:t>subjects</w:t>
      </w:r>
      <w:r w:rsidRPr="0026018A">
        <w:rPr>
          <w:rStyle w:val="Style13ptBold"/>
          <w:sz w:val="8"/>
          <w:szCs w:val="18"/>
        </w:rPr>
        <w:t xml:space="preserve">. Consisting primarily of training programs, designated funding streams for financing business developments related to resource projects, community resources for engaging with mining and exploration, and information campaigns (targeted to both industry and Indigenous communities), </w:t>
      </w:r>
      <w:r w:rsidRPr="008A6A9A">
        <w:rPr>
          <w:rStyle w:val="StyleUnderline"/>
          <w:highlight w:val="green"/>
        </w:rPr>
        <w:t>these</w:t>
      </w:r>
      <w:r w:rsidRPr="00664976">
        <w:rPr>
          <w:rStyle w:val="StyleUnderline"/>
        </w:rPr>
        <w:t xml:space="preserve"> initiatives </w:t>
      </w:r>
      <w:r w:rsidRPr="008A6A9A">
        <w:rPr>
          <w:rStyle w:val="StyleUnderline"/>
          <w:highlight w:val="green"/>
        </w:rPr>
        <w:t>channel state</w:t>
      </w:r>
      <w:r w:rsidRPr="00664976">
        <w:rPr>
          <w:rStyle w:val="StyleUnderline"/>
        </w:rPr>
        <w:t xml:space="preserve"> and corporate </w:t>
      </w:r>
      <w:r w:rsidRPr="008A6A9A">
        <w:rPr>
          <w:rStyle w:val="StyleUnderline"/>
          <w:highlight w:val="green"/>
        </w:rPr>
        <w:t>resources toward</w:t>
      </w:r>
      <w:r w:rsidRPr="00664976">
        <w:rPr>
          <w:rStyle w:val="StyleUnderline"/>
        </w:rPr>
        <w:t xml:space="preserve"> encouragement of productive and supportive engagements with </w:t>
      </w:r>
      <w:r w:rsidRPr="008A6A9A">
        <w:rPr>
          <w:rStyle w:val="StyleUnderline"/>
          <w:highlight w:val="green"/>
        </w:rPr>
        <w:t>extractive</w:t>
      </w:r>
      <w:r w:rsidRPr="00664976">
        <w:rPr>
          <w:rStyle w:val="StyleUnderline"/>
        </w:rPr>
        <w:t xml:space="preserve"> industry </w:t>
      </w:r>
      <w:r w:rsidRPr="008A6A9A">
        <w:rPr>
          <w:rStyle w:val="StyleUnderline"/>
          <w:highlight w:val="green"/>
        </w:rPr>
        <w:t>projects</w:t>
      </w:r>
      <w:r w:rsidRPr="00664976">
        <w:rPr>
          <w:rStyle w:val="StyleUnderline"/>
        </w:rPr>
        <w:t xml:space="preserve"> largely </w:t>
      </w:r>
      <w:r w:rsidRPr="008A6A9A">
        <w:rPr>
          <w:rStyle w:val="StyleUnderline"/>
          <w:highlight w:val="green"/>
        </w:rPr>
        <w:t>through commodification of Indigenous labor</w:t>
      </w:r>
      <w:r w:rsidRPr="0026018A">
        <w:rPr>
          <w:rStyle w:val="Style13ptBold"/>
          <w:sz w:val="8"/>
          <w:szCs w:val="18"/>
        </w:rPr>
        <w:t xml:space="preserve"> (e.g. AANDC, 2013; </w:t>
      </w:r>
      <w:proofErr w:type="spellStart"/>
      <w:r w:rsidRPr="0026018A">
        <w:rPr>
          <w:rStyle w:val="Style13ptBold"/>
          <w:sz w:val="8"/>
          <w:szCs w:val="18"/>
        </w:rPr>
        <w:t>NRCan</w:t>
      </w:r>
      <w:proofErr w:type="spellEnd"/>
      <w:r w:rsidRPr="0026018A">
        <w:rPr>
          <w:rStyle w:val="Style13ptBold"/>
          <w:sz w:val="8"/>
          <w:szCs w:val="18"/>
        </w:rPr>
        <w:t xml:space="preserve">, 2013b). Importantly, as Lawrence notes of a similar program developed by the Australian settler colonial state, this type of initiative works to constitute Indigenous peoples not as rights bearing, sovereign political and economic subjects with legitimate territorial claims, but as impoverished, unemployed, and in need of improvement (2005 see also Friedel and Taylor, 2011). The history of Indigenous Labor market development in Canada is as much about appropriation of Indigenous lands and resources as it is commodification of Indigenous labor (Friedel and Taylor, 2011: 31). Though framed as an economic development and poverty reduction strategy that operates in DAAND’s words by ‘‘increasing the participation of First Nation, Inuit and </w:t>
      </w:r>
      <w:proofErr w:type="spellStart"/>
      <w:r w:rsidRPr="0026018A">
        <w:rPr>
          <w:rStyle w:val="Style13ptBold"/>
          <w:sz w:val="8"/>
          <w:szCs w:val="18"/>
        </w:rPr>
        <w:t>Me´tis</w:t>
      </w:r>
      <w:proofErr w:type="spellEnd"/>
      <w:r w:rsidRPr="0026018A">
        <w:rPr>
          <w:rStyle w:val="Style13ptBold"/>
          <w:sz w:val="8"/>
          <w:szCs w:val="18"/>
        </w:rPr>
        <w:t xml:space="preserve"> individuals and communities in the Canadian economy,’’ and ‘‘enable[ling] Aboriginal people to pursue the same opportunities for employment, income and wealth creation as other Canadians’’ (</w:t>
      </w:r>
      <w:proofErr w:type="spellStart"/>
      <w:r w:rsidRPr="0026018A">
        <w:rPr>
          <w:rStyle w:val="Style13ptBold"/>
          <w:sz w:val="8"/>
          <w:szCs w:val="18"/>
        </w:rPr>
        <w:t>NRCan</w:t>
      </w:r>
      <w:proofErr w:type="spellEnd"/>
      <w:r w:rsidRPr="0026018A">
        <w:rPr>
          <w:rStyle w:val="Style13ptBold"/>
          <w:sz w:val="8"/>
          <w:szCs w:val="18"/>
        </w:rPr>
        <w:t xml:space="preserve">, 2013a: 39), the primary goal of these programs is to increase access to Indigenous lands and resources by substituting recognition of Indigenous rights (including title) with inclusion in the mining economy and participation in labor markets. As </w:t>
      </w:r>
      <w:proofErr w:type="spellStart"/>
      <w:r w:rsidRPr="0026018A">
        <w:rPr>
          <w:rStyle w:val="Style13ptBold"/>
          <w:sz w:val="8"/>
          <w:szCs w:val="18"/>
        </w:rPr>
        <w:t>Coulthard</w:t>
      </w:r>
      <w:proofErr w:type="spellEnd"/>
      <w:r w:rsidRPr="0026018A">
        <w:rPr>
          <w:rStyle w:val="Style13ptBold"/>
          <w:sz w:val="8"/>
          <w:szCs w:val="18"/>
        </w:rPr>
        <w:t xml:space="preserve"> and others have noted, this has been a deliberate strategy of the Conservative government: to emphasize ‘‘economic development’’ of Indigenous peoples (including labor market development and income generation) over territorial and self-government rights in order to resolve ‘‘uncertainty’’ with respect to title and jurisdiction (</w:t>
      </w:r>
      <w:proofErr w:type="spellStart"/>
      <w:r w:rsidRPr="0026018A">
        <w:rPr>
          <w:rStyle w:val="Style13ptBold"/>
          <w:sz w:val="8"/>
          <w:szCs w:val="18"/>
        </w:rPr>
        <w:t>Coulthard</w:t>
      </w:r>
      <w:proofErr w:type="spellEnd"/>
      <w:r w:rsidRPr="0026018A">
        <w:rPr>
          <w:rStyle w:val="Style13ptBold"/>
          <w:sz w:val="8"/>
          <w:szCs w:val="18"/>
        </w:rPr>
        <w:t xml:space="preserve">, 2014; see also McCreary, 2014). ‘‘Opportunity readiness’’ promotes market based solutions to the political problems of Indigenous sovereignty and dispossession by attempting instead to facilitate the entry of Indigenous peoples, and more importantly, their lands, into productive relationship with the resource economy. The final set of RRD initiatives involves a set of policy shifts designed to strengthen the resilience of the mining sector through support and administration of tax based initiatives for incentivizing investment in mineral exploration and development. These are shifts designed (according to the minister of the environment) to improve exploration companies’ access to venture capital, and maintain Canada’s position as the world’s leading destination for exploration and mining capital (Oliver, 2013: 17)—a position from which it has since fallen to second place behind Australia. Described in vague terms throughout </w:t>
      </w:r>
      <w:proofErr w:type="spellStart"/>
      <w:r w:rsidRPr="0026018A">
        <w:rPr>
          <w:rStyle w:val="Style13ptBold"/>
          <w:sz w:val="8"/>
          <w:szCs w:val="18"/>
        </w:rPr>
        <w:t>NRCan’s</w:t>
      </w:r>
      <w:proofErr w:type="spellEnd"/>
      <w:r w:rsidRPr="0026018A">
        <w:rPr>
          <w:rStyle w:val="Style13ptBold"/>
          <w:sz w:val="8"/>
          <w:szCs w:val="18"/>
        </w:rPr>
        <w:t xml:space="preserve"> operational and strategic planning documents for 2012 through 2015 as commitments to develop ‘‘tax policy’’ and provide ‘‘tax rulings and advice’’ to the Canada Revenue Agency (CRA) on the ‘‘eligibility for various mineral related tax incentives’’ (</w:t>
      </w:r>
      <w:proofErr w:type="spellStart"/>
      <w:r w:rsidRPr="0026018A">
        <w:rPr>
          <w:rStyle w:val="Style13ptBold"/>
          <w:sz w:val="8"/>
          <w:szCs w:val="18"/>
        </w:rPr>
        <w:t>NRCan</w:t>
      </w:r>
      <w:proofErr w:type="spellEnd"/>
      <w:r w:rsidRPr="0026018A">
        <w:rPr>
          <w:rStyle w:val="Style13ptBold"/>
          <w:sz w:val="8"/>
          <w:szCs w:val="18"/>
        </w:rPr>
        <w:t>, 2012b: 9), these shifts aim to create an improved investment environment through removal of ‘‘barriers to investment,’’ reduction of ‘‘regulatory delays and uncertainties’’ and by generally ‘‘decreasing the risk of development’’ (</w:t>
      </w:r>
      <w:proofErr w:type="spellStart"/>
      <w:r w:rsidRPr="0026018A">
        <w:rPr>
          <w:rStyle w:val="Style13ptBold"/>
          <w:sz w:val="8"/>
          <w:szCs w:val="18"/>
        </w:rPr>
        <w:t>NRCan</w:t>
      </w:r>
      <w:proofErr w:type="spellEnd"/>
      <w:r w:rsidRPr="0026018A">
        <w:rPr>
          <w:rStyle w:val="Style13ptBold"/>
          <w:sz w:val="8"/>
          <w:szCs w:val="18"/>
        </w:rPr>
        <w:t xml:space="preserve">, 2012b: 23–24). These shifts refer primarily to a set of changes to FTS financing arrangements which permit mining companies to ‘‘flow’’ tax credits for exploration costs they plan to incur through investors in exchange for immediate cash. Evidence suggests that beginning in 2013, for the 2012 tax year, the CRA has permitted firms to structure these arrangements on the basis of costs associated with addressing Indigenous rights in the mineral exploration and development process. </w:t>
      </w:r>
      <w:r w:rsidRPr="008A6A9A">
        <w:rPr>
          <w:rStyle w:val="StyleUnderline"/>
          <w:highlight w:val="green"/>
        </w:rPr>
        <w:t>Resilience provides</w:t>
      </w:r>
      <w:r w:rsidRPr="00E13FA9">
        <w:rPr>
          <w:rStyle w:val="StyleUnderline"/>
        </w:rPr>
        <w:t xml:space="preserve"> RRD and the EAP with the generative policy script and </w:t>
      </w:r>
      <w:r w:rsidRPr="008A6A9A">
        <w:rPr>
          <w:rStyle w:val="StyleUnderline"/>
          <w:highlight w:val="green"/>
        </w:rPr>
        <w:t>organizational logic</w:t>
      </w:r>
      <w:r w:rsidRPr="00E13FA9">
        <w:rPr>
          <w:rStyle w:val="StyleUnderline"/>
        </w:rPr>
        <w:t xml:space="preserve"> within </w:t>
      </w:r>
      <w:r w:rsidRPr="008A6A9A">
        <w:rPr>
          <w:rStyle w:val="StyleUnderline"/>
          <w:highlight w:val="green"/>
        </w:rPr>
        <w:t>which</w:t>
      </w:r>
      <w:r w:rsidRPr="00E13FA9">
        <w:rPr>
          <w:rStyle w:val="StyleUnderline"/>
        </w:rPr>
        <w:t xml:space="preserve"> to </w:t>
      </w:r>
      <w:r w:rsidRPr="008A6A9A">
        <w:rPr>
          <w:rStyle w:val="StyleUnderline"/>
          <w:highlight w:val="green"/>
        </w:rPr>
        <w:t>bring</w:t>
      </w:r>
      <w:r w:rsidRPr="00E13FA9">
        <w:rPr>
          <w:rStyle w:val="StyleUnderline"/>
        </w:rPr>
        <w:t xml:space="preserve"> together </w:t>
      </w:r>
      <w:r w:rsidRPr="008A6A9A">
        <w:rPr>
          <w:rStyle w:val="StyleUnderline"/>
        </w:rPr>
        <w:t>an attack on Indigeneity</w:t>
      </w:r>
      <w:r w:rsidRPr="00E13FA9">
        <w:rPr>
          <w:rStyle w:val="StyleUnderline"/>
        </w:rPr>
        <w:t xml:space="preserve">, </w:t>
      </w:r>
      <w:r w:rsidRPr="008A6A9A">
        <w:rPr>
          <w:rStyle w:val="StyleUnderline"/>
          <w:highlight w:val="green"/>
        </w:rPr>
        <w:t>neoliberal reorganization</w:t>
      </w:r>
      <w:r w:rsidRPr="00E13FA9">
        <w:rPr>
          <w:rStyle w:val="StyleUnderline"/>
        </w:rPr>
        <w:t xml:space="preserve"> of resource extraction and the national interest; one </w:t>
      </w:r>
      <w:r w:rsidRPr="008A6A9A">
        <w:rPr>
          <w:rStyle w:val="StyleUnderline"/>
          <w:highlight w:val="green"/>
        </w:rPr>
        <w:t>that promotes</w:t>
      </w:r>
      <w:r w:rsidRPr="00E13FA9">
        <w:rPr>
          <w:rStyle w:val="StyleUnderline"/>
        </w:rPr>
        <w:t xml:space="preserve"> the </w:t>
      </w:r>
      <w:r w:rsidRPr="008A6A9A">
        <w:rPr>
          <w:rStyle w:val="StyleUnderline"/>
          <w:highlight w:val="green"/>
        </w:rPr>
        <w:t>management</w:t>
      </w:r>
      <w:r w:rsidRPr="00E13FA9">
        <w:rPr>
          <w:rStyle w:val="StyleUnderline"/>
        </w:rPr>
        <w:t xml:space="preserve"> rather than prevention of exposure to threat, and that strategically orients exposure in the interest of mining capital and settler-state.</w:t>
      </w:r>
      <w:r w:rsidRPr="0026018A">
        <w:rPr>
          <w:rStyle w:val="Style13ptBold"/>
          <w:sz w:val="8"/>
          <w:szCs w:val="18"/>
        </w:rPr>
        <w:t xml:space="preserve"> As a strategy for threat managing competing sovereignty claims and containing the threat of Indigenous sovereignty, RRD on the one hand aims to encourage the development of capital-friendly </w:t>
      </w:r>
      <w:proofErr w:type="spellStart"/>
      <w:r w:rsidRPr="0026018A">
        <w:rPr>
          <w:rStyle w:val="Style13ptBold"/>
          <w:sz w:val="8"/>
          <w:szCs w:val="18"/>
        </w:rPr>
        <w:t>Indigeneities</w:t>
      </w:r>
      <w:proofErr w:type="spellEnd"/>
      <w:r w:rsidRPr="0026018A">
        <w:rPr>
          <w:rStyle w:val="Style13ptBold"/>
          <w:sz w:val="8"/>
          <w:szCs w:val="18"/>
        </w:rPr>
        <w:t xml:space="preserve"> who willingly develop themselves through participation in the resource economy (a willing Indigenous subject that willingly lends its lands, labor, and livelihood to ‘‘development’’), while on the other hand, rejecting, criminalizing, and abandoning </w:t>
      </w:r>
      <w:proofErr w:type="spellStart"/>
      <w:r w:rsidRPr="0026018A">
        <w:rPr>
          <w:rStyle w:val="Style13ptBold"/>
          <w:sz w:val="8"/>
          <w:szCs w:val="18"/>
        </w:rPr>
        <w:t>Indigeneities</w:t>
      </w:r>
      <w:proofErr w:type="spellEnd"/>
      <w:r w:rsidRPr="0026018A">
        <w:rPr>
          <w:rStyle w:val="Style13ptBold"/>
          <w:sz w:val="8"/>
          <w:szCs w:val="18"/>
        </w:rPr>
        <w:t xml:space="preserve"> that represent a threat to productive activities (by literally writing the mechanisms that recognize their rights and enable their participation out of the governance regime). The Strategy also (as I will explore below in relation to flow-through financing) organizes capital’s exposure to the threat of Indigenous sovereignty such that it can continue to circulate through the system. Resilience thus provides the RRD Strategy a logic for managing threats to the national economy that is entirely consistent with the eliminatory logic of settler-colonialism and protection of crown sovereignty—and ideologically continuous with the </w:t>
      </w:r>
      <w:proofErr w:type="spellStart"/>
      <w:r w:rsidRPr="0026018A">
        <w:rPr>
          <w:rStyle w:val="Style13ptBold"/>
          <w:sz w:val="8"/>
          <w:szCs w:val="18"/>
        </w:rPr>
        <w:t>neoliberalization</w:t>
      </w:r>
      <w:proofErr w:type="spellEnd"/>
      <w:r w:rsidRPr="0026018A">
        <w:rPr>
          <w:rStyle w:val="Style13ptBold"/>
          <w:sz w:val="8"/>
          <w:szCs w:val="18"/>
        </w:rPr>
        <w:t xml:space="preserve"> of Canadian environmental governance. </w:t>
      </w:r>
      <w:r w:rsidRPr="00E13FA9">
        <w:rPr>
          <w:rStyle w:val="StyleUnderline"/>
        </w:rPr>
        <w:t>It provides an intuitive framework for radically ‘‘freeing’’ aspects of the mining economy and eliminating Indigenous life-worlds in a context where capital and the state must collude (and the state remain empowered) in order to ensure access to what are morally if not legally Indigenous lands and resources.</w:t>
      </w:r>
    </w:p>
    <w:p w14:paraId="2A9EF3B4" w14:textId="77777777" w:rsidR="009B22FC" w:rsidRPr="00C11CBF" w:rsidRDefault="009B22FC" w:rsidP="009B22FC">
      <w:pPr>
        <w:rPr>
          <w:rStyle w:val="StyleUnderline"/>
        </w:rPr>
      </w:pPr>
    </w:p>
    <w:p w14:paraId="15CB6532" w14:textId="77777777" w:rsidR="009929BB" w:rsidRPr="008A2B6C" w:rsidRDefault="009929BB" w:rsidP="00AC550F"/>
    <w:p w14:paraId="36F5EC9B" w14:textId="77777777" w:rsidR="009929BB" w:rsidRPr="00DE6251" w:rsidRDefault="009929BB" w:rsidP="009929BB">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1382CE0D" w14:textId="77777777" w:rsidR="009929BB" w:rsidRDefault="009929BB" w:rsidP="009929BB">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Toward What Justice?: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35DC73C6" w14:textId="212CC581" w:rsidR="009929BB" w:rsidRPr="00C730BF" w:rsidRDefault="009929BB" w:rsidP="009929BB">
      <w:pPr>
        <w:rPr>
          <w:bCs/>
          <w:sz w:val="8"/>
          <w:szCs w:val="18"/>
        </w:rPr>
      </w:pPr>
      <w:r w:rsidRPr="00DE6251">
        <w:rPr>
          <w:rStyle w:val="Style13ptBold"/>
          <w:sz w:val="8"/>
          <w:szCs w:val="18"/>
        </w:rPr>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w:t>
      </w:r>
      <w:r w:rsidRPr="00637DF6">
        <w:rPr>
          <w:rStyle w:val="StyleUnderline"/>
        </w:rPr>
        <w:lastRenderedPageBreak/>
        <w:t>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all of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The ultimate goal</w:t>
      </w:r>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w:t>
      </w:r>
      <w:r w:rsidRPr="00DE6251">
        <w:rPr>
          <w:rStyle w:val="Style13ptBold"/>
          <w:sz w:val="8"/>
          <w:szCs w:val="18"/>
        </w:rPr>
        <w:lastRenderedPageBreak/>
        <w:t xml:space="preserve">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sz w:val="8"/>
          <w:szCs w:val="18"/>
        </w:rPr>
        <w:t xml:space="preserve"> Decolonial love is land.</w:t>
      </w:r>
    </w:p>
    <w:p w14:paraId="655236AA" w14:textId="77777777" w:rsidR="009929BB" w:rsidRPr="005F579F" w:rsidRDefault="009929BB" w:rsidP="009929BB">
      <w:pPr>
        <w:pStyle w:val="Heading4"/>
      </w:pPr>
      <w:r>
        <w:t xml:space="preserve">The role of the ballot should be to center indigenous scholarship – any project of research should begin and end with placing the indigenous demands and resistance at </w:t>
      </w:r>
      <w:proofErr w:type="spellStart"/>
      <w:r>
        <w:t>it’s</w:t>
      </w:r>
      <w:proofErr w:type="spellEnd"/>
      <w:r>
        <w:t xml:space="preserve"> forefront. Our role as settlers specifically obligates us to center our politics in the context of ensuring accountability</w:t>
      </w:r>
    </w:p>
    <w:p w14:paraId="1E07F964" w14:textId="77777777" w:rsidR="009929BB" w:rsidRDefault="009929BB" w:rsidP="009929BB">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32F73ECE" w14:textId="77777777" w:rsidR="009929BB" w:rsidRPr="009A47D9" w:rsidRDefault="009929BB" w:rsidP="009929BB">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accountability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ourselves,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523137A2" w14:textId="77777777" w:rsidR="009929BB" w:rsidRPr="00425713" w:rsidRDefault="009929BB" w:rsidP="009929BB"/>
    <w:p w14:paraId="1C35A2A2" w14:textId="15D0BE17" w:rsidR="00A22E36" w:rsidRDefault="00A22E36" w:rsidP="00192C1D">
      <w:pPr>
        <w:pStyle w:val="Heading1"/>
      </w:pPr>
      <w:r>
        <w:lastRenderedPageBreak/>
        <w:t>Case</w:t>
      </w:r>
    </w:p>
    <w:p w14:paraId="1403AD8A" w14:textId="6A484F77" w:rsidR="00A22E36" w:rsidRDefault="00EE7F87" w:rsidP="00EE7F87">
      <w:pPr>
        <w:pStyle w:val="Heading2"/>
      </w:pPr>
      <w:r>
        <w:lastRenderedPageBreak/>
        <w:t>Top level</w:t>
      </w:r>
    </w:p>
    <w:p w14:paraId="4C251D3B" w14:textId="27E40576" w:rsidR="00EE7F87" w:rsidRDefault="00FD31ED" w:rsidP="00FD31ED">
      <w:pPr>
        <w:pStyle w:val="Heading3"/>
      </w:pPr>
      <w:r>
        <w:lastRenderedPageBreak/>
        <w:t>Db8 bad</w:t>
      </w:r>
    </w:p>
    <w:p w14:paraId="003AF988" w14:textId="3C2F2CC6" w:rsidR="00EE7F87" w:rsidRDefault="00EE7F87" w:rsidP="00EE7F87">
      <w:pPr>
        <w:pStyle w:val="Heading4"/>
      </w:pPr>
      <w:r>
        <w:t xml:space="preserve">[1] </w:t>
      </w:r>
      <w:r w:rsidR="00192C1D">
        <w:t>Policy</w:t>
      </w:r>
      <w:r>
        <w:t xml:space="preserve"> </w:t>
      </w:r>
      <w:r w:rsidR="00192C1D">
        <w:t>debate</w:t>
      </w:r>
      <w:r>
        <w:t xml:space="preserve"> bad </w:t>
      </w:r>
      <w:r w:rsidR="00192C1D">
        <w:t xml:space="preserve">--- </w:t>
      </w:r>
    </w:p>
    <w:p w14:paraId="23FB4FD7" w14:textId="77777777" w:rsidR="00EE7F87" w:rsidRDefault="00EE7F87" w:rsidP="00EE7F87"/>
    <w:p w14:paraId="61A3F8A9" w14:textId="0260566C" w:rsidR="00EE7F87" w:rsidRDefault="00EE7F87" w:rsidP="00EE7F87">
      <w:pPr>
        <w:pStyle w:val="Heading4"/>
      </w:pPr>
      <w:r>
        <w:t>[2] scenario analysis bad</w:t>
      </w:r>
      <w:r w:rsidR="00192C1D">
        <w:t xml:space="preserve"> --- </w:t>
      </w:r>
    </w:p>
    <w:p w14:paraId="5C11D1F6" w14:textId="77777777" w:rsidR="00EE7F87" w:rsidRDefault="00EE7F87" w:rsidP="00EE7F87"/>
    <w:p w14:paraId="3FBD5E3A" w14:textId="30B78A6E" w:rsidR="00EE7F87" w:rsidRDefault="00BC18CC" w:rsidP="00BC18CC">
      <w:pPr>
        <w:pStyle w:val="Heading4"/>
      </w:pPr>
      <w:r>
        <w:t>[3] Fiat is illusory</w:t>
      </w:r>
      <w:r w:rsidR="00192C1D">
        <w:t xml:space="preserve"> --- </w:t>
      </w:r>
    </w:p>
    <w:p w14:paraId="2F82E063" w14:textId="62DE341D" w:rsidR="00BC18CC" w:rsidRDefault="00BC18CC" w:rsidP="00BC18CC"/>
    <w:p w14:paraId="3511466D" w14:textId="5E77C803" w:rsidR="00726611" w:rsidRDefault="00726611" w:rsidP="00726611">
      <w:pPr>
        <w:pStyle w:val="Heading4"/>
      </w:pPr>
      <w:r>
        <w:t xml:space="preserve">[4] </w:t>
      </w:r>
      <w:r w:rsidR="00C730BF">
        <w:t xml:space="preserve">Cruel optimism --- </w:t>
      </w:r>
    </w:p>
    <w:p w14:paraId="19B2CD69" w14:textId="04D6D388" w:rsidR="00BC18CC" w:rsidRDefault="00BC18CC" w:rsidP="00BC18CC"/>
    <w:p w14:paraId="2FDA7E97" w14:textId="3756075D" w:rsidR="00FD31ED" w:rsidRDefault="00FD31ED" w:rsidP="00FD31ED">
      <w:pPr>
        <w:pStyle w:val="Heading3"/>
      </w:pPr>
      <w:r>
        <w:lastRenderedPageBreak/>
        <w:t>FW</w:t>
      </w:r>
    </w:p>
    <w:p w14:paraId="52D9E8A1" w14:textId="330192DF" w:rsidR="00FD31ED" w:rsidRPr="00FD31ED" w:rsidRDefault="00FD31ED" w:rsidP="0010305F">
      <w:pPr>
        <w:pStyle w:val="Heading4"/>
      </w:pPr>
      <w:r>
        <w:t xml:space="preserve">Util bad --- genocide </w:t>
      </w:r>
    </w:p>
    <w:p w14:paraId="6E51414B" w14:textId="77777777" w:rsidR="00A22E36" w:rsidRDefault="00A22E36" w:rsidP="00A22E36"/>
    <w:p w14:paraId="2511078B" w14:textId="77777777" w:rsidR="00A22E36" w:rsidRDefault="00A22E36" w:rsidP="00A22E36"/>
    <w:p w14:paraId="5AB9552A" w14:textId="77777777" w:rsidR="00A22E36" w:rsidRDefault="00A22E36" w:rsidP="00A22E36"/>
    <w:p w14:paraId="44B348A4" w14:textId="77777777" w:rsidR="00A22E36" w:rsidRDefault="00A22E36" w:rsidP="00A22E36"/>
    <w:p w14:paraId="089E74C4" w14:textId="77777777" w:rsidR="00A22E36" w:rsidRPr="00A22E36" w:rsidRDefault="00A22E36" w:rsidP="00A22E36"/>
    <w:sectPr w:rsidR="00A22E36" w:rsidRPr="00A22E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D4079D"/>
    <w:multiLevelType w:val="hybridMultilevel"/>
    <w:tmpl w:val="E1FE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E57BC"/>
    <w:multiLevelType w:val="hybridMultilevel"/>
    <w:tmpl w:val="7F9032F2"/>
    <w:lvl w:ilvl="0" w:tplc="EE26A8E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331C06"/>
    <w:multiLevelType w:val="hybridMultilevel"/>
    <w:tmpl w:val="4370A58C"/>
    <w:lvl w:ilvl="0" w:tplc="6374E1F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BA17F2"/>
    <w:multiLevelType w:val="hybridMultilevel"/>
    <w:tmpl w:val="65A62B16"/>
    <w:lvl w:ilvl="0" w:tplc="364ECA5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20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451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4E7"/>
    <w:rsid w:val="000C2521"/>
    <w:rsid w:val="000D26A6"/>
    <w:rsid w:val="000D2B90"/>
    <w:rsid w:val="000D6ED8"/>
    <w:rsid w:val="000D717B"/>
    <w:rsid w:val="00100B28"/>
    <w:rsid w:val="0010305F"/>
    <w:rsid w:val="00117316"/>
    <w:rsid w:val="001209B4"/>
    <w:rsid w:val="00157E85"/>
    <w:rsid w:val="001761FC"/>
    <w:rsid w:val="00182655"/>
    <w:rsid w:val="00182CA7"/>
    <w:rsid w:val="001840F2"/>
    <w:rsid w:val="0018410E"/>
    <w:rsid w:val="00185134"/>
    <w:rsid w:val="001856C6"/>
    <w:rsid w:val="00191B5F"/>
    <w:rsid w:val="00192487"/>
    <w:rsid w:val="00192C1D"/>
    <w:rsid w:val="00193416"/>
    <w:rsid w:val="00195073"/>
    <w:rsid w:val="0019668D"/>
    <w:rsid w:val="001A25FD"/>
    <w:rsid w:val="001A5371"/>
    <w:rsid w:val="001A72C7"/>
    <w:rsid w:val="001B019F"/>
    <w:rsid w:val="001B73E3"/>
    <w:rsid w:val="001C316D"/>
    <w:rsid w:val="001D1A0D"/>
    <w:rsid w:val="001D2733"/>
    <w:rsid w:val="001D36BF"/>
    <w:rsid w:val="001D4C28"/>
    <w:rsid w:val="001E0B1F"/>
    <w:rsid w:val="001E0C0F"/>
    <w:rsid w:val="001E1E0B"/>
    <w:rsid w:val="001F1173"/>
    <w:rsid w:val="002005A8"/>
    <w:rsid w:val="002020F4"/>
    <w:rsid w:val="00203DD8"/>
    <w:rsid w:val="00204E1D"/>
    <w:rsid w:val="002059BD"/>
    <w:rsid w:val="00207FD8"/>
    <w:rsid w:val="00210FAF"/>
    <w:rsid w:val="00213B1E"/>
    <w:rsid w:val="00215284"/>
    <w:rsid w:val="002168F2"/>
    <w:rsid w:val="0022589F"/>
    <w:rsid w:val="002343FE"/>
    <w:rsid w:val="00235337"/>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D9F"/>
    <w:rsid w:val="00577C12"/>
    <w:rsid w:val="00580BFC"/>
    <w:rsid w:val="00581048"/>
    <w:rsid w:val="00581203"/>
    <w:rsid w:val="0058349C"/>
    <w:rsid w:val="00585FBE"/>
    <w:rsid w:val="005870E8"/>
    <w:rsid w:val="0058789C"/>
    <w:rsid w:val="005A4D4E"/>
    <w:rsid w:val="005A7237"/>
    <w:rsid w:val="005A77B4"/>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E4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611"/>
    <w:rsid w:val="007374A1"/>
    <w:rsid w:val="0074327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27A"/>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9BB"/>
    <w:rsid w:val="00992BE3"/>
    <w:rsid w:val="0099308F"/>
    <w:rsid w:val="009A1467"/>
    <w:rsid w:val="009A6464"/>
    <w:rsid w:val="009B22FC"/>
    <w:rsid w:val="009B69F5"/>
    <w:rsid w:val="009C5FF7"/>
    <w:rsid w:val="009C6292"/>
    <w:rsid w:val="009D15DB"/>
    <w:rsid w:val="009D3133"/>
    <w:rsid w:val="009E160D"/>
    <w:rsid w:val="009F1CBB"/>
    <w:rsid w:val="009F3305"/>
    <w:rsid w:val="009F6FB2"/>
    <w:rsid w:val="00A071C0"/>
    <w:rsid w:val="00A22670"/>
    <w:rsid w:val="00A22E36"/>
    <w:rsid w:val="00A24B35"/>
    <w:rsid w:val="00A271BA"/>
    <w:rsid w:val="00A27F86"/>
    <w:rsid w:val="00A32687"/>
    <w:rsid w:val="00A431C6"/>
    <w:rsid w:val="00A54315"/>
    <w:rsid w:val="00A60FBC"/>
    <w:rsid w:val="00A65C0B"/>
    <w:rsid w:val="00A776BA"/>
    <w:rsid w:val="00A81FD2"/>
    <w:rsid w:val="00A8441A"/>
    <w:rsid w:val="00A8674A"/>
    <w:rsid w:val="00A96E24"/>
    <w:rsid w:val="00AA6F6E"/>
    <w:rsid w:val="00AB122B"/>
    <w:rsid w:val="00AB21B0"/>
    <w:rsid w:val="00AB48D3"/>
    <w:rsid w:val="00AB7FD0"/>
    <w:rsid w:val="00AC550F"/>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8C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0BF"/>
    <w:rsid w:val="00C81619"/>
    <w:rsid w:val="00CA013C"/>
    <w:rsid w:val="00CA6D6D"/>
    <w:rsid w:val="00CC7A4E"/>
    <w:rsid w:val="00CD1359"/>
    <w:rsid w:val="00CD4C83"/>
    <w:rsid w:val="00D01EDC"/>
    <w:rsid w:val="00D078AA"/>
    <w:rsid w:val="00D10058"/>
    <w:rsid w:val="00D11978"/>
    <w:rsid w:val="00D15E30"/>
    <w:rsid w:val="00D16129"/>
    <w:rsid w:val="00D217B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1E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F8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31E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7D26A"/>
  <w14:defaultImageDpi w14:val="300"/>
  <w15:docId w15:val="{7DFAFB49-F073-524B-A861-C07C990C7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20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20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20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20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2020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20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0F4"/>
  </w:style>
  <w:style w:type="character" w:customStyle="1" w:styleId="Heading1Char">
    <w:name w:val="Heading 1 Char"/>
    <w:aliases w:val="Pocket Char"/>
    <w:basedOn w:val="DefaultParagraphFont"/>
    <w:link w:val="Heading1"/>
    <w:uiPriority w:val="9"/>
    <w:rsid w:val="002020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20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20F4"/>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2020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20F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020F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2020F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020F4"/>
    <w:rPr>
      <w:color w:val="auto"/>
      <w:u w:val="none"/>
    </w:rPr>
  </w:style>
  <w:style w:type="character" w:styleId="Hyperlink">
    <w:name w:val="Hyperlink"/>
    <w:basedOn w:val="DefaultParagraphFont"/>
    <w:uiPriority w:val="99"/>
    <w:unhideWhenUsed/>
    <w:rsid w:val="002020F4"/>
    <w:rPr>
      <w:color w:val="auto"/>
      <w:u w:val="none"/>
    </w:rPr>
  </w:style>
  <w:style w:type="paragraph" w:styleId="DocumentMap">
    <w:name w:val="Document Map"/>
    <w:basedOn w:val="Normal"/>
    <w:link w:val="DocumentMapChar"/>
    <w:uiPriority w:val="99"/>
    <w:semiHidden/>
    <w:unhideWhenUsed/>
    <w:rsid w:val="002020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0F4"/>
    <w:rPr>
      <w:rFonts w:ascii="Lucida Grande" w:hAnsi="Lucida Grande" w:cs="Lucida Grande"/>
    </w:rPr>
  </w:style>
  <w:style w:type="paragraph" w:customStyle="1" w:styleId="textbold">
    <w:name w:val="text bold"/>
    <w:basedOn w:val="Normal"/>
    <w:link w:val="Emphasis"/>
    <w:uiPriority w:val="20"/>
    <w:qFormat/>
    <w:rsid w:val="001D2733"/>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pdf/10.1177/0308518X16660352" TargetMode="External"/><Relationship Id="rId5" Type="http://schemas.openxmlformats.org/officeDocument/2006/relationships/numbering" Target="numbering.xml"/><Relationship Id="rId10" Type="http://schemas.openxmlformats.org/officeDocument/2006/relationships/hyperlink" Target="https://www.law.upenn.edu/live/files/7892-havercroft-and-duvallcritical-astropolitics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14</Pages>
  <Words>11631</Words>
  <Characters>66299</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31</cp:revision>
  <dcterms:created xsi:type="dcterms:W3CDTF">2022-01-15T21:14:00Z</dcterms:created>
  <dcterms:modified xsi:type="dcterms:W3CDTF">2022-01-15T23:59:00Z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