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AC986" w14:textId="49288DC5" w:rsidR="00A1659A" w:rsidRDefault="00A1659A" w:rsidP="00F55348">
      <w:pPr>
        <w:pStyle w:val="Heading4"/>
      </w:pPr>
    </w:p>
    <w:p w14:paraId="478EEB51" w14:textId="5699C03B" w:rsidR="002F0BE7" w:rsidRDefault="002F0BE7" w:rsidP="002F0BE7">
      <w:pPr>
        <w:pStyle w:val="Heading2"/>
      </w:pPr>
      <w:r>
        <w:t>1</w:t>
      </w:r>
    </w:p>
    <w:p w14:paraId="3583A8DA" w14:textId="4BB3B0B5" w:rsidR="00F55348" w:rsidRDefault="00F55348" w:rsidP="00F55348">
      <w:pPr>
        <w:pStyle w:val="Heading4"/>
      </w:pPr>
      <w:r>
        <w:t>Indigeneity connotates a state of non-ontology allowing for the construction of the human that legitimizes its self into a history of elimination, jettisoned from or assimilated into the national body to cohere settler temporality</w:t>
      </w:r>
    </w:p>
    <w:p w14:paraId="16F185D8" w14:textId="77777777" w:rsidR="00F55348" w:rsidRPr="00B82D2B" w:rsidRDefault="00F55348" w:rsidP="00F55348">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4AA8705B" w14:textId="77777777" w:rsidR="00F55348" w:rsidRPr="00B82D2B" w:rsidRDefault="00F55348" w:rsidP="00F55348">
      <w:pPr>
        <w:rPr>
          <w:sz w:val="12"/>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3AEB3870" w14:textId="77777777" w:rsidR="00F55348" w:rsidRDefault="00F55348" w:rsidP="00F55348">
      <w:pPr>
        <w:rPr>
          <w:sz w:val="12"/>
        </w:rPr>
      </w:pPr>
    </w:p>
    <w:p w14:paraId="6CE0F14F" w14:textId="77777777" w:rsidR="00F55348" w:rsidRPr="00B82D2B" w:rsidRDefault="00F55348" w:rsidP="00F55348">
      <w:pPr>
        <w:rPr>
          <w:sz w:val="12"/>
        </w:rPr>
      </w:pPr>
    </w:p>
    <w:p w14:paraId="0C964EA0" w14:textId="77777777" w:rsidR="00F55348" w:rsidRPr="00B82D2B" w:rsidRDefault="00F55348" w:rsidP="00F55348">
      <w:pPr>
        <w:rPr>
          <w:sz w:val="12"/>
        </w:rPr>
      </w:pPr>
    </w:p>
    <w:p w14:paraId="7D530B64" w14:textId="77777777" w:rsidR="00F55348" w:rsidRPr="00B82D2B" w:rsidRDefault="00F55348" w:rsidP="00F55348">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75E8EF2A" w14:textId="77777777" w:rsidR="00F55348" w:rsidRPr="00B82D2B" w:rsidRDefault="00F55348" w:rsidP="00F55348">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042C1792" w14:textId="77777777" w:rsidR="00F55348" w:rsidRPr="00B82D2B" w:rsidRDefault="00F55348" w:rsidP="00F55348">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r w:rsidRPr="00EA4754">
        <w:rPr>
          <w:b/>
          <w:u w:val="single"/>
        </w:rPr>
        <w:t xml:space="preserve">monohumanist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r w:rsidRPr="00EA4754">
        <w:rPr>
          <w:rStyle w:val="Emphasis"/>
          <w:highlight w:val="cya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we </w:t>
      </w:r>
      <w:r w:rsidRPr="00EA4754">
        <w:rPr>
          <w:b/>
          <w:szCs w:val="6"/>
          <w:highlight w:val="cyan"/>
          <w:u w:val="single"/>
        </w:rPr>
        <w:t>is,</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reflexly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biocosmogonically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psychoaffectively / aesthetically) </w:t>
      </w:r>
      <w:r w:rsidRPr="00EA4754">
        <w:rPr>
          <w:b/>
          <w:highlight w:val="cyan"/>
          <w:u w:val="single"/>
        </w:rPr>
        <w:t>closed terms.</w:t>
      </w:r>
    </w:p>
    <w:p w14:paraId="15B46774" w14:textId="77777777" w:rsidR="00F55348" w:rsidRPr="00B82D2B" w:rsidRDefault="00F55348" w:rsidP="00F55348">
      <w:pPr>
        <w:pStyle w:val="Heading4"/>
        <w:rPr>
          <w:rFonts w:cs="Arial"/>
        </w:rPr>
      </w:pPr>
      <w:r w:rsidRPr="00B82D2B">
        <w:rPr>
          <w:rFonts w:cs="Arial"/>
        </w:rPr>
        <w:t xml:space="preserve">Western colonial frameworks render Nativeness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44F19B24" w14:textId="77777777" w:rsidR="00F55348" w:rsidRPr="00B82D2B" w:rsidRDefault="00F55348" w:rsidP="00F55348">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r w:rsidRPr="00B82D2B">
        <w:t>vikas</w:t>
      </w:r>
    </w:p>
    <w:p w14:paraId="03D9914B" w14:textId="77777777" w:rsidR="00F55348" w:rsidRPr="00B82D2B" w:rsidRDefault="00F55348" w:rsidP="00F55348">
      <w:pPr>
        <w:rPr>
          <w:rStyle w:val="Emphasis"/>
        </w:rPr>
      </w:pPr>
      <w:r w:rsidRPr="00B82D2B">
        <w:rPr>
          <w:b/>
          <w:u w:val="single"/>
        </w:rPr>
        <w:t>Connecting Kim TallBear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‘Nativeness’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B82D2B">
        <w:rPr>
          <w:b/>
          <w:highlight w:val="yellow"/>
          <w:u w:val="single"/>
        </w:rPr>
        <w:t>desires to consume and own flesh</w:t>
      </w:r>
      <w:r w:rsidRPr="00B82D2B">
        <w:rPr>
          <w:sz w:val="16"/>
        </w:rPr>
        <w:t xml:space="preserve"> (or bone), </w:t>
      </w:r>
      <w:r w:rsidRPr="00B82D2B">
        <w:rPr>
          <w:b/>
          <w:u w:val="single"/>
        </w:rPr>
        <w:t xml:space="preserve">and </w:t>
      </w:r>
      <w:r w:rsidRPr="00B82D2B">
        <w:rPr>
          <w:b/>
          <w:highlight w:val="yellow"/>
          <w:u w:val="single"/>
        </w:rPr>
        <w:t>rendering</w:t>
      </w:r>
      <w:r w:rsidRPr="00B82D2B">
        <w:rPr>
          <w:sz w:val="16"/>
        </w:rPr>
        <w:t xml:space="preserve"> bone </w:t>
      </w:r>
      <w:r w:rsidRPr="00B82D2B">
        <w:rPr>
          <w:b/>
          <w:highlight w:val="yellow"/>
          <w:u w:val="single"/>
        </w:rPr>
        <w:t>into personal property</w:t>
      </w:r>
      <w:r w:rsidRPr="00B82D2B">
        <w:rPr>
          <w:sz w:val="16"/>
        </w:rPr>
        <w:t xml:space="preserve">, Alexander </w:t>
      </w:r>
      <w:r w:rsidRPr="00B82D2B">
        <w:rPr>
          <w:rStyle w:val="Emphasis"/>
          <w:highlight w:val="yellow"/>
        </w:rPr>
        <w:t>Weheliye’s</w:t>
      </w:r>
      <w:r w:rsidRPr="00B82D2B">
        <w:rPr>
          <w:rStyle w:val="Emphasis"/>
        </w:rPr>
        <w:t xml:space="preserve"> concept </w:t>
      </w:r>
      <w:r w:rsidRPr="001318BE">
        <w:rPr>
          <w:rStyle w:val="Emphasis"/>
        </w:rPr>
        <w:t>of ‘</w:t>
      </w:r>
      <w:r w:rsidRPr="001318BE">
        <w:rPr>
          <w:rStyle w:val="Emphasis"/>
          <w:highlight w:val="cyan"/>
        </w:rPr>
        <w:t>pornotroping’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B82D2B">
        <w:rPr>
          <w:rStyle w:val="Emphasis"/>
          <w:highlight w:val="yellow"/>
        </w:rPr>
        <w:t>for the captor</w:t>
      </w:r>
      <w:r w:rsidRPr="00B82D2B">
        <w:rPr>
          <w:sz w:val="16"/>
        </w:rPr>
        <w:t xml:space="preserve">” (90). Orlando Patterson also discusses the </w:t>
      </w:r>
      <w:r w:rsidRPr="00B82D2B">
        <w:rPr>
          <w:rStyle w:val="Emphasis"/>
          <w:highlight w:val="yellow"/>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B82D2B">
        <w:rPr>
          <w:b/>
          <w:highlight w:val="yellow"/>
          <w:u w:val="single"/>
        </w:rPr>
        <w:t>because of</w:t>
      </w:r>
      <w:r w:rsidRPr="00B82D2B">
        <w:rPr>
          <w:b/>
          <w:u w:val="single"/>
        </w:rPr>
        <w:t xml:space="preserve"> his actions</w:t>
      </w:r>
      <w:r w:rsidRPr="00B82D2B">
        <w:rPr>
          <w:sz w:val="16"/>
        </w:rPr>
        <w:t xml:space="preserve">; which is assuaged through </w:t>
      </w:r>
      <w:r w:rsidRPr="00B82D2B">
        <w:rPr>
          <w:b/>
          <w:u w:val="single"/>
        </w:rPr>
        <w:t xml:space="preserve">imagining </w:t>
      </w:r>
      <w:r w:rsidRPr="00B82D2B">
        <w:rPr>
          <w:b/>
          <w:highlight w:val="yellow"/>
          <w:u w:val="single"/>
        </w:rPr>
        <w:t>a ‘benevolent enslavement,’</w:t>
      </w:r>
      <w:r w:rsidRPr="00B82D2B">
        <w:rPr>
          <w:b/>
          <w:u w:val="single"/>
        </w:rPr>
        <w:t xml:space="preserve"> thus </w:t>
      </w:r>
      <w:r w:rsidRPr="00B82D2B">
        <w:rPr>
          <w:rStyle w:val="Emphasis"/>
          <w:highlight w:val="yellow"/>
        </w:rPr>
        <w:t>assuring a salvation for the enslaver.</w:t>
      </w:r>
      <w:r w:rsidRPr="00B82D2B">
        <w:rPr>
          <w:sz w:val="16"/>
        </w:rPr>
        <w:t xml:space="preserve"> I do not mean to collapse the very differing racializing projects of antiBlackness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bodies, and connect it to a sexualized and intimate desire for captured dead bodies. How do </w:t>
      </w:r>
      <w:r w:rsidRPr="00B82D2B">
        <w:rPr>
          <w:rStyle w:val="Emphasis"/>
          <w:highlight w:val="yellow"/>
        </w:rPr>
        <w:t>settlers form</w:t>
      </w:r>
      <w:r w:rsidRPr="00B82D2B">
        <w:rPr>
          <w:sz w:val="16"/>
        </w:rPr>
        <w:t xml:space="preserve"> (imagined) </w:t>
      </w:r>
      <w:r w:rsidRPr="00B82D2B">
        <w:rPr>
          <w:rStyle w:val="Emphasis"/>
          <w:highlight w:val="yellow"/>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B82D2B">
        <w:rPr>
          <w:b/>
          <w:highlight w:val="yellow"/>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B82D2B">
        <w:rPr>
          <w:rStyle w:val="Emphasis"/>
          <w:highlight w:val="yellow"/>
        </w:rPr>
        <w:t>the ruse of consent</w:t>
      </w:r>
      <w:r w:rsidRPr="00B82D2B">
        <w:rPr>
          <w:b/>
          <w:u w:val="single"/>
        </w:rPr>
        <w:t xml:space="preserve"> that </w:t>
      </w:r>
      <w:r w:rsidRPr="00B82D2B">
        <w:rPr>
          <w:rStyle w:val="Emphasis"/>
          <w:highlight w:val="yellow"/>
        </w:rPr>
        <w:t>settler society depicts</w:t>
      </w:r>
      <w:r w:rsidRPr="00B82D2B">
        <w:rPr>
          <w:rStyle w:val="Emphasis"/>
        </w:rPr>
        <w:t xml:space="preserve"> in its relations </w:t>
      </w:r>
      <w:r w:rsidRPr="00B82D2B">
        <w:rPr>
          <w:rStyle w:val="Emphasis"/>
          <w:highlight w:val="yellow"/>
        </w:rPr>
        <w:t>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particular </w:t>
      </w:r>
      <w:r w:rsidRPr="00B82D2B">
        <w:rPr>
          <w:b/>
          <w:u w:val="single"/>
        </w:rPr>
        <w:t>logics of containment projected onto the dead through settler imaginaries.</w:t>
      </w:r>
      <w:r w:rsidRPr="00B82D2B">
        <w:rPr>
          <w:sz w:val="16"/>
        </w:rPr>
        <w:t xml:space="preserve"> I ask how are the bones of the dead consumed in order to enact queer settler belongings imagined to be subversive to the state, yet ultimately naturalizing of, and thus reinforcing to, a settler colonial project? Thinking with the work of Sylvia Wynter and Jodi Byrd, </w:t>
      </w:r>
      <w:r w:rsidRPr="00B82D2B">
        <w:rPr>
          <w:b/>
          <w:highlight w:val="yellow"/>
          <w:u w:val="single"/>
        </w:rPr>
        <w:t>projects of</w:t>
      </w:r>
      <w:r w:rsidRPr="00B82D2B">
        <w:rPr>
          <w:b/>
          <w:u w:val="single"/>
        </w:rPr>
        <w:t xml:space="preserve"> settler colonial grave </w:t>
      </w:r>
      <w:r w:rsidRPr="00B82D2B">
        <w:rPr>
          <w:b/>
          <w:highlight w:val="yellow"/>
          <w:u w:val="single"/>
        </w:rPr>
        <w:t xml:space="preserve">excavation </w:t>
      </w:r>
      <w:r w:rsidRPr="00B82D2B">
        <w:rPr>
          <w:rStyle w:val="Emphasis"/>
          <w:highlight w:val="yellow"/>
        </w:rPr>
        <w:t>reveal an important process in how</w:t>
      </w:r>
      <w:r w:rsidRPr="00B82D2B">
        <w:rPr>
          <w:rStyle w:val="Emphasis"/>
        </w:rPr>
        <w:t xml:space="preserve"> meanings of </w:t>
      </w:r>
      <w:r w:rsidRPr="00B82D2B">
        <w:rPr>
          <w:rStyle w:val="Emphasis"/>
          <w:highlight w:val="yellow"/>
        </w:rPr>
        <w:t>‘symbolic life and death’ are mapped onto landscape</w:t>
      </w:r>
      <w:r w:rsidRPr="00B82D2B">
        <w:rPr>
          <w:b/>
          <w:highlight w:val="yellow"/>
          <w:u w:val="single"/>
        </w:rPr>
        <w:t xml:space="preserve"> through</w:t>
      </w:r>
      <w:r w:rsidRPr="00B82D2B">
        <w:rPr>
          <w:b/>
          <w:u w:val="single"/>
        </w:rPr>
        <w:t xml:space="preserve"> their centrality in establishing the </w:t>
      </w:r>
      <w:r w:rsidRPr="00B82D2B">
        <w:rPr>
          <w:b/>
          <w:highlight w:val="yellow"/>
          <w:u w:val="single"/>
        </w:rPr>
        <w:t>normative standards of ‘Western Man’ as ‘human’</w:t>
      </w:r>
      <w:r w:rsidRPr="00B82D2B">
        <w:rPr>
          <w:b/>
          <w:u w:val="single"/>
        </w:rPr>
        <w:t xml:space="preserve"> and as </w:t>
      </w:r>
      <w:r w:rsidRPr="00B82D2B">
        <w:rPr>
          <w:b/>
          <w:highlight w:val="yellow"/>
          <w:u w:val="single"/>
        </w:rPr>
        <w:t>foundational to</w:t>
      </w:r>
      <w:r w:rsidRPr="00B82D2B">
        <w:rPr>
          <w:b/>
          <w:u w:val="single"/>
        </w:rPr>
        <w:t xml:space="preserve"> the parameters of </w:t>
      </w:r>
      <w:r w:rsidRPr="00B82D2B">
        <w:rPr>
          <w:b/>
          <w:highlight w:val="yellow"/>
          <w:u w:val="single"/>
        </w:rPr>
        <w:t>US legal personhood</w:t>
      </w:r>
      <w:r w:rsidRPr="00B82D2B">
        <w:rPr>
          <w:sz w:val="16"/>
        </w:rPr>
        <w:t xml:space="preserve">, furthermore, </w:t>
      </w:r>
      <w:r w:rsidRPr="00B82D2B">
        <w:rPr>
          <w:rStyle w:val="Emphasis"/>
          <w:highlight w:val="yellow"/>
        </w:rPr>
        <w:t>genocidal intimacies draws attention to</w:t>
      </w:r>
      <w:r w:rsidRPr="00B82D2B">
        <w:rPr>
          <w:rStyle w:val="Emphasis"/>
        </w:rPr>
        <w:t xml:space="preserve"> the </w:t>
      </w:r>
      <w:r w:rsidRPr="00B82D2B">
        <w:rPr>
          <w:rStyle w:val="Emphasis"/>
          <w:highlight w:val="yellow"/>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B82D2B">
        <w:rPr>
          <w:rStyle w:val="Emphasis"/>
          <w:highlight w:val="yellow"/>
        </w:rPr>
        <w:t>through</w:t>
      </w:r>
      <w:r w:rsidRPr="00B82D2B">
        <w:rPr>
          <w:rStyle w:val="Emphasis"/>
        </w:rPr>
        <w:t xml:space="preserve"> genocidal </w:t>
      </w:r>
      <w:r w:rsidRPr="00B82D2B">
        <w:rPr>
          <w:rStyle w:val="Emphasis"/>
          <w:highlight w:val="yellow"/>
        </w:rPr>
        <w:t>intimacies</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4CA79C39" w14:textId="77777777" w:rsidR="00F55348" w:rsidRPr="009D0172" w:rsidRDefault="00F55348" w:rsidP="00F55348">
      <w:pPr>
        <w:rPr>
          <w:rFonts w:asciiTheme="minorHAnsi" w:hAnsiTheme="minorHAnsi" w:cstheme="minorHAnsi"/>
          <w:sz w:val="14"/>
          <w:szCs w:val="14"/>
        </w:rPr>
      </w:pPr>
    </w:p>
    <w:p w14:paraId="55211677" w14:textId="77777777" w:rsidR="00F55348" w:rsidRPr="009449C2" w:rsidRDefault="00F55348" w:rsidP="00F55348">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7167B250" w14:textId="77777777" w:rsidR="00F55348" w:rsidRPr="009449C2" w:rsidRDefault="00F55348" w:rsidP="00F55348">
      <w:r w:rsidRPr="009449C2">
        <w:rPr>
          <w:rStyle w:val="Style13ptBold"/>
        </w:rPr>
        <w:t>Belcourt 2016</w:t>
      </w:r>
      <w:r w:rsidRPr="009449C2">
        <w:t xml:space="preserve"> (Billy-ray Belcourt is from the Driftpile Cree Nation. He is a 2016 Rhodes Scholar and is reading for an M.St. in Women's Studies at the University of Oxford. He was named by CBC Books as one of six Indigenous writers to watch,Political Depression in a Time of Reconciliation, Jan 15, 2016, </w:t>
      </w:r>
      <w:hyperlink r:id="rId6" w:history="1">
        <w:r w:rsidRPr="009449C2">
          <w:rPr>
            <w:rStyle w:val="Hyperlink"/>
          </w:rPr>
          <w:t>http://activehistory.ca/2016/01/political-depression-in-a-time-of-reconciliation/)//NotJacob//recut</w:t>
        </w:r>
      </w:hyperlink>
      <w:r w:rsidRPr="009449C2">
        <w:t xml:space="preserve"> anop</w:t>
      </w:r>
    </w:p>
    <w:p w14:paraId="0CB0AE5B" w14:textId="18AC3BF2" w:rsidR="00F55348" w:rsidRPr="000D5A0E" w:rsidRDefault="00F55348" w:rsidP="00F55348">
      <w:r w:rsidRPr="009449C2">
        <w:rPr>
          <w:rStyle w:val="Emphasis"/>
        </w:rPr>
        <w:t xml:space="preserve">It’s tough: knowing that you might not get the world you want and the world that wants you back, that your bones might never stop feeling achy and fragile from the wear and tear of mere existence, from the hard labour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 xml:space="preserve">.[3]  </w:t>
      </w:r>
      <w:r w:rsidRPr="009449C2">
        <w:rPr>
          <w:rStyle w:val="Emphasis"/>
          <w:highlight w:val="cyan"/>
        </w:rPr>
        <w:t>This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To be politically depressed is to worry about the temporal reach of neoliberal projects like reconciliation, to question their orientation toward the future because the present requires all of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labour of maintaining one’s life becomes too hard to </w:t>
      </w:r>
      <w:r w:rsidRPr="00811119">
        <w:rPr>
          <w:rStyle w:val="Emphasis"/>
        </w:rPr>
        <w:t>keep up. We have to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a political that doesn’t actually exist</w:t>
      </w:r>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I think there are ways of being attuned to our bodies such that we can gauge if our visceral responses are trained or not, parasitic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in this day and age.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But,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As Kim TallBear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1E43B634" w14:textId="77777777" w:rsidR="009679BE" w:rsidRPr="00274D70" w:rsidRDefault="009679BE" w:rsidP="009679BE">
      <w:pPr>
        <w:pStyle w:val="Heading4"/>
        <w:rPr>
          <w:rFonts w:asciiTheme="minorHAnsi" w:hAnsiTheme="minorHAnsi" w:cstheme="minorHAnsi"/>
        </w:rPr>
      </w:pPr>
      <w:r w:rsidRPr="00274D70">
        <w:rPr>
          <w:rFonts w:asciiTheme="minorHAnsi" w:hAnsiTheme="minorHAnsi" w:cstheme="minorHAnsi"/>
        </w:rPr>
        <w:t xml:space="preserve">The counterinterpretation is that you should evaluate the 1AC as an object of study </w:t>
      </w:r>
    </w:p>
    <w:p w14:paraId="26B1A369" w14:textId="77777777" w:rsidR="009679BE" w:rsidRPr="00274D70" w:rsidRDefault="009679BE" w:rsidP="009679BE">
      <w:pPr>
        <w:pStyle w:val="Heading4"/>
        <w:rPr>
          <w:rFonts w:asciiTheme="minorHAnsi" w:hAnsiTheme="minorHAnsi" w:cstheme="minorHAnsi"/>
        </w:rPr>
      </w:pPr>
      <w:r w:rsidRPr="00274D70">
        <w:rPr>
          <w:rFonts w:asciiTheme="minorHAnsi" w:hAnsiTheme="minorHAnsi" w:cstheme="minorHAnsi"/>
        </w:rPr>
        <w:t>[a] Sociogeny – debate may not spill over to political change but it has the potential to reproduce affirmations and negations that trigger neurohcmeical responses via reward and punishment mechanisms privilege certain research methods as valuable in the way debaters view the world.</w:t>
      </w:r>
    </w:p>
    <w:p w14:paraId="07D6C7AB" w14:textId="7ABE0600" w:rsidR="009679BE" w:rsidRDefault="009679BE" w:rsidP="009679BE">
      <w:pPr>
        <w:pStyle w:val="Heading4"/>
        <w:rPr>
          <w:rFonts w:asciiTheme="minorHAnsi" w:hAnsiTheme="minorHAnsi" w:cstheme="minorHAnsi"/>
        </w:rPr>
      </w:pPr>
      <w:r w:rsidRPr="00274D70">
        <w:rPr>
          <w:rFonts w:asciiTheme="minorHAnsi" w:hAnsiTheme="minorHAnsi" w:cstheme="minorHAnsi"/>
        </w:rPr>
        <w:t>[b] Objectivity  – consequence based  plan focus shifts the focus of debate from our investments in settler colonialism to a  plan text, which is incoherent because debate is a communicative activity and their inter sidesteps discussions of genocide.</w:t>
      </w:r>
    </w:p>
    <w:p w14:paraId="66F9323F" w14:textId="6C4BD420" w:rsidR="00D214C5" w:rsidRPr="00D214C5" w:rsidRDefault="00D214C5" w:rsidP="00D214C5">
      <w:pPr>
        <w:pStyle w:val="Heading4"/>
      </w:pPr>
      <w:r>
        <w:t xml:space="preserve">[c] temporality – the 1ac’s </w:t>
      </w:r>
      <w:r w:rsidR="00691193">
        <w:t>defense</w:t>
      </w:r>
      <w:r>
        <w:t xml:space="preserve"> for policy making</w:t>
      </w:r>
      <w:r w:rsidR="00691193">
        <w:t xml:space="preserve"> analysis</w:t>
      </w:r>
      <w:r>
        <w:t xml:space="preserve"> means you reject evaluation of fiated consequences – it’s cruel optimism creating false hope for reform</w:t>
      </w:r>
    </w:p>
    <w:p w14:paraId="7497D0EE" w14:textId="544BD649" w:rsidR="00D31AD5" w:rsidRPr="00D31AD5" w:rsidRDefault="00D31AD5" w:rsidP="00D31AD5">
      <w:pPr>
        <w:pStyle w:val="Heading4"/>
      </w:pPr>
      <w:r>
        <w:t xml:space="preserve"> </w:t>
      </w:r>
    </w:p>
    <w:sectPr w:rsidR="00D31AD5" w:rsidRPr="00D31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C31D9"/>
    <w:multiLevelType w:val="hybridMultilevel"/>
    <w:tmpl w:val="64046FB8"/>
    <w:lvl w:ilvl="0" w:tplc="3ADECF1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2F60"/>
    <w:rsid w:val="000139A3"/>
    <w:rsid w:val="000C1F2D"/>
    <w:rsid w:val="000C7921"/>
    <w:rsid w:val="000D5A0E"/>
    <w:rsid w:val="00100833"/>
    <w:rsid w:val="00104529"/>
    <w:rsid w:val="00105942"/>
    <w:rsid w:val="00107396"/>
    <w:rsid w:val="00127C0E"/>
    <w:rsid w:val="00144A4C"/>
    <w:rsid w:val="00176AB0"/>
    <w:rsid w:val="00177B7D"/>
    <w:rsid w:val="0018322D"/>
    <w:rsid w:val="001953CB"/>
    <w:rsid w:val="001B5776"/>
    <w:rsid w:val="001E527A"/>
    <w:rsid w:val="001F78CE"/>
    <w:rsid w:val="00251FC7"/>
    <w:rsid w:val="00257D74"/>
    <w:rsid w:val="002855A7"/>
    <w:rsid w:val="002B146A"/>
    <w:rsid w:val="002B5E17"/>
    <w:rsid w:val="002F0BE7"/>
    <w:rsid w:val="00315690"/>
    <w:rsid w:val="00315C1C"/>
    <w:rsid w:val="00316B75"/>
    <w:rsid w:val="00325646"/>
    <w:rsid w:val="003460F2"/>
    <w:rsid w:val="0038158C"/>
    <w:rsid w:val="003902BA"/>
    <w:rsid w:val="003A09E2"/>
    <w:rsid w:val="003A60DD"/>
    <w:rsid w:val="003F4E0C"/>
    <w:rsid w:val="00407037"/>
    <w:rsid w:val="004605D6"/>
    <w:rsid w:val="004C60E8"/>
    <w:rsid w:val="004E3579"/>
    <w:rsid w:val="004E728B"/>
    <w:rsid w:val="004F39E0"/>
    <w:rsid w:val="00520B1A"/>
    <w:rsid w:val="00537BD5"/>
    <w:rsid w:val="0057268A"/>
    <w:rsid w:val="005D2912"/>
    <w:rsid w:val="006065BD"/>
    <w:rsid w:val="00645FA9"/>
    <w:rsid w:val="00647866"/>
    <w:rsid w:val="00665003"/>
    <w:rsid w:val="00673527"/>
    <w:rsid w:val="00691193"/>
    <w:rsid w:val="00691EC5"/>
    <w:rsid w:val="006A2AD0"/>
    <w:rsid w:val="006C2375"/>
    <w:rsid w:val="006D4ECC"/>
    <w:rsid w:val="006E79E6"/>
    <w:rsid w:val="00722258"/>
    <w:rsid w:val="007243E5"/>
    <w:rsid w:val="00766EA0"/>
    <w:rsid w:val="007A2226"/>
    <w:rsid w:val="007F5B66"/>
    <w:rsid w:val="00823A1C"/>
    <w:rsid w:val="00845B9D"/>
    <w:rsid w:val="00860984"/>
    <w:rsid w:val="00887475"/>
    <w:rsid w:val="008B3ECB"/>
    <w:rsid w:val="008B4E85"/>
    <w:rsid w:val="008C1B2E"/>
    <w:rsid w:val="00900B14"/>
    <w:rsid w:val="0091627E"/>
    <w:rsid w:val="00935901"/>
    <w:rsid w:val="009679BE"/>
    <w:rsid w:val="0097032B"/>
    <w:rsid w:val="0099233F"/>
    <w:rsid w:val="009D2EAD"/>
    <w:rsid w:val="009D54B2"/>
    <w:rsid w:val="009E1922"/>
    <w:rsid w:val="009F2F60"/>
    <w:rsid w:val="009F7ED2"/>
    <w:rsid w:val="00A12D89"/>
    <w:rsid w:val="00A1659A"/>
    <w:rsid w:val="00A93661"/>
    <w:rsid w:val="00A95652"/>
    <w:rsid w:val="00AC0AB8"/>
    <w:rsid w:val="00AC5C6B"/>
    <w:rsid w:val="00AD3607"/>
    <w:rsid w:val="00B33C6D"/>
    <w:rsid w:val="00B4508F"/>
    <w:rsid w:val="00B55AD5"/>
    <w:rsid w:val="00B8057C"/>
    <w:rsid w:val="00BD6238"/>
    <w:rsid w:val="00BF593B"/>
    <w:rsid w:val="00BF773A"/>
    <w:rsid w:val="00BF7E81"/>
    <w:rsid w:val="00C13773"/>
    <w:rsid w:val="00C17CC8"/>
    <w:rsid w:val="00C53110"/>
    <w:rsid w:val="00C56217"/>
    <w:rsid w:val="00C71E58"/>
    <w:rsid w:val="00C83417"/>
    <w:rsid w:val="00C9604F"/>
    <w:rsid w:val="00CA19AA"/>
    <w:rsid w:val="00CA4B95"/>
    <w:rsid w:val="00CC5298"/>
    <w:rsid w:val="00CD736E"/>
    <w:rsid w:val="00CD798D"/>
    <w:rsid w:val="00CE161E"/>
    <w:rsid w:val="00CF59A8"/>
    <w:rsid w:val="00D214C5"/>
    <w:rsid w:val="00D31AD5"/>
    <w:rsid w:val="00D325A9"/>
    <w:rsid w:val="00D36A8A"/>
    <w:rsid w:val="00D5430B"/>
    <w:rsid w:val="00D61409"/>
    <w:rsid w:val="00D6691E"/>
    <w:rsid w:val="00D67DB0"/>
    <w:rsid w:val="00D71170"/>
    <w:rsid w:val="00DA1C92"/>
    <w:rsid w:val="00DA25D4"/>
    <w:rsid w:val="00DA6538"/>
    <w:rsid w:val="00DB7A75"/>
    <w:rsid w:val="00E15E75"/>
    <w:rsid w:val="00E36D13"/>
    <w:rsid w:val="00E45A53"/>
    <w:rsid w:val="00E5262C"/>
    <w:rsid w:val="00EB0291"/>
    <w:rsid w:val="00EC7DC4"/>
    <w:rsid w:val="00ED30CF"/>
    <w:rsid w:val="00F176EF"/>
    <w:rsid w:val="00F41822"/>
    <w:rsid w:val="00F45E10"/>
    <w:rsid w:val="00F5399B"/>
    <w:rsid w:val="00F55348"/>
    <w:rsid w:val="00F62B3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40012"/>
  <w15:chartTrackingRefBased/>
  <w15:docId w15:val="{4D384235-D64C-4868-A75B-C6009F15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0B14"/>
    <w:rPr>
      <w:rFonts w:ascii="Calibri" w:hAnsi="Calibri"/>
    </w:rPr>
  </w:style>
  <w:style w:type="paragraph" w:styleId="Heading1">
    <w:name w:val="heading 1"/>
    <w:aliases w:val="Pocket"/>
    <w:basedOn w:val="Normal"/>
    <w:next w:val="Normal"/>
    <w:link w:val="Heading1Char"/>
    <w:qFormat/>
    <w:rsid w:val="00900B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0B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0B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900B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0B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B14"/>
  </w:style>
  <w:style w:type="character" w:customStyle="1" w:styleId="Heading1Char">
    <w:name w:val="Heading 1 Char"/>
    <w:aliases w:val="Pocket Char"/>
    <w:basedOn w:val="DefaultParagraphFont"/>
    <w:link w:val="Heading1"/>
    <w:rsid w:val="00900B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0B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0B1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900B1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900B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0B14"/>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900B14"/>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900B14"/>
    <w:rPr>
      <w:color w:val="auto"/>
      <w:u w:val="none"/>
    </w:rPr>
  </w:style>
  <w:style w:type="character" w:styleId="FollowedHyperlink">
    <w:name w:val="FollowedHyperlink"/>
    <w:basedOn w:val="DefaultParagraphFont"/>
    <w:uiPriority w:val="99"/>
    <w:semiHidden/>
    <w:unhideWhenUsed/>
    <w:rsid w:val="00900B14"/>
    <w:rPr>
      <w:color w:val="auto"/>
      <w:u w:val="none"/>
    </w:rPr>
  </w:style>
  <w:style w:type="paragraph" w:customStyle="1" w:styleId="textbold">
    <w:name w:val="text bold"/>
    <w:basedOn w:val="Normal"/>
    <w:link w:val="Emphasis"/>
    <w:uiPriority w:val="7"/>
    <w:qFormat/>
    <w:rsid w:val="00F55348"/>
    <w:pPr>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Dont use,No Spacing31,No Spacing22,No Spacing41,No Spacing111112,No Spacing3,ca"/>
    <w:basedOn w:val="Heading1"/>
    <w:link w:val="Hyperlink"/>
    <w:autoRedefine/>
    <w:uiPriority w:val="99"/>
    <w:qFormat/>
    <w:rsid w:val="00127C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ctivehistory.ca/2016/01/political-depression-in-a-time-of-reconciliation/)//NotJacob//recu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7632</Words>
  <Characters>43509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37</cp:revision>
  <dcterms:created xsi:type="dcterms:W3CDTF">2021-09-18T22:07:00Z</dcterms:created>
  <dcterms:modified xsi:type="dcterms:W3CDTF">2021-09-19T14:21:00Z</dcterms:modified>
</cp:coreProperties>
</file>