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960F" w14:textId="680C9B65" w:rsidR="007B710A" w:rsidRDefault="007B710A" w:rsidP="007B710A">
      <w:pPr>
        <w:pStyle w:val="Heading3"/>
        <w:rPr>
          <w:rFonts w:eastAsia="MS Gothic"/>
        </w:rPr>
      </w:pPr>
      <w:r>
        <w:rPr>
          <w:rFonts w:eastAsia="MS Gothic"/>
        </w:rPr>
        <w:t>1AC – Framework</w:t>
      </w:r>
    </w:p>
    <w:p w14:paraId="69CB5AFE" w14:textId="396EC147" w:rsidR="007B710A" w:rsidRPr="00DE6C52" w:rsidRDefault="007B710A" w:rsidP="007B710A">
      <w:pPr>
        <w:keepNext/>
        <w:keepLines/>
        <w:spacing w:before="40"/>
        <w:outlineLvl w:val="3"/>
        <w:rPr>
          <w:rFonts w:eastAsia="MS Gothic"/>
          <w:b/>
          <w:iCs/>
          <w:sz w:val="26"/>
        </w:rPr>
      </w:pPr>
      <w:r w:rsidRPr="00DE6C52">
        <w:rPr>
          <w:rFonts w:eastAsia="MS Gothic"/>
          <w:b/>
          <w:iCs/>
          <w:sz w:val="26"/>
        </w:rPr>
        <w:t xml:space="preserve">I value morality. </w:t>
      </w:r>
    </w:p>
    <w:p w14:paraId="4652552A" w14:textId="77777777" w:rsidR="007B710A" w:rsidRPr="00DE6C52" w:rsidRDefault="007B710A" w:rsidP="007B710A">
      <w:pPr>
        <w:keepNext/>
        <w:keepLines/>
        <w:spacing w:before="40"/>
        <w:outlineLvl w:val="3"/>
        <w:rPr>
          <w:rFonts w:eastAsia="MS Gothic"/>
          <w:b/>
          <w:iCs/>
          <w:sz w:val="26"/>
        </w:rPr>
      </w:pPr>
      <w:r w:rsidRPr="00DE6C52">
        <w:rPr>
          <w:rFonts w:eastAsia="MS Gothic"/>
          <w:b/>
          <w:iCs/>
          <w:sz w:val="26"/>
        </w:rPr>
        <w:t>The standard is minimizing material violence. [To clarify I defend utilitarianism].</w:t>
      </w:r>
    </w:p>
    <w:p w14:paraId="5278DAD8" w14:textId="77777777" w:rsidR="007B710A" w:rsidRPr="00DE6C52" w:rsidRDefault="007B710A" w:rsidP="007B710A">
      <w:pPr>
        <w:keepNext/>
        <w:keepLines/>
        <w:spacing w:before="40"/>
        <w:outlineLvl w:val="3"/>
        <w:rPr>
          <w:rFonts w:eastAsia="MS Gothic"/>
          <w:b/>
          <w:iCs/>
          <w:sz w:val="26"/>
        </w:rPr>
      </w:pPr>
      <w:r w:rsidRPr="00DE6C52">
        <w:rPr>
          <w:rFonts w:eastAsia="MS Gothic"/>
          <w:b/>
          <w:iCs/>
          <w:sz w:val="26"/>
        </w:rPr>
        <w:t>[2] Actor Spec— States must use util. Any other standard dooms the moral theory</w:t>
      </w:r>
    </w:p>
    <w:p w14:paraId="01707148" w14:textId="77777777" w:rsidR="007B710A" w:rsidRPr="00DE6C52" w:rsidRDefault="007B710A" w:rsidP="007B710A">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51B67E58" w14:textId="77777777" w:rsidR="007B710A" w:rsidRPr="00DE6C52" w:rsidRDefault="007B710A" w:rsidP="007B710A">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466DFBB6" w14:textId="77777777" w:rsidR="007B710A" w:rsidRPr="00DE6C52" w:rsidRDefault="007B710A" w:rsidP="007B710A">
      <w:pPr>
        <w:keepNext/>
        <w:keepLines/>
        <w:spacing w:before="40"/>
        <w:outlineLvl w:val="3"/>
        <w:rPr>
          <w:rFonts w:eastAsia="MS Gothic"/>
          <w:b/>
          <w:iCs/>
          <w:sz w:val="26"/>
        </w:rPr>
      </w:pPr>
      <w:bookmarkStart w:id="0" w:name="_Hlk53161423"/>
      <w:r w:rsidRPr="00DE6C52">
        <w:rPr>
          <w:rFonts w:eastAsia="MS Gothic"/>
          <w:b/>
          <w:iCs/>
          <w:sz w:val="26"/>
        </w:rPr>
        <w:t>[4] Pleasure and pain are the starting point for moral reasoning—they’re our most baseline desires and the only things that explain the intrinsic value of objects or actions</w:t>
      </w:r>
    </w:p>
    <w:p w14:paraId="045E575A" w14:textId="77777777" w:rsidR="007B710A" w:rsidRPr="00DE6C52" w:rsidRDefault="007B710A" w:rsidP="007B710A">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3249D031" w14:textId="77777777" w:rsidR="007B710A" w:rsidRPr="00DE6C52" w:rsidRDefault="007B710A" w:rsidP="007B710A">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valuable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says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bookmarkEnd w:id="0"/>
    <w:p w14:paraId="3AA6FEA9" w14:textId="77777777" w:rsidR="007B710A" w:rsidRPr="00373C93" w:rsidRDefault="007B710A" w:rsidP="007B710A">
      <w:pPr>
        <w:pStyle w:val="Heading3"/>
        <w:rPr>
          <w:rFonts w:cs="Arial"/>
        </w:rPr>
      </w:pPr>
      <w:r w:rsidRPr="00DE6C52">
        <w:rPr>
          <w:rFonts w:cs="Arial"/>
        </w:rPr>
        <w:t>1AC – Advantage – Climate Change</w:t>
      </w:r>
    </w:p>
    <w:p w14:paraId="33847E19" w14:textId="77777777" w:rsidR="007B710A" w:rsidRDefault="007B710A" w:rsidP="007B710A">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7CE663B7" w14:textId="77777777" w:rsidR="007B710A" w:rsidRPr="00B05B26" w:rsidRDefault="007B710A" w:rsidP="007B710A">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2D8C4D21" w14:textId="77777777" w:rsidR="007B710A" w:rsidRDefault="007B710A" w:rsidP="007B710A">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7A77C952" w14:textId="77777777" w:rsidR="007B710A" w:rsidRPr="00DE6C52" w:rsidRDefault="007B710A" w:rsidP="007B710A">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607342ED" w14:textId="77777777" w:rsidR="007B710A" w:rsidRPr="00DE6C52" w:rsidRDefault="007B710A" w:rsidP="007B710A">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40DB6CEB" w14:textId="77777777" w:rsidR="007B710A" w:rsidRPr="00DE6C52" w:rsidRDefault="007B710A" w:rsidP="007B710A">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3CEE3FA6" w14:textId="77777777" w:rsidR="007B710A" w:rsidRPr="00DE6C52" w:rsidRDefault="007B710A" w:rsidP="007B710A">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1B0C99B3" w14:textId="77777777" w:rsidR="007B710A" w:rsidRPr="00DE6C52" w:rsidRDefault="007B710A" w:rsidP="007B710A">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4D712C10" w14:textId="77777777" w:rsidR="007B710A" w:rsidRPr="00DE6C52" w:rsidRDefault="007B710A" w:rsidP="007B710A">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09B438F5" w14:textId="77777777" w:rsidR="007B710A" w:rsidRPr="00DE6C52" w:rsidRDefault="007B710A" w:rsidP="007B710A">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61F9CBFE" w14:textId="77777777" w:rsidR="007B710A" w:rsidRPr="00DE6C52" w:rsidRDefault="007B710A" w:rsidP="007B710A">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4713C9EE" w14:textId="77777777" w:rsidR="007B710A" w:rsidRPr="00DE6C52" w:rsidRDefault="007B710A" w:rsidP="007B710A">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14:paraId="5D369690" w14:textId="77777777" w:rsidR="007B710A" w:rsidRPr="00DE6C52" w:rsidRDefault="007B710A" w:rsidP="007B710A">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123AE9C2" w14:textId="77777777" w:rsidR="007B710A" w:rsidRPr="00DE6C52" w:rsidRDefault="007B710A" w:rsidP="007B710A">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792669FA" w14:textId="77777777" w:rsidR="007B710A" w:rsidRPr="00DE6C52" w:rsidRDefault="007B710A" w:rsidP="007B710A">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51BC85FE" w14:textId="77777777" w:rsidR="007B710A" w:rsidRPr="00DE6C52" w:rsidRDefault="007B710A" w:rsidP="007B710A">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486D49F3" w14:textId="77777777" w:rsidR="007B710A" w:rsidRPr="006217A0" w:rsidRDefault="007B710A" w:rsidP="007B710A">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23BABF9A" w14:textId="77777777" w:rsidR="007B710A" w:rsidRPr="00DE6C52" w:rsidRDefault="007B710A" w:rsidP="007B710A">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4E5545FE" w14:textId="77777777" w:rsidR="007B710A" w:rsidRPr="00DE6C52" w:rsidRDefault="007B710A" w:rsidP="007B710A">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386B1351" w14:textId="77777777" w:rsidR="007B710A" w:rsidRPr="00DE6C52" w:rsidRDefault="007B710A" w:rsidP="007B710A">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7ED0CF6E" w14:textId="77777777" w:rsidR="007B710A" w:rsidRPr="00DE6C52" w:rsidRDefault="007B710A" w:rsidP="007B710A">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2BB2BA54" w14:textId="77777777" w:rsidR="007B710A" w:rsidRPr="00DE6C52" w:rsidRDefault="007B710A" w:rsidP="007B710A">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02A2FCAA" w14:textId="77777777" w:rsidR="007B710A" w:rsidRPr="00DE6C52" w:rsidRDefault="007B710A" w:rsidP="007B710A">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1C3B88F" w14:textId="77777777" w:rsidR="007B710A" w:rsidRPr="00DE6C52" w:rsidRDefault="007B710A" w:rsidP="007B710A">
      <w:pPr>
        <w:rPr>
          <w:rFonts w:eastAsia="Cambria"/>
        </w:rPr>
      </w:pPr>
    </w:p>
    <w:p w14:paraId="3F366C84" w14:textId="77777777" w:rsidR="007B710A" w:rsidRPr="00930C97" w:rsidRDefault="007B710A" w:rsidP="007B710A">
      <w:pPr>
        <w:pStyle w:val="Heading3"/>
      </w:pPr>
      <w:r w:rsidRPr="00930C97">
        <w:t>1AC – Advantage - Democracy</w:t>
      </w:r>
    </w:p>
    <w:p w14:paraId="25EDE237" w14:textId="77777777" w:rsidR="007B710A" w:rsidRDefault="007B710A" w:rsidP="007B710A">
      <w:pPr>
        <w:pStyle w:val="Heading4"/>
      </w:pPr>
      <w:r>
        <w:t>UK democracy is declining right now – Johnson’s levelling up agenda is a disguise for masking dissent</w:t>
      </w:r>
    </w:p>
    <w:p w14:paraId="320C1ECA" w14:textId="77777777" w:rsidR="007B710A" w:rsidRDefault="007B710A" w:rsidP="007B710A">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6"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1605F7D0" w14:textId="77777777" w:rsidR="007B710A" w:rsidRPr="00B55AD5" w:rsidRDefault="007B710A" w:rsidP="007B710A">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So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Instead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r w:rsidRPr="003B78E9">
        <w:rPr>
          <w:rStyle w:val="Emphasis"/>
        </w:rPr>
        <w:t>So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7E00A486" w14:textId="77777777" w:rsidR="007B710A" w:rsidRDefault="007B710A" w:rsidP="007B710A"/>
    <w:p w14:paraId="79B4B132" w14:textId="77777777" w:rsidR="007B710A" w:rsidRPr="00DE6C52" w:rsidRDefault="007B710A" w:rsidP="007B710A">
      <w:pPr>
        <w:rPr>
          <w:rStyle w:val="Style13ptBold"/>
          <w:b w:val="0"/>
          <w:bCs w:val="0"/>
          <w:sz w:val="16"/>
        </w:rPr>
      </w:pPr>
    </w:p>
    <w:p w14:paraId="23FEC992" w14:textId="77777777" w:rsidR="007B710A" w:rsidRPr="00DE6C52" w:rsidRDefault="007B710A" w:rsidP="007B710A">
      <w:pPr>
        <w:rPr>
          <w:rStyle w:val="Style13ptBold"/>
          <w:sz w:val="16"/>
        </w:rPr>
      </w:pPr>
      <w:r w:rsidRPr="00DE6C52">
        <w:rPr>
          <w:rStyle w:val="Style13ptBold"/>
          <w:sz w:val="28"/>
          <w:szCs w:val="28"/>
        </w:rPr>
        <w:t xml:space="preserve">Status quo democracies response to climate </w:t>
      </w:r>
      <w:r w:rsidRPr="00DE6C52">
        <w:rPr>
          <w:rStyle w:val="Style13ptBold"/>
          <w:i/>
          <w:iCs/>
          <w:sz w:val="28"/>
          <w:szCs w:val="28"/>
          <w:u w:val="single"/>
        </w:rPr>
        <w:t>misses</w:t>
      </w:r>
      <w:r w:rsidRPr="00DE6C52">
        <w:rPr>
          <w:rStyle w:val="Style13ptBold"/>
          <w:sz w:val="28"/>
          <w:szCs w:val="28"/>
        </w:rPr>
        <w:t xml:space="preserve"> the boat – they have to </w:t>
      </w:r>
      <w:r w:rsidRPr="00DE6C52">
        <w:rPr>
          <w:rStyle w:val="Style13ptBold"/>
          <w:i/>
          <w:iCs/>
          <w:sz w:val="28"/>
          <w:szCs w:val="28"/>
          <w:u w:val="single"/>
        </w:rPr>
        <w:t>unlock</w:t>
      </w:r>
      <w:r w:rsidRPr="00DE6C52">
        <w:rPr>
          <w:rStyle w:val="Style13ptBold"/>
          <w:sz w:val="28"/>
          <w:szCs w:val="28"/>
        </w:rPr>
        <w:t xml:space="preserve"> the local level</w:t>
      </w:r>
    </w:p>
    <w:p w14:paraId="0087AA01" w14:textId="77777777" w:rsidR="007B710A" w:rsidRPr="00DE6C52" w:rsidRDefault="007B710A" w:rsidP="007B710A">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7" w:history="1">
        <w:r w:rsidRPr="00DE6C52">
          <w:rPr>
            <w:rStyle w:val="Hyperlink"/>
            <w:sz w:val="24"/>
          </w:rPr>
          <w:t>https://www.nytimes.com/2021/10/07/world/global-challenge-solutions.html</w:t>
        </w:r>
      </w:hyperlink>
      <w:r w:rsidRPr="00DE6C52">
        <w:rPr>
          <w:rStyle w:val="Style13ptBold"/>
          <w:b w:val="0"/>
          <w:sz w:val="24"/>
        </w:rPr>
        <w:t>] //</w:t>
      </w:r>
      <w:proofErr w:type="spellStart"/>
      <w:r w:rsidRPr="00DE6C52">
        <w:rPr>
          <w:rStyle w:val="Style13ptBold"/>
          <w:b w:val="0"/>
          <w:sz w:val="24"/>
        </w:rPr>
        <w:t>aaditg</w:t>
      </w:r>
      <w:proofErr w:type="spellEnd"/>
    </w:p>
    <w:p w14:paraId="6F91922C" w14:textId="77777777" w:rsidR="007B710A" w:rsidRPr="00DE6C52" w:rsidRDefault="007B710A" w:rsidP="007B710A">
      <w:pPr>
        <w:rPr>
          <w:rStyle w:val="Style13ptBold"/>
          <w:b w:val="0"/>
          <w:bCs w:val="0"/>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MR. FARMER I think it’s just one of many paradigms that can be </w:t>
      </w:r>
      <w:proofErr w:type="spellStart"/>
      <w:r w:rsidRPr="00DE6C52">
        <w:rPr>
          <w:rStyle w:val="Style13ptBold"/>
          <w:b w:val="0"/>
          <w:sz w:val="12"/>
        </w:rPr>
        <w:t>use</w:t>
      </w:r>
      <w:proofErr w:type="spellEnd"/>
      <w:r w:rsidRPr="00DE6C52">
        <w:rPr>
          <w:rStyle w:val="Style13ptBold"/>
          <w:b w:val="0"/>
          <w:sz w:val="12"/>
        </w:rPr>
        <w:t xml:space="preserv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So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have to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pretty robust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and also a very low level of uptake of vaccination that cannot be blamed on hesitancy unless we’re talking about elite hesitancy to put in place mechanisms that would roll out the vaccine. So there’s an area of manufacturing tech transfer where the Biden administration could do more. Donations are still not working as a means of vaccinating large parts of Africa. The multilateral mechanisms haven’t functioned well enough. So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activists and policymakers to change course? Panelists: Ivan </w:t>
      </w:r>
      <w:proofErr w:type="spellStart"/>
      <w:r w:rsidRPr="00DE6C52">
        <w:rPr>
          <w:rStyle w:val="Style13ptBold"/>
          <w:b w:val="0"/>
          <w:sz w:val="12"/>
        </w:rPr>
        <w:t>Tse</w:t>
      </w:r>
      <w:proofErr w:type="spellEnd"/>
      <w:r w:rsidRPr="00DE6C52">
        <w:rPr>
          <w:rStyle w:val="Style13ptBold"/>
          <w:b w:val="0"/>
          <w:sz w:val="12"/>
        </w:rPr>
        <w:t xml:space="preserve">, president, </w:t>
      </w:r>
      <w:proofErr w:type="spellStart"/>
      <w:r w:rsidRPr="00DE6C52">
        <w:rPr>
          <w:rStyle w:val="Style13ptBold"/>
          <w:b w:val="0"/>
          <w:sz w:val="12"/>
        </w:rPr>
        <w:t>Tse</w:t>
      </w:r>
      <w:proofErr w:type="spellEnd"/>
      <w:r w:rsidRPr="00DE6C52">
        <w:rPr>
          <w:rStyle w:val="Style13ptBold"/>
          <w:b w:val="0"/>
          <w:sz w:val="12"/>
        </w:rPr>
        <w:t xml:space="preserv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it is the local level you have to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recovery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absolutely important act. The problem is, if we just do that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really stark statistics at a national level. Before Covid every morning 36 million seats in cars were unfilled. So people are driving all around the country, and there are 36 million cars. The average occupancy of a car is 1.2 people. So if we simply take that old model and apply it to a new model, we’re going to invest far too much in E.V.s. </w:t>
      </w:r>
      <w:r w:rsidRPr="00DE6C52">
        <w:rPr>
          <w:rStyle w:val="StyleUnderline"/>
        </w:rPr>
        <w:t>So we have been taking the steps in the city to invest in active travel. So it’s thinking about how we restrict private car use and the most polluting vehicles.</w:t>
      </w:r>
      <w:r w:rsidRPr="00DE6C52">
        <w:rPr>
          <w:rStyle w:val="Style13ptBold"/>
          <w:b w:val="0"/>
          <w:sz w:val="12"/>
        </w:rPr>
        <w:t xml:space="preserve"> London-wide that’s represented by the </w:t>
      </w:r>
      <w:proofErr w:type="spellStart"/>
      <w:r w:rsidRPr="00DE6C52">
        <w:rPr>
          <w:rStyle w:val="Style13ptBold"/>
          <w:b w:val="0"/>
          <w:sz w:val="12"/>
        </w:rPr>
        <w:t>Ultra Low</w:t>
      </w:r>
      <w:proofErr w:type="spellEnd"/>
      <w:r w:rsidRPr="00DE6C52">
        <w:rPr>
          <w:rStyle w:val="Style13ptBold"/>
          <w:b w:val="0"/>
          <w:sz w:val="12"/>
        </w:rPr>
        <w:t xml:space="preserve">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So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car-based. We need to reimagine what our streets can be and make sure that they’re ready for that transition. It is about being more ambitious than just transitioning existing ways of the transport economy into something far more better and sustainable. We were in a session this morning that was looking for the big idea. And then you have the practical role of elected politicians who have to take their communities with them, and to be frank, we have to win elections to show that leadership. I think it’s absolutely important though that we show that leadership, but we also invest in the coproduction. So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car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that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them. MR. BRITTIN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So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So working with cities like Hackney, or I was looking at a project yesterday in Kampala [Uganda] where we’re supporting local engineers to collect data via air sensors about where pollution sits. And I think there’s a big piece here around getting data that allows local decision makers, communities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MR. TSE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so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so we may have to design a gateway so that climate change triggers a fundamental immune response. The danger of deep fakes As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author and facilitator; and Ashley Tolbert, senior security engineer, Netflix. Moderator: Farah Nayeri, a culture reporter for The New York Times. MS. NAYERI I think deep fakes first came to the general public’s attention in 2017 when there were a huge number of videos of celebrities and actors engaging in pornographic acts, which they actually never did in real life, going viral. And so this whole conversation, this whole debate, started getting inflamed right around that time. And nowadays, from what I understand, just about anybody can create a deep fake. Barnaby, let me turn to you. I know that your artist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is connected with,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So the real kind of key component here is literacy and context. So anything that I share online is contextualized as pieces of contemporary art, you know conceptual art pieces. So there’s always that kind of transparency in relation to the media that’s being shared, right? Unfortunately, we don’t get that in many of the forums or contexts of information that’s shared online as well. MS. NAYERI 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Estonia I had to renew my passport, I just go online. I had to upload a new picture because, you know, less hair and more gray,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MR. ILVES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fairly limited. So we’re going to have to actually school people to not believe what they see. MS. TOLBERT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So you’re essentially borrowing influence for a momentary motive. And then, once that seed is planted, it’s almost irreversible to basically go back and revert this spread of instant knowledge. So for me it’s the virality, it’s the fact that this line of disinformation and deep fakes, is just too powerful. The economy the pandemic broke The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actually look like? What kinds of partnerships are needed between the public and private sectors to actually make it happen? </w:t>
      </w:r>
      <w:proofErr w:type="spellStart"/>
      <w:r w:rsidRPr="00DE6C52">
        <w:rPr>
          <w:rStyle w:val="Style13ptBold"/>
          <w:b w:val="0"/>
          <w:sz w:val="12"/>
        </w:rPr>
        <w:t>Paanelists</w:t>
      </w:r>
      <w:proofErr w:type="spellEnd"/>
      <w:r w:rsidRPr="00DE6C52">
        <w:rPr>
          <w:rStyle w:val="Style13ptBold"/>
          <w:b w:val="0"/>
          <w:sz w:val="12"/>
        </w:rPr>
        <w:t xml:space="preserve">: Loukas </w:t>
      </w:r>
      <w:proofErr w:type="spellStart"/>
      <w:r w:rsidRPr="00DE6C52">
        <w:rPr>
          <w:rStyle w:val="Style13ptBold"/>
          <w:b w:val="0"/>
          <w:sz w:val="12"/>
        </w:rPr>
        <w:t>Tsoukalis</w:t>
      </w:r>
      <w:proofErr w:type="spellEnd"/>
      <w:r w:rsidRPr="00DE6C52">
        <w:rPr>
          <w:rStyle w:val="Style13ptBold"/>
          <w:b w:val="0"/>
          <w:sz w:val="12"/>
        </w:rPr>
        <w:t xml:space="preserve">, president of the </w:t>
      </w:r>
      <w:proofErr w:type="spellStart"/>
      <w:r w:rsidRPr="00DE6C52">
        <w:rPr>
          <w:rStyle w:val="Style13ptBold"/>
          <w:b w:val="0"/>
          <w:sz w:val="12"/>
        </w:rPr>
        <w:t>board,Eliamep</w:t>
      </w:r>
      <w:proofErr w:type="spellEnd"/>
      <w:r w:rsidRPr="00DE6C52">
        <w:rPr>
          <w:rStyle w:val="Style13ptBold"/>
          <w:b w:val="0"/>
          <w:sz w:val="12"/>
        </w:rPr>
        <w:t xml:space="preserve">; Azeem Azhar, founder, Exponential View; and Hervé </w:t>
      </w:r>
      <w:proofErr w:type="spellStart"/>
      <w:r w:rsidRPr="00DE6C52">
        <w:rPr>
          <w:rStyle w:val="Style13ptBold"/>
          <w:b w:val="0"/>
          <w:sz w:val="12"/>
        </w:rPr>
        <w:t>Berville</w:t>
      </w:r>
      <w:proofErr w:type="spellEnd"/>
      <w:r w:rsidRPr="00DE6C52">
        <w:rPr>
          <w:rStyle w:val="Style13ptBold"/>
          <w:b w:val="0"/>
          <w:sz w:val="12"/>
        </w:rPr>
        <w:t xml:space="preserv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So this mantra of “building back better” has become a new, in many ways, political catchphrase for an agenda that basically aims to better protect public services, tackle inequality and create a more shockproof economy while tackling climate change. </w:t>
      </w:r>
      <w:proofErr w:type="spellStart"/>
      <w:r w:rsidRPr="00DE6C52">
        <w:rPr>
          <w:rStyle w:val="Style13ptBold"/>
          <w:b w:val="0"/>
          <w:sz w:val="12"/>
        </w:rPr>
        <w:t>Loukis</w:t>
      </w:r>
      <w:proofErr w:type="spellEnd"/>
      <w:r w:rsidRPr="00DE6C52">
        <w:rPr>
          <w:rStyle w:val="Style13ptBold"/>
          <w:b w:val="0"/>
          <w:sz w:val="12"/>
        </w:rPr>
        <w:t xml:space="preserve">,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first of all,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experience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open up,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so we sit at a moment where we have to ask whether the traditional orthodoxies of our economics still make sense. Do they serve us? And they perhaps may serve a </w:t>
      </w:r>
    </w:p>
    <w:p w14:paraId="3EA18976" w14:textId="77777777" w:rsidR="007B710A" w:rsidRPr="00DE6C52" w:rsidRDefault="007B710A" w:rsidP="007B710A">
      <w:pPr>
        <w:rPr>
          <w:rStyle w:val="Style13ptBold"/>
          <w:b w:val="0"/>
          <w:bCs w:val="0"/>
          <w:sz w:val="16"/>
        </w:rPr>
      </w:pPr>
    </w:p>
    <w:p w14:paraId="56235366" w14:textId="77777777" w:rsidR="007B710A" w:rsidRPr="00DE6C52" w:rsidRDefault="007B710A" w:rsidP="007B710A">
      <w:pPr>
        <w:pStyle w:val="Heading4"/>
        <w:rPr>
          <w:rFonts w:cs="Arial"/>
        </w:rPr>
      </w:pPr>
      <w:r w:rsidRPr="00DE6C52">
        <w:rPr>
          <w:rFonts w:cs="Arial"/>
        </w:rPr>
        <w:t>Strikes are the internal link to uphold democracy – empirics prove</w:t>
      </w:r>
    </w:p>
    <w:p w14:paraId="24436099" w14:textId="77777777" w:rsidR="007B710A" w:rsidRPr="00DE6C52" w:rsidRDefault="007B710A" w:rsidP="007B710A">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47DDA0AD" w14:textId="77777777" w:rsidR="007B710A" w:rsidRPr="00DE6C52" w:rsidRDefault="007B710A" w:rsidP="007B710A">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1C69F78C" w14:textId="77777777" w:rsidR="007B710A" w:rsidRPr="00DE6C52" w:rsidRDefault="007B710A" w:rsidP="007B710A">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284A8283" w14:textId="77777777" w:rsidR="007B710A" w:rsidRPr="00DE6C52" w:rsidRDefault="007B710A" w:rsidP="007B710A">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2020 </w:t>
      </w:r>
      <w:hyperlink r:id="rId9"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4D7DAE76" w14:textId="77777777" w:rsidR="007B710A" w:rsidRDefault="007B710A" w:rsidP="007B710A">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police and the gas industry (</w:t>
      </w:r>
      <w:proofErr w:type="spellStart"/>
      <w:r w:rsidRPr="00DE6C52">
        <w:rPr>
          <w:sz w:val="14"/>
        </w:rPr>
        <w:t>Szolucha</w:t>
      </w:r>
      <w:proofErr w:type="spellEnd"/>
      <w:r w:rsidRPr="00DE6C52">
        <w:rPr>
          <w:sz w:val="14"/>
        </w:rPr>
        <w:t xml:space="preserve">, 2016, 2018). Regardless of their individual views on hydraulic fracturing, local residents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local residents,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democratic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expert-led and global rather than local (Eastin et al., 2011). A view from below was lacking, and the democratic and anti-authoritarian impulse that undoubtedly drove a lot of environmental activism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definitely marked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From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r w:rsidRPr="00DE6C52">
        <w:rPr>
          <w:rStyle w:val="Emphasis"/>
        </w:rPr>
        <w:t>local</w:t>
      </w:r>
      <w:r w:rsidRPr="00DE6C52">
        <w:rPr>
          <w:rStyle w:val="Emphasis"/>
          <w:highlight w:val="green"/>
        </w:rPr>
        <w:t xml:space="preserve"> residents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democratic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democratic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r w:rsidRPr="00DE6C52">
        <w:rPr>
          <w:sz w:val="14"/>
        </w:rPr>
        <w:t xml:space="preserve">So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as long as they remain grounded in everyday life concerns and activity of social groups regardless of individual income or identity</w:t>
      </w:r>
      <w:r w:rsidRPr="00DE6C52">
        <w:rPr>
          <w:sz w:val="14"/>
        </w:rPr>
        <w:t xml:space="preserve">. This is why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25B27E5F" w14:textId="77777777" w:rsidR="001C4B88" w:rsidRPr="00605A69" w:rsidRDefault="001C4B88" w:rsidP="001C4B88">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4BA6D90E" w14:textId="77777777" w:rsidR="001C4B88" w:rsidRPr="00DE6C52" w:rsidRDefault="001C4B88" w:rsidP="001C4B88">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5AE1C00E" w14:textId="77777777" w:rsidR="001C4B88" w:rsidRDefault="001C4B88" w:rsidP="001C4B88">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inequality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it is the often chaotic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0D1ED632" w14:textId="77777777" w:rsidR="001C4B88" w:rsidRDefault="001C4B88" w:rsidP="001C4B88"/>
    <w:p w14:paraId="66880B36" w14:textId="68E75117" w:rsidR="007B710A" w:rsidRPr="00DE6C52" w:rsidRDefault="007B710A" w:rsidP="007B710A">
      <w:pPr>
        <w:pStyle w:val="Heading3"/>
        <w:rPr>
          <w:rFonts w:cs="Arial"/>
        </w:rPr>
      </w:pPr>
      <w:r w:rsidRPr="00DE6C52">
        <w:rPr>
          <w:rFonts w:cs="Arial"/>
        </w:rPr>
        <w:t>1AC – Solvency – Plan</w:t>
      </w:r>
    </w:p>
    <w:p w14:paraId="0C230537" w14:textId="77777777" w:rsidR="007B710A" w:rsidRPr="00CD6EB0" w:rsidRDefault="007B710A" w:rsidP="007B710A">
      <w:pPr>
        <w:pStyle w:val="Heading4"/>
      </w:pPr>
      <w:r w:rsidRPr="00CD6EB0">
        <w:t xml:space="preserve">Thus the plan – </w:t>
      </w:r>
      <w:r w:rsidRPr="006E4E55">
        <w:t>The United Kingdom of Great Britain and Northern Ireland</w:t>
      </w:r>
      <w:r>
        <w:t xml:space="preserve"> </w:t>
      </w:r>
      <w:r w:rsidRPr="00CD6EB0">
        <w:t>should recognize an unconditional right for workers to strike</w:t>
      </w:r>
      <w:r>
        <w:t>.</w:t>
      </w:r>
    </w:p>
    <w:p w14:paraId="368BC65A" w14:textId="77777777" w:rsidR="007B710A" w:rsidRPr="00CD6EB0" w:rsidRDefault="007B710A" w:rsidP="007B710A">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https://theclarionmag.org/2019/09/09/workers-need-the-right-to-strike-for-climate-justice/ ] // </w:t>
      </w:r>
      <w:proofErr w:type="spellStart"/>
      <w:r>
        <w:t>aaditg</w:t>
      </w:r>
      <w:proofErr w:type="spellEnd"/>
    </w:p>
    <w:p w14:paraId="2B454D74" w14:textId="77777777" w:rsidR="007B710A" w:rsidRDefault="007B710A" w:rsidP="007B710A">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1CB91E0E" w14:textId="77777777" w:rsidR="007B710A" w:rsidRDefault="007B710A" w:rsidP="007B710A">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04C2BA6F" w14:textId="77777777" w:rsidR="007B710A" w:rsidRPr="00FA36D7" w:rsidRDefault="007B710A" w:rsidP="007B710A">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3D76E268" w14:textId="77777777" w:rsidR="007B710A" w:rsidRPr="00B54F49" w:rsidRDefault="007B710A" w:rsidP="007B710A">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4D87E75" w14:textId="77777777" w:rsidR="007B710A" w:rsidRPr="00B54F49" w:rsidRDefault="007B710A" w:rsidP="007B710A">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0781DB4" w14:textId="77777777" w:rsidR="007B710A" w:rsidRPr="00B54F49" w:rsidRDefault="007B710A" w:rsidP="007B710A">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B185C02" w14:textId="77777777" w:rsidR="007B710A" w:rsidRPr="00B54F49" w:rsidRDefault="007B710A" w:rsidP="007B710A">
      <w:pPr>
        <w:rPr>
          <w:sz w:val="16"/>
        </w:rPr>
      </w:pPr>
      <w:r w:rsidRPr="00B54F49">
        <w:rPr>
          <w:sz w:val="16"/>
        </w:rPr>
        <w:t>4 | CLIMATE STRIKES AS A GROWING TACTIC</w:t>
      </w:r>
    </w:p>
    <w:p w14:paraId="608E757E" w14:textId="77777777" w:rsidR="007B710A" w:rsidRPr="00B54F49" w:rsidRDefault="007B710A" w:rsidP="007B710A">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550D1C3" w14:textId="7AC1808D" w:rsidR="007B710A" w:rsidRPr="00B54F49" w:rsidRDefault="007B710A" w:rsidP="008553A4">
      <w:pPr>
        <w:rPr>
          <w:sz w:val="16"/>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w:t>
      </w:r>
    </w:p>
    <w:p w14:paraId="788BE2E7" w14:textId="77777777" w:rsidR="007B710A" w:rsidRDefault="007B710A" w:rsidP="007B710A">
      <w:pPr>
        <w:pStyle w:val="Heading4"/>
      </w:pPr>
      <w:r>
        <w:t xml:space="preserve">UK seeking climate leadership now, and climate reform gets modeled by other T15 </w:t>
      </w:r>
      <w:proofErr w:type="spellStart"/>
      <w:r>
        <w:t>fossel</w:t>
      </w:r>
      <w:proofErr w:type="spellEnd"/>
      <w:r>
        <w:t xml:space="preserve"> fuel financiers</w:t>
      </w:r>
    </w:p>
    <w:p w14:paraId="298CB98C" w14:textId="77777777" w:rsidR="007B710A" w:rsidRPr="00053043" w:rsidRDefault="007B710A" w:rsidP="007B710A">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2489B267" w14:textId="7E401062" w:rsidR="007B710A" w:rsidRPr="003A3CA4" w:rsidRDefault="007B710A" w:rsidP="008553A4">
      <w:pPr>
        <w:rPr>
          <w:bCs/>
          <w:sz w:val="12"/>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w:t>
      </w:r>
    </w:p>
    <w:p w14:paraId="098DC24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D6FF2"/>
    <w:rsid w:val="000139A3"/>
    <w:rsid w:val="000573FF"/>
    <w:rsid w:val="00100833"/>
    <w:rsid w:val="00104529"/>
    <w:rsid w:val="00105942"/>
    <w:rsid w:val="00107396"/>
    <w:rsid w:val="00144A4C"/>
    <w:rsid w:val="00176AB0"/>
    <w:rsid w:val="00177B7D"/>
    <w:rsid w:val="0018322D"/>
    <w:rsid w:val="001B5776"/>
    <w:rsid w:val="001C4B88"/>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FF2"/>
    <w:rsid w:val="00722258"/>
    <w:rsid w:val="007243E5"/>
    <w:rsid w:val="00766EA0"/>
    <w:rsid w:val="007A2226"/>
    <w:rsid w:val="007B710A"/>
    <w:rsid w:val="007F5B66"/>
    <w:rsid w:val="00823A1C"/>
    <w:rsid w:val="00845B9D"/>
    <w:rsid w:val="008553A4"/>
    <w:rsid w:val="00860984"/>
    <w:rsid w:val="008B3ECB"/>
    <w:rsid w:val="008B4E85"/>
    <w:rsid w:val="008C1B2E"/>
    <w:rsid w:val="008D448D"/>
    <w:rsid w:val="0091627E"/>
    <w:rsid w:val="0097032B"/>
    <w:rsid w:val="009D2EAD"/>
    <w:rsid w:val="009D54B2"/>
    <w:rsid w:val="009E1922"/>
    <w:rsid w:val="009F7ED2"/>
    <w:rsid w:val="00A93661"/>
    <w:rsid w:val="00A95652"/>
    <w:rsid w:val="00AC0AB8"/>
    <w:rsid w:val="00AE7E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5DB89"/>
  <w15:chartTrackingRefBased/>
  <w15:docId w15:val="{8FCB69CA-522E-4776-879D-4D48F47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FF2"/>
    <w:rPr>
      <w:rFonts w:ascii="Calibri" w:hAnsi="Calibri" w:cs="Calibri"/>
    </w:rPr>
  </w:style>
  <w:style w:type="paragraph" w:styleId="Heading1">
    <w:name w:val="heading 1"/>
    <w:aliases w:val="Pocket"/>
    <w:basedOn w:val="Normal"/>
    <w:next w:val="Normal"/>
    <w:link w:val="Heading1Char"/>
    <w:qFormat/>
    <w:rsid w:val="006D6F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6D6F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D6F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6D6FF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B710A"/>
    <w:pPr>
      <w:keepNext/>
      <w:keepLines/>
      <w:spacing w:before="220" w:after="40"/>
      <w:outlineLvl w:val="4"/>
    </w:pPr>
    <w:rPr>
      <w:b/>
    </w:rPr>
  </w:style>
  <w:style w:type="paragraph" w:styleId="Heading6">
    <w:name w:val="heading 6"/>
    <w:basedOn w:val="Normal"/>
    <w:next w:val="Normal"/>
    <w:link w:val="Heading6Char"/>
    <w:uiPriority w:val="9"/>
    <w:unhideWhenUsed/>
    <w:qFormat/>
    <w:rsid w:val="007B710A"/>
    <w:pPr>
      <w:keepNext/>
      <w:keepLines/>
      <w:spacing w:before="200" w:after="40"/>
      <w:outlineLvl w:val="5"/>
    </w:pPr>
    <w:rPr>
      <w:b/>
      <w:sz w:val="20"/>
      <w:szCs w:val="20"/>
    </w:rPr>
  </w:style>
  <w:style w:type="character" w:default="1" w:styleId="DefaultParagraphFont">
    <w:name w:val="Default Paragraph Font"/>
    <w:uiPriority w:val="1"/>
    <w:semiHidden/>
    <w:unhideWhenUsed/>
    <w:rsid w:val="006D6F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FF2"/>
  </w:style>
  <w:style w:type="character" w:customStyle="1" w:styleId="Heading1Char">
    <w:name w:val="Heading 1 Char"/>
    <w:aliases w:val="Pocket Char"/>
    <w:basedOn w:val="DefaultParagraphFont"/>
    <w:link w:val="Heading1"/>
    <w:rsid w:val="006D6FF2"/>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6D6FF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6D6FF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D6FF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D6FF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6FF2"/>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D6FF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6D6FF2"/>
    <w:rPr>
      <w:color w:val="auto"/>
      <w:u w:val="none"/>
    </w:rPr>
  </w:style>
  <w:style w:type="character" w:styleId="FollowedHyperlink">
    <w:name w:val="FollowedHyperlink"/>
    <w:basedOn w:val="DefaultParagraphFont"/>
    <w:uiPriority w:val="99"/>
    <w:semiHidden/>
    <w:unhideWhenUsed/>
    <w:rsid w:val="006D6FF2"/>
    <w:rPr>
      <w:color w:val="auto"/>
      <w:u w:val="none"/>
    </w:rPr>
  </w:style>
  <w:style w:type="paragraph" w:customStyle="1" w:styleId="Emphasis1">
    <w:name w:val="Emphasis1"/>
    <w:basedOn w:val="Normal"/>
    <w:link w:val="Emphasis"/>
    <w:uiPriority w:val="7"/>
    <w:qFormat/>
    <w:rsid w:val="007B710A"/>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Heading5Char">
    <w:name w:val="Heading 5 Char"/>
    <w:basedOn w:val="DefaultParagraphFont"/>
    <w:link w:val="Heading5"/>
    <w:uiPriority w:val="9"/>
    <w:rsid w:val="007B710A"/>
    <w:rPr>
      <w:rFonts w:ascii="Calibri" w:hAnsi="Calibri" w:cs="Calibri"/>
      <w:b/>
    </w:rPr>
  </w:style>
  <w:style w:type="character" w:customStyle="1" w:styleId="Heading6Char">
    <w:name w:val="Heading 6 Char"/>
    <w:basedOn w:val="DefaultParagraphFont"/>
    <w:link w:val="Heading6"/>
    <w:uiPriority w:val="9"/>
    <w:rsid w:val="007B710A"/>
    <w:rPr>
      <w:rFonts w:ascii="Calibri" w:hAnsi="Calibri" w:cs="Calibri"/>
      <w:b/>
      <w:sz w:val="20"/>
      <w:szCs w:val="20"/>
    </w:rPr>
  </w:style>
  <w:style w:type="character" w:customStyle="1" w:styleId="UnresolvedMention1">
    <w:name w:val="Unresolved Mention1"/>
    <w:basedOn w:val="DefaultParagraphFont"/>
    <w:uiPriority w:val="99"/>
    <w:semiHidden/>
    <w:unhideWhenUsed/>
    <w:rsid w:val="007B710A"/>
    <w:rPr>
      <w:color w:val="605E5C"/>
      <w:shd w:val="clear" w:color="auto" w:fill="E1DFDD"/>
    </w:rPr>
  </w:style>
  <w:style w:type="paragraph" w:styleId="DocumentMap">
    <w:name w:val="Document Map"/>
    <w:basedOn w:val="Normal"/>
    <w:link w:val="DocumentMapChar"/>
    <w:uiPriority w:val="99"/>
    <w:semiHidden/>
    <w:unhideWhenUsed/>
    <w:rsid w:val="007B71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710A"/>
    <w:rPr>
      <w:rFonts w:ascii="Lucida Grande" w:hAnsi="Lucida Grande" w:cs="Lucida Grande"/>
      <w:sz w:val="24"/>
    </w:rPr>
  </w:style>
  <w:style w:type="paragraph" w:styleId="ListParagraph">
    <w:name w:val="List Paragraph"/>
    <w:aliases w:val="6 font"/>
    <w:basedOn w:val="Normal"/>
    <w:uiPriority w:val="34"/>
    <w:unhideWhenUsed/>
    <w:qFormat/>
    <w:rsid w:val="007B710A"/>
    <w:pPr>
      <w:ind w:left="720"/>
      <w:contextualSpacing/>
    </w:pPr>
  </w:style>
  <w:style w:type="paragraph" w:customStyle="1" w:styleId="textbold">
    <w:name w:val="text bold"/>
    <w:autoRedefine/>
    <w:uiPriority w:val="7"/>
    <w:qFormat/>
    <w:rsid w:val="007B710A"/>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B710A"/>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7B710A"/>
    <w:pPr>
      <w:tabs>
        <w:tab w:val="center" w:pos="4680"/>
        <w:tab w:val="right" w:pos="9360"/>
      </w:tabs>
    </w:pPr>
  </w:style>
  <w:style w:type="character" w:customStyle="1" w:styleId="HeaderChar">
    <w:name w:val="Header Char"/>
    <w:basedOn w:val="DefaultParagraphFont"/>
    <w:link w:val="Header"/>
    <w:uiPriority w:val="99"/>
    <w:rsid w:val="007B710A"/>
    <w:rPr>
      <w:rFonts w:ascii="Calibri" w:hAnsi="Calibri" w:cs="Calibri"/>
    </w:rPr>
  </w:style>
  <w:style w:type="paragraph" w:styleId="Footer">
    <w:name w:val="footer"/>
    <w:basedOn w:val="Normal"/>
    <w:link w:val="FooterChar"/>
    <w:uiPriority w:val="99"/>
    <w:unhideWhenUsed/>
    <w:rsid w:val="007B710A"/>
    <w:pPr>
      <w:tabs>
        <w:tab w:val="center" w:pos="4680"/>
        <w:tab w:val="right" w:pos="9360"/>
      </w:tabs>
    </w:pPr>
  </w:style>
  <w:style w:type="character" w:customStyle="1" w:styleId="FooterChar">
    <w:name w:val="Footer Char"/>
    <w:basedOn w:val="DefaultParagraphFont"/>
    <w:link w:val="Footer"/>
    <w:uiPriority w:val="99"/>
    <w:rsid w:val="007B710A"/>
    <w:rPr>
      <w:rFonts w:ascii="Calibri" w:hAnsi="Calibri" w:cs="Calibri"/>
    </w:rPr>
  </w:style>
  <w:style w:type="character" w:styleId="PageNumber">
    <w:name w:val="page number"/>
    <w:basedOn w:val="DefaultParagraphFont"/>
    <w:uiPriority w:val="99"/>
    <w:semiHidden/>
    <w:unhideWhenUsed/>
    <w:rsid w:val="007B710A"/>
  </w:style>
  <w:style w:type="character" w:customStyle="1" w:styleId="Heading2Char1">
    <w:name w:val="Heading 2 Char1"/>
    <w:aliases w:val="Hat Char1,No Spacing3 Char1"/>
    <w:basedOn w:val="DefaultParagraphFont"/>
    <w:uiPriority w:val="9"/>
    <w:semiHidden/>
    <w:rsid w:val="007B710A"/>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7B710A"/>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7B710A"/>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7B710A"/>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7B710A"/>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7B710A"/>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7B710A"/>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7B710A"/>
    <w:rPr>
      <w:rFonts w:ascii="Georgia" w:eastAsia="Georgia" w:hAnsi="Georgia" w:cs="Georgia"/>
      <w:i/>
      <w:color w:val="666666"/>
      <w:sz w:val="48"/>
      <w:szCs w:val="48"/>
    </w:rPr>
  </w:style>
  <w:style w:type="paragraph" w:customStyle="1" w:styleId="cardbody">
    <w:name w:val="cardbody"/>
    <w:basedOn w:val="Normal"/>
    <w:qFormat/>
    <w:rsid w:val="007B710A"/>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7B710A"/>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B710A"/>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9.5 p"/>
    <w:basedOn w:val="DefaultParagraphFont"/>
    <w:uiPriority w:val="6"/>
    <w:qFormat/>
    <w:rsid w:val="007B710A"/>
    <w:rPr>
      <w:b w:val="0"/>
      <w:bCs w:val="0"/>
      <w:sz w:val="22"/>
      <w:u w:val="single"/>
    </w:rPr>
  </w:style>
  <w:style w:type="character" w:customStyle="1" w:styleId="DocumentMapChar1">
    <w:name w:val="Document Map Char1"/>
    <w:basedOn w:val="DefaultParagraphFont"/>
    <w:uiPriority w:val="99"/>
    <w:semiHidden/>
    <w:rsid w:val="007B710A"/>
    <w:rPr>
      <w:rFonts w:ascii="Segoe UI" w:eastAsiaTheme="minorEastAsia" w:hAnsi="Segoe UI" w:cs="Segoe UI"/>
      <w:sz w:val="16"/>
      <w:szCs w:val="16"/>
    </w:rPr>
  </w:style>
  <w:style w:type="paragraph" w:styleId="Subtitle">
    <w:name w:val="Subtitle"/>
    <w:basedOn w:val="Normal"/>
    <w:next w:val="Normal"/>
    <w:link w:val="SubtitleChar"/>
    <w:uiPriority w:val="11"/>
    <w:qFormat/>
    <w:rsid w:val="007B710A"/>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B710A"/>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7B710A"/>
    <w:rPr>
      <w:color w:val="605E5C"/>
      <w:shd w:val="clear" w:color="auto" w:fill="E1DFDD"/>
    </w:rPr>
  </w:style>
  <w:style w:type="character" w:customStyle="1" w:styleId="UnresolvedMention3">
    <w:name w:val="Unresolved Mention3"/>
    <w:basedOn w:val="DefaultParagraphFont"/>
    <w:uiPriority w:val="99"/>
    <w:semiHidden/>
    <w:rsid w:val="007B710A"/>
    <w:rPr>
      <w:color w:val="605E5C"/>
      <w:shd w:val="clear" w:color="auto" w:fill="E1DFDD"/>
    </w:rPr>
  </w:style>
  <w:style w:type="paragraph" w:styleId="FootnoteText">
    <w:name w:val="footnote text"/>
    <w:basedOn w:val="Normal"/>
    <w:link w:val="FootnoteTextChar"/>
    <w:uiPriority w:val="99"/>
    <w:unhideWhenUsed/>
    <w:qFormat/>
    <w:rsid w:val="007B710A"/>
    <w:rPr>
      <w:rFonts w:ascii="SimSun" w:hAnsi="SimSun" w:cstheme="minorBidi"/>
      <w:lang w:eastAsia="ja-JP"/>
    </w:rPr>
  </w:style>
  <w:style w:type="character" w:customStyle="1" w:styleId="FootnoteTextChar1">
    <w:name w:val="Footnote Text Char1"/>
    <w:basedOn w:val="DefaultParagraphFont"/>
    <w:uiPriority w:val="99"/>
    <w:semiHidden/>
    <w:rsid w:val="007B710A"/>
    <w:rPr>
      <w:rFonts w:ascii="Calibri" w:hAnsi="Calibri" w:cs="Calibri"/>
      <w:sz w:val="20"/>
      <w:szCs w:val="20"/>
    </w:rPr>
  </w:style>
  <w:style w:type="character" w:customStyle="1" w:styleId="HeaderChar1">
    <w:name w:val="Header Char1"/>
    <w:basedOn w:val="DefaultParagraphFont"/>
    <w:uiPriority w:val="99"/>
    <w:semiHidden/>
    <w:rsid w:val="007B710A"/>
    <w:rPr>
      <w:rFonts w:ascii="Calibri" w:hAnsi="Calibri"/>
      <w:sz w:val="22"/>
    </w:rPr>
  </w:style>
  <w:style w:type="character" w:customStyle="1" w:styleId="FooterChar1">
    <w:name w:val="Footer Char1"/>
    <w:basedOn w:val="DefaultParagraphFont"/>
    <w:uiPriority w:val="99"/>
    <w:semiHidden/>
    <w:rsid w:val="007B710A"/>
    <w:rPr>
      <w:rFonts w:ascii="Calibri" w:hAnsi="Calibri"/>
      <w:sz w:val="22"/>
    </w:rPr>
  </w:style>
  <w:style w:type="character" w:customStyle="1" w:styleId="highlight2">
    <w:name w:val="highlight2"/>
    <w:basedOn w:val="DefaultParagraphFont"/>
    <w:rsid w:val="007B710A"/>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B710A"/>
  </w:style>
  <w:style w:type="paragraph" w:styleId="NoSpacing">
    <w:name w:val="No Spacing"/>
    <w:aliases w:val="Card Format,ClearFormatting,DDI Tag,Tag Title,No Spacing51,No Spacing31,No Spacing22,Very Small Text,Dont u,No Spacing311,Medium Grid 21,Cle,Note Level 21"/>
    <w:uiPriority w:val="99"/>
    <w:qFormat/>
    <w:rsid w:val="007B710A"/>
    <w:pPr>
      <w:spacing w:after="0" w:line="240" w:lineRule="auto"/>
    </w:pPr>
    <w:rPr>
      <w:rFonts w:ascii="Calibri" w:eastAsia="Calibri" w:hAnsi="Calibri" w:cs="Calibri"/>
    </w:rPr>
  </w:style>
  <w:style w:type="character" w:customStyle="1" w:styleId="apple-converted-space">
    <w:name w:val="apple-converted-space"/>
    <w:basedOn w:val="DefaultParagraphFont"/>
    <w:rsid w:val="007B710A"/>
  </w:style>
  <w:style w:type="character" w:customStyle="1" w:styleId="UnresolvedMention4">
    <w:name w:val="Unresolved Mention4"/>
    <w:basedOn w:val="DefaultParagraphFont"/>
    <w:uiPriority w:val="99"/>
    <w:semiHidden/>
    <w:unhideWhenUsed/>
    <w:rsid w:val="007B710A"/>
    <w:rPr>
      <w:color w:val="605E5C"/>
      <w:shd w:val="clear" w:color="auto" w:fill="E1DFDD"/>
    </w:rPr>
  </w:style>
  <w:style w:type="paragraph" w:styleId="BalloonText">
    <w:name w:val="Balloon Text"/>
    <w:basedOn w:val="Normal"/>
    <w:link w:val="BalloonTextChar"/>
    <w:uiPriority w:val="99"/>
    <w:semiHidden/>
    <w:unhideWhenUsed/>
    <w:rsid w:val="007B71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10A"/>
    <w:rPr>
      <w:rFonts w:ascii="Segoe UI" w:hAnsi="Segoe UI" w:cs="Segoe UI"/>
      <w:sz w:val="18"/>
      <w:szCs w:val="18"/>
    </w:rPr>
  </w:style>
  <w:style w:type="numbering" w:customStyle="1" w:styleId="NoList1">
    <w:name w:val="No List1"/>
    <w:next w:val="NoList"/>
    <w:uiPriority w:val="99"/>
    <w:semiHidden/>
    <w:unhideWhenUsed/>
    <w:rsid w:val="007B710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B710A"/>
    <w:pPr>
      <w:spacing w:after="0" w:line="240" w:lineRule="auto"/>
    </w:pPr>
    <w:rPr>
      <w:rFonts w:eastAsiaTheme="minorEastAsia"/>
      <w:szCs w:val="24"/>
      <w:u w:val="single"/>
    </w:rPr>
  </w:style>
  <w:style w:type="character" w:customStyle="1" w:styleId="underlinedChar">
    <w:name w:val="underlined Char"/>
    <w:link w:val="underlined"/>
    <w:locked/>
    <w:rsid w:val="007B710A"/>
  </w:style>
  <w:style w:type="paragraph" w:customStyle="1" w:styleId="underlined">
    <w:name w:val="underlined"/>
    <w:next w:val="Normal"/>
    <w:link w:val="underlinedChar"/>
    <w:autoRedefine/>
    <w:rsid w:val="007B710A"/>
    <w:pPr>
      <w:spacing w:after="0" w:line="240" w:lineRule="auto"/>
      <w:contextualSpacing/>
    </w:pPr>
  </w:style>
  <w:style w:type="character" w:customStyle="1" w:styleId="underline">
    <w:name w:val="underline"/>
    <w:basedOn w:val="DefaultParagraphFont"/>
    <w:qFormat/>
    <w:rsid w:val="007B710A"/>
    <w:rPr>
      <w:u w:val="single"/>
    </w:rPr>
  </w:style>
  <w:style w:type="paragraph" w:customStyle="1" w:styleId="card">
    <w:name w:val="card"/>
    <w:aliases w:val="Tags,Debate Text,No Spacing11,No Spacing111,No Spacing2,Read stuff"/>
    <w:basedOn w:val="Normal"/>
    <w:uiPriority w:val="1"/>
    <w:qFormat/>
    <w:rsid w:val="007B710A"/>
    <w:pPr>
      <w:ind w:left="288" w:right="288"/>
    </w:pPr>
    <w:rPr>
      <w:szCs w:val="20"/>
    </w:rPr>
  </w:style>
  <w:style w:type="paragraph" w:customStyle="1" w:styleId="paragraph">
    <w:name w:val="paragraph"/>
    <w:basedOn w:val="Normal"/>
    <w:rsid w:val="007B710A"/>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7B710A"/>
  </w:style>
  <w:style w:type="character" w:customStyle="1" w:styleId="eop">
    <w:name w:val="eop"/>
    <w:basedOn w:val="DefaultParagraphFont"/>
    <w:rsid w:val="007B710A"/>
  </w:style>
  <w:style w:type="character" w:customStyle="1" w:styleId="contextualspellingandgrammarerror">
    <w:name w:val="contextualspellingandgrammarerror"/>
    <w:basedOn w:val="DefaultParagraphFont"/>
    <w:rsid w:val="007B710A"/>
  </w:style>
  <w:style w:type="paragraph" w:customStyle="1" w:styleId="Cards">
    <w:name w:val="Cards"/>
    <w:next w:val="Normal"/>
    <w:link w:val="CardsChar"/>
    <w:qFormat/>
    <w:rsid w:val="007B710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B710A"/>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7B710A"/>
    <w:rPr>
      <w:rFonts w:ascii="Times New Roman" w:hAnsi="Times New Roman" w:cs="Times New Roman"/>
      <w:b/>
      <w:color w:val="auto"/>
      <w:sz w:val="24"/>
      <w:u w:val="single"/>
    </w:rPr>
  </w:style>
  <w:style w:type="character" w:customStyle="1" w:styleId="LDCut">
    <w:name w:val="LD Cut"/>
    <w:basedOn w:val="DefaultParagraphFont"/>
    <w:uiPriority w:val="1"/>
    <w:qFormat/>
    <w:rsid w:val="007B710A"/>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B710A"/>
    <w:rPr>
      <w:b/>
      <w:bCs/>
    </w:rPr>
  </w:style>
  <w:style w:type="character" w:customStyle="1" w:styleId="m-2350980578315152805gmail-styleunderline">
    <w:name w:val="m_-2350980578315152805gmail-styleunderline"/>
    <w:basedOn w:val="DefaultParagraphFont"/>
    <w:rsid w:val="007B710A"/>
  </w:style>
  <w:style w:type="character" w:customStyle="1" w:styleId="m-2350980578315152805gmail-style13ptbold">
    <w:name w:val="m_-2350980578315152805gmail-style13ptbold"/>
    <w:basedOn w:val="DefaultParagraphFont"/>
    <w:rsid w:val="007B710A"/>
  </w:style>
  <w:style w:type="paragraph" w:customStyle="1" w:styleId="m-2350980578315152805gmail-cardtext">
    <w:name w:val="m_-2350980578315152805gmail-cardtext"/>
    <w:basedOn w:val="Normal"/>
    <w:rsid w:val="007B710A"/>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B710A"/>
    <w:pPr>
      <w:ind w:left="432" w:right="432"/>
    </w:pPr>
    <w:rPr>
      <w:color w:val="000000"/>
      <w:lang w:val="x-none" w:eastAsia="x-none"/>
    </w:rPr>
  </w:style>
  <w:style w:type="character" w:customStyle="1" w:styleId="evidencetextChar1">
    <w:name w:val="evidence text Char1"/>
    <w:link w:val="evidencetext"/>
    <w:rsid w:val="007B710A"/>
    <w:rPr>
      <w:rFonts w:ascii="Calibri" w:hAnsi="Calibri" w:cs="Calibri"/>
      <w:color w:val="000000"/>
      <w:lang w:val="x-none" w:eastAsia="x-none"/>
    </w:rPr>
  </w:style>
  <w:style w:type="character" w:customStyle="1" w:styleId="il">
    <w:name w:val="il"/>
    <w:rsid w:val="007B710A"/>
  </w:style>
  <w:style w:type="character" w:customStyle="1" w:styleId="spellingerror">
    <w:name w:val="spellingerror"/>
    <w:basedOn w:val="DefaultParagraphFont"/>
    <w:rsid w:val="007B710A"/>
  </w:style>
  <w:style w:type="character" w:customStyle="1" w:styleId="num">
    <w:name w:val="num"/>
    <w:basedOn w:val="DefaultParagraphFont"/>
    <w:rsid w:val="007B710A"/>
  </w:style>
  <w:style w:type="character" w:customStyle="1" w:styleId="letter">
    <w:name w:val="letter"/>
    <w:basedOn w:val="DefaultParagraphFont"/>
    <w:rsid w:val="007B710A"/>
  </w:style>
  <w:style w:type="character" w:customStyle="1" w:styleId="dttext">
    <w:name w:val="dttext"/>
    <w:basedOn w:val="DefaultParagraphFont"/>
    <w:rsid w:val="007B710A"/>
  </w:style>
  <w:style w:type="character" w:customStyle="1" w:styleId="sdsense">
    <w:name w:val="sdsense"/>
    <w:basedOn w:val="DefaultParagraphFont"/>
    <w:rsid w:val="007B710A"/>
  </w:style>
  <w:style w:type="character" w:customStyle="1" w:styleId="sd">
    <w:name w:val="sd"/>
    <w:basedOn w:val="DefaultParagraphFont"/>
    <w:rsid w:val="007B710A"/>
  </w:style>
  <w:style w:type="character" w:styleId="FootnoteReference">
    <w:name w:val="footnote reference"/>
    <w:basedOn w:val="DefaultParagraphFont"/>
    <w:uiPriority w:val="99"/>
    <w:semiHidden/>
    <w:unhideWhenUsed/>
    <w:rsid w:val="007B710A"/>
    <w:rPr>
      <w:vertAlign w:val="superscript"/>
    </w:rPr>
  </w:style>
  <w:style w:type="paragraph" w:customStyle="1" w:styleId="Style2">
    <w:name w:val="Style2"/>
    <w:basedOn w:val="Heading1"/>
    <w:link w:val="Style2Char"/>
    <w:autoRedefine/>
    <w:uiPriority w:val="4"/>
    <w:qFormat/>
    <w:rsid w:val="007B710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B710A"/>
    <w:rPr>
      <w:rFonts w:ascii="Calibri" w:eastAsiaTheme="majorEastAsia" w:hAnsi="Calibri" w:cstheme="majorBidi"/>
      <w:b/>
      <w:color w:val="FF0000"/>
      <w:sz w:val="28"/>
      <w:szCs w:val="28"/>
    </w:rPr>
  </w:style>
  <w:style w:type="paragraph" w:styleId="Revision">
    <w:name w:val="Revision"/>
    <w:hidden/>
    <w:uiPriority w:val="99"/>
    <w:semiHidden/>
    <w:rsid w:val="007B710A"/>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7B71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3" Type="http://schemas.openxmlformats.org/officeDocument/2006/relationships/styles" Target="styles.xml"/><Relationship Id="rId7" Type="http://schemas.openxmlformats.org/officeDocument/2006/relationships/hyperlink" Target="https://www.nytimes.com/2021/10/07/world/global-challenge-solution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pendemocracy.net/en/oureconomy/the-uk-government-is-using-levelling-up-to-hide-a-crackdown-on-political-dissen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16909</Words>
  <Characters>96383</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4</cp:revision>
  <dcterms:created xsi:type="dcterms:W3CDTF">2021-11-06T18:39:00Z</dcterms:created>
  <dcterms:modified xsi:type="dcterms:W3CDTF">2021-11-06T19:08:00Z</dcterms:modified>
</cp:coreProperties>
</file>