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3D16" w14:textId="0B4EAA10" w:rsidR="008773C9" w:rsidRDefault="008773C9" w:rsidP="008773C9">
      <w:pPr>
        <w:pStyle w:val="Heading1"/>
      </w:pPr>
      <w:r>
        <w:t>2nr</w:t>
      </w:r>
    </w:p>
    <w:p w14:paraId="63DED238" w14:textId="7633A733" w:rsidR="008773C9" w:rsidRDefault="008773C9" w:rsidP="008773C9"/>
    <w:p w14:paraId="2966BAD8" w14:textId="77777777" w:rsidR="008773C9" w:rsidRPr="008773C9" w:rsidRDefault="008773C9" w:rsidP="008773C9">
      <w:pPr>
        <w:rPr>
          <w:color w:val="000000" w:themeColor="text1"/>
        </w:rPr>
      </w:pPr>
    </w:p>
    <w:p w14:paraId="11B9E089" w14:textId="42A6527C" w:rsidR="008773C9" w:rsidRDefault="008773C9" w:rsidP="008773C9">
      <w:pPr>
        <w:pStyle w:val="Heading1"/>
      </w:pPr>
      <w:r>
        <w:t>1nc</w:t>
      </w:r>
    </w:p>
    <w:p w14:paraId="39FB2DE9" w14:textId="04502576" w:rsidR="00EE79D6" w:rsidRDefault="001802DC" w:rsidP="00EE79D6">
      <w:pPr>
        <w:pStyle w:val="Heading2"/>
      </w:pPr>
      <w:r>
        <w:t>1</w:t>
      </w:r>
    </w:p>
    <w:p w14:paraId="1F0F4C09" w14:textId="77777777" w:rsidR="00EE79D6" w:rsidRDefault="00EE79D6" w:rsidP="00EE79D6">
      <w:pPr>
        <w:pStyle w:val="Heading4"/>
      </w:pPr>
      <w:r>
        <w:t>Indigeneity connotates a state of non-ontology allowing for the construction of the human that legitimizes its self into a history of elimination, jettisoned from or assimilated into the national body to cohere settler temporality</w:t>
      </w:r>
    </w:p>
    <w:p w14:paraId="28E4AD18" w14:textId="77777777" w:rsidR="00EE79D6" w:rsidRPr="00B82D2B" w:rsidRDefault="00EE79D6" w:rsidP="00EE79D6">
      <w:pPr>
        <w:jc w:val="both"/>
      </w:pPr>
      <w:r w:rsidRPr="00B82D2B">
        <w:rPr>
          <w:rStyle w:val="Style13ptBold"/>
        </w:rPr>
        <w:t>Belcourt 16</w:t>
      </w:r>
      <w:r w:rsidRPr="00B82D2B">
        <w:t xml:space="preserve">. Billy-Ray Belcourt is from the Driftpile Cree Nation. He is a 2016 Rhodes Scholar and is reading for an M.St. in Women’s Studies at the University of Oxford. He was named by CBC Books as one of six Indigenous writers to watch, and his poetry has been published or is forthcoming in Assaracus: A Journal of Gay Poetry, Red Rising Magazine, SAD Mag, mâmawi-âcimowak, PRISM International, and The Malahat Review. ("A POLTERGEIST MANIFESTO," 2016, </w:t>
      </w:r>
      <w:r w:rsidRPr="00B82D2B">
        <w:rPr>
          <w:i/>
        </w:rPr>
        <w:t>Feral Feminism</w:t>
      </w:r>
      <w:r w:rsidRPr="00B82D2B">
        <w:t>)</w:t>
      </w:r>
      <w:r>
        <w:t xml:space="preserve"> </w:t>
      </w:r>
      <w:r w:rsidRPr="00B82D2B">
        <w:t>vikas</w:t>
      </w:r>
      <w:r>
        <w:t xml:space="preserve"> recut aaditg</w:t>
      </w:r>
    </w:p>
    <w:p w14:paraId="67D1318E" w14:textId="77777777" w:rsidR="00EE79D6" w:rsidRPr="00B82D2B" w:rsidRDefault="00EE79D6" w:rsidP="00EE79D6">
      <w:pPr>
        <w:rPr>
          <w:sz w:val="12"/>
        </w:rPr>
      </w:pPr>
      <w:r w:rsidRPr="00B82D2B">
        <w:rPr>
          <w:sz w:val="12"/>
        </w:rPr>
        <w:t xml:space="preserve">Admittedly, the feral is a precarious space from which to theorize, sullied with an injurability bound up in the work of liberal humanism as such, an enterprise that weaponizes a set of moral barometers to distribute ferality unevenly to differently citizened and raced bodies—ones that are too close for comfort and must be pushed outside arm’s reach. </w:t>
      </w:r>
      <w:r w:rsidRPr="00B82D2B">
        <w:rPr>
          <w:u w:val="single"/>
        </w:rPr>
        <w:t xml:space="preserve">Perhaps </w:t>
      </w:r>
      <w:r w:rsidRPr="00BC0949">
        <w:rPr>
          <w:highlight w:val="cyan"/>
          <w:u w:val="single"/>
        </w:rPr>
        <w:t xml:space="preserve">ferality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eliminating recalcitrant indigeneities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salvaticus, an alteration of silvaticus,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indigeneities—and,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From filthy little heathens? Their whole disgusting race is like a curse Their skin’s a hellish red They’re only good when dead They’re vermin, as I said And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coterminously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citizenship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This paper is therefore interested in the subjectivities and forms of sociality that savagery destroys when applied from without, and the political work of appropriating that savagery in the name of decolonization. Ours is a form of indigeneity that hints at a fundamental pollutability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ferality as a politics in a world bent on our destruction—a world that eliminates indigeneities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laboured in the here and now and “an alternative to how we want to think about being” in and outside an authoritarian state (2013, 126-27). Perhaps the wild risks the decolonial, a geography of life-building that dreams up tomorrows whose referents are the fractured indigeneities struggling to survive a historical present built on our suffering. Ferality is a stepping stone to a future grounded in Indigenous peoples’ legal and political orders. This paper does not traffic in teleologies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in order to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exorcising the spectre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socialities.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in order to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(Bodinger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include: those who are differently queered and gendered, and, because of this, haunt waywardly and in ways that cannot be easily predicted (Ahmed 2015). This paper thus takes an imaginative turn and proceeds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pillage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poltern meaning “[to] make noise, [to] rattle” and Geist or “ghost,” it literally means “noisy ghost,” speaking into existence an anti-subjectivity that emerges in the aftermath of death or murder (“Poltergeist”). It is the subject of Tobe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pissed off.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ruins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quarantining their putatively contaminated flesh outside modern life in order to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frictive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Socialities I must leave the beaten path and go where we are not. Queerness, according to Muñoz, is not yet here; it is an ideality that “we may never touch,” that propels us onward (2009, 1). Likewise, Halberstam suggests that the presentness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queernesses are saturated with the trauma of colonialism’s becoming-structure. Queer death doubles as the settler state’s condition of possibility. Pre-contact queer indigeneities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presentness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6E967B50" w14:textId="77777777" w:rsidR="00EE79D6" w:rsidRPr="0024555B" w:rsidRDefault="00EE79D6" w:rsidP="00EE79D6">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Kant’s knowing subject is modeled as the norm of the ideal settler and serve hierarchal structures of settler colonialism</w:t>
      </w:r>
    </w:p>
    <w:p w14:paraId="1E05944A" w14:textId="77777777" w:rsidR="00EE79D6" w:rsidRPr="0024555B" w:rsidRDefault="00EE79D6" w:rsidP="00EE79D6">
      <w:pPr>
        <w:rPr>
          <w:rFonts w:asciiTheme="minorHAnsi" w:hAnsiTheme="minorHAnsi" w:cstheme="minorHAnsi"/>
          <w:sz w:val="16"/>
          <w:szCs w:val="16"/>
        </w:rPr>
      </w:pPr>
      <w:r w:rsidRPr="0024555B">
        <w:rPr>
          <w:rFonts w:asciiTheme="minorHAnsi" w:hAnsiTheme="minorHAnsi" w:cstheme="minorHAnsi"/>
          <w:b/>
        </w:rPr>
        <w:t>Stoneman 18</w:t>
      </w:r>
      <w:r w:rsidRPr="0024555B">
        <w:rPr>
          <w:rFonts w:asciiTheme="minorHAnsi" w:hAnsiTheme="minorHAnsi" w:cstheme="minorHAnsi"/>
          <w:sz w:val="16"/>
          <w:szCs w:val="16"/>
        </w:rPr>
        <w:t xml:space="preserve">, Betty. [Dept. of Philosophy, 561 S. Kilgo Circle, Emory University] The Epistemological and Ethical Functions of Kant’s Binary and Foucault’s Critique of Critique of the Binary. </w:t>
      </w:r>
      <w:hyperlink r:id="rId9">
        <w:r w:rsidRPr="0024555B">
          <w:rPr>
            <w:rFonts w:asciiTheme="minorHAnsi" w:hAnsiTheme="minorHAnsi" w:cstheme="minorHAnsi"/>
            <w:sz w:val="16"/>
            <w:szCs w:val="16"/>
          </w:rPr>
          <w:t>June 7, 2018</w:t>
        </w:r>
      </w:hyperlink>
      <w:r w:rsidRPr="0024555B">
        <w:rPr>
          <w:rFonts w:asciiTheme="minorHAnsi" w:hAnsiTheme="minorHAnsi" w:cstheme="minorHAnsi"/>
          <w:sz w:val="16"/>
          <w:szCs w:val="16"/>
        </w:rPr>
        <w:t xml:space="preserve">. </w:t>
      </w:r>
      <w:hyperlink r:id="rId10">
        <w:r w:rsidRPr="0024555B">
          <w:rPr>
            <w:rFonts w:asciiTheme="minorHAnsi" w:hAnsiTheme="minorHAnsi" w:cstheme="minorHAnsi"/>
            <w:color w:val="000000"/>
            <w:sz w:val="16"/>
            <w:szCs w:val="16"/>
          </w:rPr>
          <w:t>https://bettystoneman.wordpress.com/2018/06/07/the-epistemological-and-ethical-functions-of-kants-binary-and-foucaults-critique-of-critique-of-the-binary//recut</w:t>
        </w:r>
      </w:hyperlink>
      <w:r w:rsidRPr="0024555B">
        <w:rPr>
          <w:rFonts w:asciiTheme="minorHAnsi" w:hAnsiTheme="minorHAnsi" w:cstheme="minorHAnsi"/>
          <w:sz w:val="16"/>
          <w:szCs w:val="16"/>
        </w:rPr>
        <w:t xml:space="preserve"> anop</w:t>
      </w:r>
    </w:p>
    <w:p w14:paraId="5716A7D5" w14:textId="3D2DA7F7" w:rsidR="00EE79D6" w:rsidRDefault="00EE79D6" w:rsidP="00EE79D6">
      <w:pPr>
        <w:rPr>
          <w:rFonts w:asciiTheme="minorHAnsi" w:hAnsiTheme="minorHAnsi" w:cstheme="minorHAnsi"/>
          <w:sz w:val="16"/>
          <w:szCs w:val="16"/>
        </w:rPr>
      </w:pPr>
      <w:r w:rsidRPr="0024555B">
        <w:rPr>
          <w:rFonts w:asciiTheme="minorHAnsi" w:hAnsiTheme="minorHAnsi" w:cstheme="minorHAnsi"/>
          <w:sz w:val="16"/>
          <w:szCs w:val="16"/>
        </w:rPr>
        <w:t xml:space="preserve">Conclusion Kant’s hierarchical ordering of human groups along a gradation of sub-A status based on the binary of A and non-A serves both epistemological and ethical functions for him. A is taken as the epistemological and ethical starting point, the center of the epistemological and ethical universe. It is from the position of A, that all sub-As are conceptualized as objects of knowledge and all sub-As’ actions are ethically prescribed. Sub-As are known and sub-As’ actions are ethical only in relation to A; only insofar as sub-As fit into A’s self-referential schema. Foucault’s critique of critique of the binary offers us a way to conceptualize Kant’s critique of the knowing subject. </w:t>
      </w:r>
      <w:r w:rsidRPr="0024555B">
        <w:rPr>
          <w:rFonts w:asciiTheme="minorHAnsi" w:eastAsia="Calibri" w:hAnsiTheme="minorHAnsi" w:cstheme="minorHAnsi"/>
          <w:b/>
          <w:highlight w:val="cyan"/>
          <w:u w:val="single"/>
        </w:rPr>
        <w:t>Kant</w:t>
      </w:r>
      <w:r w:rsidRPr="0024555B">
        <w:rPr>
          <w:rFonts w:asciiTheme="minorHAnsi" w:eastAsia="Calibri" w:hAnsiTheme="minorHAnsi" w:cstheme="minorHAnsi"/>
          <w:b/>
          <w:u w:val="single"/>
        </w:rPr>
        <w:t xml:space="preserve">’s critique of the knowing subject, I suggest, sets up and </w:t>
      </w:r>
      <w:r w:rsidRPr="0024555B">
        <w:rPr>
          <w:rFonts w:asciiTheme="minorHAnsi" w:eastAsia="Calibri" w:hAnsiTheme="minorHAnsi" w:cstheme="minorHAnsi"/>
          <w:b/>
          <w:highlight w:val="cyan"/>
          <w:u w:val="single"/>
        </w:rPr>
        <w:t>maintains a coherent structure to</w:t>
      </w:r>
      <w:r w:rsidRPr="0024555B">
        <w:rPr>
          <w:rFonts w:asciiTheme="minorHAnsi" w:eastAsia="Calibri" w:hAnsiTheme="minorHAnsi" w:cstheme="minorHAnsi"/>
          <w:b/>
          <w:u w:val="single"/>
        </w:rPr>
        <w:t xml:space="preserve"> Kant’s ordered </w:t>
      </w:r>
      <w:r w:rsidRPr="0024555B">
        <w:rPr>
          <w:rFonts w:asciiTheme="minorHAnsi" w:eastAsia="Calibri" w:hAnsiTheme="minorHAnsi" w:cstheme="minorHAnsi"/>
          <w:b/>
          <w:highlight w:val="cyan"/>
          <w:u w:val="single"/>
        </w:rPr>
        <w:t>hierarchy</w:t>
      </w:r>
      <w:r w:rsidRPr="0024555B">
        <w:rPr>
          <w:rFonts w:asciiTheme="minorHAnsi" w:hAnsiTheme="minorHAnsi" w:cstheme="minorHAnsi"/>
          <w:sz w:val="16"/>
          <w:szCs w:val="16"/>
        </w:rPr>
        <w:t xml:space="preserve">. Foucault, despite his critique of critique, actively reproduces the very structure that he is critiquing. In a longer paper, I would further pursue the epistemological and ethical functions of Kant’s binary, as well as Foucault’s critique of critique of the binary, through Sylvia Wynter’s perspective. Due to space limitations, I will conclude by offering the suggestion that my reading of Kant is compatible with Wynter’s perspective. Wynter, while utilizing Foucault’s work, offers us a further critique of critique. She argues </w:t>
      </w:r>
      <w:r w:rsidRPr="0024555B">
        <w:rPr>
          <w:rFonts w:asciiTheme="minorHAnsi" w:eastAsia="Calibri" w:hAnsiTheme="minorHAnsi" w:cstheme="minorHAnsi"/>
          <w:b/>
          <w:u w:val="single"/>
        </w:rPr>
        <w:t xml:space="preserve">that </w:t>
      </w:r>
      <w:r w:rsidRPr="0024555B">
        <w:rPr>
          <w:rFonts w:asciiTheme="minorHAnsi" w:eastAsia="Calibri" w:hAnsiTheme="minorHAnsi" w:cstheme="minorHAnsi"/>
          <w:b/>
          <w:highlight w:val="cyan"/>
          <w:u w:val="single"/>
        </w:rPr>
        <w:t>intellectuals of</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modern episteme “continue to articulate</w:t>
      </w:r>
      <w:r w:rsidRPr="0024555B">
        <w:rPr>
          <w:rFonts w:asciiTheme="minorHAnsi" w:eastAsia="Calibri" w:hAnsiTheme="minorHAnsi" w:cstheme="minorHAnsi"/>
          <w:b/>
          <w:u w:val="single"/>
        </w:rPr>
        <w:t xml:space="preserve">, in however radically oppositional a manner, </w:t>
      </w:r>
      <w:r w:rsidRPr="0024555B">
        <w:rPr>
          <w:rFonts w:asciiTheme="minorHAnsi" w:eastAsia="Calibri" w:hAnsiTheme="minorHAnsi" w:cstheme="minorHAnsi"/>
          <w:b/>
          <w:highlight w:val="cyan"/>
          <w:u w:val="single"/>
        </w:rPr>
        <w:t>the rules of the social order and</w:t>
      </w:r>
      <w:r w:rsidRPr="0024555B">
        <w:rPr>
          <w:rFonts w:asciiTheme="minorHAnsi" w:eastAsia="Calibri" w:hAnsiTheme="minorHAnsi" w:cstheme="minorHAnsi"/>
          <w:b/>
          <w:u w:val="single"/>
        </w:rPr>
        <w:t xml:space="preserve"> its </w:t>
      </w:r>
      <w:r w:rsidRPr="0024555B">
        <w:rPr>
          <w:rFonts w:asciiTheme="minorHAnsi" w:eastAsia="Calibri" w:hAnsiTheme="minorHAnsi" w:cstheme="minorHAnsi"/>
          <w:b/>
          <w:highlight w:val="cyan"/>
          <w:u w:val="single"/>
        </w:rPr>
        <w:t>sanctioned theories</w:t>
      </w:r>
      <w:r w:rsidRPr="0024555B">
        <w:rPr>
          <w:rFonts w:asciiTheme="minorHAnsi" w:eastAsia="Calibri" w:hAnsiTheme="minorHAnsi" w:cstheme="minorHAnsi"/>
          <w:b/>
          <w:u w:val="single"/>
        </w:rPr>
        <w:t>.</w:t>
      </w:r>
      <w:r w:rsidRPr="0024555B">
        <w:rPr>
          <w:rFonts w:asciiTheme="minorHAnsi" w:hAnsiTheme="minorHAnsi" w:cstheme="minorHAnsi"/>
          <w:sz w:val="16"/>
          <w:szCs w:val="16"/>
        </w:rPr>
        <w:t xml:space="preserve">”[20] </w:t>
      </w:r>
      <w:r w:rsidRPr="0024555B">
        <w:rPr>
          <w:rFonts w:asciiTheme="minorHAnsi" w:eastAsia="Calibri" w:hAnsiTheme="minorHAnsi" w:cstheme="minorHAnsi"/>
          <w:b/>
          <w:u w:val="single"/>
        </w:rPr>
        <w:t>It is no less true today than it was in the classical episteme that “</w:t>
      </w:r>
      <w:r w:rsidRPr="0024555B">
        <w:rPr>
          <w:rFonts w:asciiTheme="minorHAnsi" w:eastAsia="Calibri" w:hAnsiTheme="minorHAnsi" w:cstheme="minorHAnsi"/>
          <w:b/>
          <w:highlight w:val="cyan"/>
          <w:u w:val="single"/>
        </w:rPr>
        <w:t>subjects</w:t>
      </w:r>
      <w:r w:rsidRPr="0024555B">
        <w:rPr>
          <w:rFonts w:asciiTheme="minorHAnsi" w:eastAsia="Calibri" w:hAnsiTheme="minorHAnsi" w:cstheme="minorHAnsi"/>
          <w:b/>
          <w:u w:val="single"/>
        </w:rPr>
        <w:t xml:space="preserve"> […] normatively [know] Self, Other, as well as their social, physical, and organic worlds, </w:t>
      </w:r>
      <w:r w:rsidRPr="0024555B">
        <w:rPr>
          <w:rFonts w:asciiTheme="minorHAnsi" w:eastAsia="Calibri" w:hAnsiTheme="minorHAnsi" w:cstheme="minorHAnsi"/>
          <w:b/>
          <w:highlight w:val="cyan"/>
          <w:u w:val="single"/>
        </w:rPr>
        <w:t>in</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adaptively true terms</w:t>
      </w:r>
      <w:r w:rsidRPr="0024555B">
        <w:rPr>
          <w:rFonts w:asciiTheme="minorHAnsi" w:eastAsia="Calibri" w:hAnsiTheme="minorHAnsi" w:cstheme="minorHAnsi"/>
          <w:b/>
          <w:u w:val="single"/>
        </w:rPr>
        <w:t xml:space="preserve"> needed </w:t>
      </w:r>
      <w:r w:rsidRPr="0024555B">
        <w:rPr>
          <w:rFonts w:asciiTheme="minorHAnsi" w:eastAsia="Calibri" w:hAnsiTheme="minorHAnsi" w:cstheme="minorHAnsi"/>
          <w:b/>
          <w:highlight w:val="cyan"/>
          <w:u w:val="single"/>
        </w:rPr>
        <w:t>for</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production</w:t>
      </w:r>
      <w:r w:rsidRPr="0024555B">
        <w:rPr>
          <w:rFonts w:asciiTheme="minorHAnsi" w:eastAsia="Calibri" w:hAnsiTheme="minorHAnsi" w:cstheme="minorHAnsi"/>
          <w:b/>
          <w:u w:val="single"/>
        </w:rPr>
        <w:t xml:space="preserve"> and reproduction not only </w:t>
      </w:r>
      <w:r w:rsidRPr="0024555B">
        <w:rPr>
          <w:rFonts w:asciiTheme="minorHAnsi" w:eastAsia="Calibri" w:hAnsiTheme="minorHAnsi" w:cstheme="minorHAnsi"/>
          <w:b/>
          <w:highlight w:val="cyan"/>
          <w:u w:val="single"/>
        </w:rPr>
        <w:t>of</w:t>
      </w:r>
      <w:r w:rsidRPr="0024555B">
        <w:rPr>
          <w:rFonts w:asciiTheme="minorHAnsi" w:eastAsia="Calibri" w:hAnsiTheme="minorHAnsi" w:cstheme="minorHAnsi"/>
          <w:b/>
          <w:u w:val="single"/>
        </w:rPr>
        <w:t xml:space="preserve"> their then supernaturally legitimated </w:t>
      </w:r>
      <w:r w:rsidRPr="0024555B">
        <w:rPr>
          <w:rFonts w:asciiTheme="minorHAnsi" w:eastAsia="Calibri" w:hAnsiTheme="minorHAnsi" w:cstheme="minorHAnsi"/>
          <w:b/>
          <w:highlight w:val="cyan"/>
          <w:u w:val="single"/>
        </w:rPr>
        <w:t>genre of being human</w:t>
      </w:r>
      <w:r w:rsidRPr="0024555B">
        <w:rPr>
          <w:rFonts w:asciiTheme="minorHAnsi" w:eastAsia="Calibri" w:hAnsiTheme="minorHAnsi" w:cstheme="minorHAnsi"/>
          <w:b/>
          <w:u w:val="single"/>
        </w:rPr>
        <w:t xml:space="preserve">, but as well </w:t>
      </w:r>
      <w:r w:rsidRPr="0024555B">
        <w:rPr>
          <w:rFonts w:asciiTheme="minorHAnsi" w:eastAsia="Calibri" w:hAnsiTheme="minorHAnsi" w:cstheme="minorHAnsi"/>
          <w:b/>
          <w:highlight w:val="cyan"/>
          <w:u w:val="single"/>
        </w:rPr>
        <w:t>for</w:t>
      </w:r>
      <w:r w:rsidRPr="0024555B">
        <w:rPr>
          <w:rFonts w:asciiTheme="minorHAnsi" w:eastAsia="Calibri" w:hAnsiTheme="minorHAnsi" w:cstheme="minorHAnsi"/>
          <w:b/>
          <w:u w:val="single"/>
        </w:rPr>
        <w:t xml:space="preserve"> that of the </w:t>
      </w:r>
      <w:r w:rsidRPr="0024555B">
        <w:rPr>
          <w:rFonts w:asciiTheme="minorHAnsi" w:eastAsia="Calibri" w:hAnsiTheme="minorHAnsi" w:cstheme="minorHAnsi"/>
          <w:b/>
          <w:highlight w:val="cyan"/>
          <w:u w:val="single"/>
        </w:rPr>
        <w:t>hierarchical social structures</w:t>
      </w:r>
      <w:r w:rsidRPr="0024555B">
        <w:rPr>
          <w:rFonts w:asciiTheme="minorHAnsi" w:eastAsia="Calibri" w:hAnsiTheme="minorHAnsi" w:cstheme="minorHAnsi"/>
          <w:b/>
          <w:u w:val="single"/>
        </w:rPr>
        <w:t xml:space="preserve"> in whose intersubjective field that genre of the human could have alone realized itself.”</w:t>
      </w:r>
      <w:r w:rsidRPr="0024555B">
        <w:rPr>
          <w:rFonts w:asciiTheme="minorHAnsi" w:hAnsiTheme="minorHAnsi" w:cstheme="minorHAnsi"/>
          <w:sz w:val="16"/>
          <w:szCs w:val="16"/>
        </w:rPr>
        <w:t>[21] Wynter states, “</w:t>
      </w:r>
      <w:r w:rsidRPr="0024555B">
        <w:rPr>
          <w:rFonts w:asciiTheme="minorHAnsi" w:eastAsia="Calibri" w:hAnsiTheme="minorHAnsi" w:cstheme="minorHAnsi"/>
          <w:b/>
          <w:highlight w:val="cyan"/>
          <w:u w:val="single"/>
        </w:rPr>
        <w:t>we</w:t>
      </w:r>
      <w:r w:rsidRPr="0024555B">
        <w:rPr>
          <w:rFonts w:asciiTheme="minorHAnsi" w:eastAsia="Calibri" w:hAnsiTheme="minorHAnsi" w:cstheme="minorHAnsi"/>
          <w:b/>
          <w:u w:val="single"/>
        </w:rPr>
        <w:t xml:space="preserve"> continue to </w:t>
      </w:r>
      <w:r w:rsidRPr="0024555B">
        <w:rPr>
          <w:rFonts w:asciiTheme="minorHAnsi" w:eastAsia="Calibri" w:hAnsiTheme="minorHAnsi" w:cstheme="minorHAnsi"/>
          <w:b/>
          <w:highlight w:val="cyan"/>
          <w:u w:val="single"/>
        </w:rPr>
        <w:t>know</w:t>
      </w:r>
      <w:r w:rsidRPr="0024555B">
        <w:rPr>
          <w:rFonts w:asciiTheme="minorHAnsi" w:eastAsia="Calibri" w:hAnsiTheme="minorHAnsi" w:cstheme="minorHAnsi"/>
          <w:b/>
          <w:u w:val="single"/>
        </w:rPr>
        <w:t xml:space="preserve"> our present order of social </w:t>
      </w:r>
      <w:r w:rsidRPr="0024555B">
        <w:rPr>
          <w:rFonts w:asciiTheme="minorHAnsi" w:eastAsia="Calibri" w:hAnsiTheme="minorHAnsi" w:cstheme="minorHAnsi"/>
          <w:b/>
          <w:highlight w:val="cyan"/>
          <w:u w:val="single"/>
        </w:rPr>
        <w:t>reality</w:t>
      </w:r>
      <w:r w:rsidRPr="0024555B">
        <w:rPr>
          <w:rFonts w:asciiTheme="minorHAnsi" w:eastAsia="Calibri" w:hAnsiTheme="minorHAnsi" w:cstheme="minorHAnsi"/>
          <w:b/>
          <w:u w:val="single"/>
        </w:rPr>
        <w:t xml:space="preserve">, and rigorously so, </w:t>
      </w:r>
      <w:r w:rsidRPr="0024555B">
        <w:rPr>
          <w:rFonts w:asciiTheme="minorHAnsi" w:eastAsia="Calibri" w:hAnsiTheme="minorHAnsi" w:cstheme="minorHAnsi"/>
          <w:b/>
          <w:highlight w:val="cyan"/>
          <w:u w:val="single"/>
        </w:rPr>
        <w:t>in</w:t>
      </w:r>
      <w:r w:rsidRPr="0024555B">
        <w:rPr>
          <w:rFonts w:asciiTheme="minorHAnsi" w:eastAsia="Calibri" w:hAnsiTheme="minorHAnsi" w:cstheme="minorHAnsi"/>
          <w:b/>
          <w:u w:val="single"/>
        </w:rPr>
        <w:t xml:space="preserve"> the adaptive ‘</w:t>
      </w:r>
      <w:r w:rsidRPr="0024555B">
        <w:rPr>
          <w:rFonts w:asciiTheme="minorHAnsi" w:eastAsia="Calibri" w:hAnsiTheme="minorHAnsi" w:cstheme="minorHAnsi"/>
          <w:b/>
          <w:highlight w:val="cyan"/>
          <w:u w:val="single"/>
        </w:rPr>
        <w:t>truth-for’ terms needed to conserve</w:t>
      </w:r>
      <w:r w:rsidRPr="0024555B">
        <w:rPr>
          <w:rFonts w:asciiTheme="minorHAnsi" w:eastAsia="Calibri" w:hAnsiTheme="minorHAnsi" w:cstheme="minorHAnsi"/>
          <w:b/>
          <w:u w:val="single"/>
        </w:rPr>
        <w:t xml:space="preserve"> our present </w:t>
      </w:r>
      <w:r w:rsidRPr="0024555B">
        <w:rPr>
          <w:rFonts w:asciiTheme="minorHAnsi" w:eastAsia="Calibri" w:hAnsiTheme="minorHAnsi" w:cstheme="minorHAnsi"/>
          <w:b/>
          <w:highlight w:val="cyan"/>
          <w:u w:val="single"/>
        </w:rPr>
        <w:t>descriptive statement</w:t>
      </w:r>
      <w:r w:rsidRPr="0024555B">
        <w:rPr>
          <w:rFonts w:asciiTheme="minorHAnsi" w:eastAsia="Calibri" w:hAnsiTheme="minorHAnsi" w:cstheme="minorHAnsi"/>
          <w:b/>
          <w:u w:val="single"/>
        </w:rPr>
        <w:t>.</w:t>
      </w:r>
      <w:r w:rsidRPr="0024555B">
        <w:rPr>
          <w:rFonts w:asciiTheme="minorHAnsi" w:hAnsiTheme="minorHAnsi" w:cstheme="minorHAnsi"/>
          <w:sz w:val="16"/>
          <w:szCs w:val="16"/>
        </w:rPr>
        <w:t xml:space="preserve">”[22] My suggestion, aligned with Wynter’s perspective, is that </w:t>
      </w:r>
      <w:r w:rsidRPr="0024555B">
        <w:rPr>
          <w:rFonts w:asciiTheme="minorHAnsi" w:eastAsia="Calibri" w:hAnsiTheme="minorHAnsi" w:cstheme="minorHAnsi"/>
          <w:b/>
          <w:u w:val="single"/>
        </w:rPr>
        <w:t xml:space="preserve">Kant’s use of </w:t>
      </w:r>
      <w:r w:rsidRPr="0024555B">
        <w:rPr>
          <w:rFonts w:asciiTheme="minorHAnsi" w:eastAsia="Calibri" w:hAnsiTheme="minorHAnsi" w:cstheme="minorHAnsi"/>
          <w:b/>
          <w:highlight w:val="cyan"/>
          <w:u w:val="single"/>
        </w:rPr>
        <w:t>teleological principles</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knowing subject</w:t>
      </w:r>
      <w:r w:rsidRPr="0024555B">
        <w:rPr>
          <w:rFonts w:asciiTheme="minorHAnsi" w:eastAsia="Calibri" w:hAnsiTheme="minorHAnsi" w:cstheme="minorHAnsi"/>
          <w:b/>
          <w:u w:val="single"/>
        </w:rPr>
        <w:t xml:space="preserve">, and the binary are all conservation truths. They are taken as truth because they conserve, produce, and </w:t>
      </w:r>
      <w:r w:rsidRPr="0024555B">
        <w:rPr>
          <w:rFonts w:asciiTheme="minorHAnsi" w:eastAsia="Calibri" w:hAnsiTheme="minorHAnsi" w:cstheme="minorHAnsi"/>
          <w:b/>
          <w:highlight w:val="cyan"/>
          <w:u w:val="single"/>
        </w:rPr>
        <w:t>reproduce</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coherent structure</w:t>
      </w:r>
      <w:r w:rsidRPr="0024555B">
        <w:rPr>
          <w:rFonts w:asciiTheme="minorHAnsi" w:eastAsia="Calibri" w:hAnsiTheme="minorHAnsi" w:cstheme="minorHAnsi"/>
          <w:b/>
          <w:u w:val="single"/>
        </w:rPr>
        <w:t>.</w:t>
      </w:r>
      <w:r w:rsidRPr="0024555B">
        <w:rPr>
          <w:rFonts w:asciiTheme="minorHAnsi" w:hAnsiTheme="minorHAnsi" w:cstheme="minorHAnsi"/>
          <w:sz w:val="16"/>
          <w:szCs w:val="16"/>
        </w:rPr>
        <w:t xml:space="preserve"> Moreover, Foucault, may be radically challenging this structure by challenging the knowing subject. However, as a critique of critique, Foucault is still operating within the same structure, and thus, is adaptively reproducing the structure. Foucault’s critique of the knowing subject is a critique founded in and of the knowing subject as a European, white, man.</w:t>
      </w:r>
    </w:p>
    <w:p w14:paraId="3967B841" w14:textId="77777777" w:rsidR="000373F7" w:rsidRPr="0024555B" w:rsidRDefault="000373F7" w:rsidP="000373F7">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 xml:space="preserve">The 1AC’s Kantian articulation of rationality is a justification for </w:t>
      </w:r>
      <w:r w:rsidRPr="0024555B">
        <w:rPr>
          <w:rFonts w:asciiTheme="minorHAnsi" w:eastAsiaTheme="majorEastAsia" w:hAnsiTheme="minorHAnsi" w:cstheme="minorHAnsi"/>
          <w:b/>
          <w:iCs/>
          <w:sz w:val="26"/>
          <w:u w:val="single"/>
        </w:rPr>
        <w:t>Native genocide</w:t>
      </w:r>
      <w:r w:rsidRPr="0024555B">
        <w:rPr>
          <w:rFonts w:asciiTheme="minorHAnsi" w:eastAsiaTheme="majorEastAsia" w:hAnsiTheme="minorHAnsi" w:cstheme="minorHAnsi"/>
          <w:b/>
          <w:iCs/>
          <w:sz w:val="26"/>
        </w:rPr>
        <w:t xml:space="preserve">—Kantian ethics view indigenous people as children, absent of </w:t>
      </w:r>
      <w:r w:rsidRPr="0024555B">
        <w:rPr>
          <w:rFonts w:asciiTheme="minorHAnsi" w:eastAsiaTheme="majorEastAsia" w:hAnsiTheme="minorHAnsi" w:cstheme="minorHAnsi"/>
          <w:b/>
          <w:iCs/>
          <w:sz w:val="26"/>
          <w:u w:val="single"/>
        </w:rPr>
        <w:t xml:space="preserve">Western liberal ideas </w:t>
      </w:r>
      <w:r w:rsidRPr="0024555B">
        <w:rPr>
          <w:rFonts w:asciiTheme="minorHAnsi" w:eastAsiaTheme="majorEastAsia" w:hAnsiTheme="minorHAnsi" w:cstheme="minorHAnsi"/>
          <w:b/>
          <w:iCs/>
          <w:sz w:val="26"/>
        </w:rPr>
        <w:t xml:space="preserve">and thus sanctioned to </w:t>
      </w:r>
      <w:r w:rsidRPr="0024555B">
        <w:rPr>
          <w:rFonts w:asciiTheme="minorHAnsi" w:eastAsiaTheme="majorEastAsia" w:hAnsiTheme="minorHAnsi" w:cstheme="minorHAnsi"/>
          <w:b/>
          <w:iCs/>
          <w:sz w:val="26"/>
          <w:u w:val="single"/>
        </w:rPr>
        <w:t>violence and exclusion</w:t>
      </w:r>
    </w:p>
    <w:p w14:paraId="5B146D6E" w14:textId="77777777" w:rsidR="000373F7" w:rsidRPr="0024555B" w:rsidRDefault="000373F7" w:rsidP="000373F7">
      <w:pPr>
        <w:rPr>
          <w:rFonts w:asciiTheme="minorHAnsi" w:hAnsiTheme="minorHAnsi" w:cstheme="minorHAnsi"/>
        </w:rPr>
      </w:pPr>
      <w:r w:rsidRPr="0024555B">
        <w:rPr>
          <w:rFonts w:asciiTheme="minorHAnsi" w:hAnsiTheme="minorHAnsi" w:cstheme="minorHAnsi"/>
          <w:b/>
          <w:sz w:val="26"/>
          <w:szCs w:val="26"/>
        </w:rPr>
        <w:t>Rollo 18</w:t>
      </w:r>
      <w:r w:rsidRPr="0024555B">
        <w:rPr>
          <w:rFonts w:asciiTheme="minorHAnsi" w:hAnsiTheme="minorHAnsi" w:cstheme="minorHAnsi"/>
        </w:rPr>
        <w:t>, Toby. [Toby Rollo, BA (UBC), MA (Victoria), PhD (Toronto) Assistant Professor Department of Political Science Lakehead University “Feral Children: Settler Colonialism, Progress, and the Figure of the Child.” Settler Colonial Studies 8, no. 1 (January 2, 2018): 60–79. https://doi.org/10.1080/2201473X.2016.1199826.]//anop</w:t>
      </w:r>
    </w:p>
    <w:p w14:paraId="39B6EA4E" w14:textId="77777777" w:rsidR="000373F7" w:rsidRPr="0024555B" w:rsidRDefault="000373F7" w:rsidP="000373F7">
      <w:pPr>
        <w:rPr>
          <w:rFonts w:asciiTheme="minorHAnsi" w:hAnsiTheme="minorHAnsi" w:cstheme="minorHAnsi"/>
          <w:u w:val="single"/>
        </w:rPr>
      </w:pPr>
      <w:r w:rsidRPr="0024555B">
        <w:rPr>
          <w:rFonts w:asciiTheme="minorHAnsi" w:hAnsiTheme="minorHAnsi" w:cstheme="minorHAnsi"/>
          <w:sz w:val="14"/>
          <w:szCs w:val="14"/>
        </w:rPr>
        <w:t xml:space="preserve">The </w:t>
      </w:r>
      <w:r w:rsidRPr="0024555B">
        <w:rPr>
          <w:rFonts w:asciiTheme="minorHAnsi" w:hAnsiTheme="minorHAnsi" w:cstheme="minorHAnsi"/>
          <w:u w:val="single"/>
        </w:rPr>
        <w:t>contemporary construction of native peoples as feral children has not changed much from its articulation by the social contract theorists</w:t>
      </w:r>
      <w:r w:rsidRPr="0024555B">
        <w:rPr>
          <w:rFonts w:asciiTheme="minorHAnsi" w:hAnsiTheme="minorHAnsi" w:cstheme="minorHAnsi"/>
          <w:sz w:val="14"/>
          <w:szCs w:val="14"/>
        </w:rPr>
        <w:t xml:space="preserve">. Since then, however, the settler colonial homology of civilizational progress has accrued a veneer of academic and scientific legitimacy that bears mention. During the late eighteenth and nineteenth centuries, a stages view of progress coalesced in the philosophical work of </w:t>
      </w:r>
      <w:r w:rsidRPr="0024555B">
        <w:rPr>
          <w:rFonts w:asciiTheme="minorHAnsi" w:hAnsiTheme="minorHAnsi" w:cstheme="minorHAnsi"/>
          <w:highlight w:val="cyan"/>
          <w:u w:val="single"/>
        </w:rPr>
        <w:t>Kant</w:t>
      </w:r>
      <w:r w:rsidRPr="0024555B">
        <w:rPr>
          <w:rFonts w:asciiTheme="minorHAnsi" w:hAnsiTheme="minorHAnsi" w:cstheme="minorHAnsi"/>
          <w:sz w:val="14"/>
          <w:szCs w:val="14"/>
        </w:rPr>
        <w:t xml:space="preserve">, Hegel, Mill, and Comte that </w:t>
      </w:r>
      <w:r w:rsidRPr="0024555B">
        <w:rPr>
          <w:rFonts w:asciiTheme="minorHAnsi" w:hAnsiTheme="minorHAnsi" w:cstheme="minorHAnsi"/>
          <w:u w:val="single"/>
        </w:rPr>
        <w:t xml:space="preserve">explicitly </w:t>
      </w:r>
      <w:r w:rsidRPr="0024555B">
        <w:rPr>
          <w:rFonts w:asciiTheme="minorHAnsi" w:hAnsiTheme="minorHAnsi" w:cstheme="minorHAnsi"/>
          <w:highlight w:val="cyan"/>
          <w:u w:val="single"/>
        </w:rPr>
        <w:t>premised</w:t>
      </w:r>
      <w:r w:rsidRPr="0024555B">
        <w:rPr>
          <w:rFonts w:asciiTheme="minorHAnsi" w:hAnsiTheme="minorHAnsi" w:cstheme="minorHAnsi"/>
          <w:u w:val="single"/>
        </w:rPr>
        <w:t xml:space="preserve"> historical, biological, and sociological </w:t>
      </w:r>
      <w:r w:rsidRPr="0024555B">
        <w:rPr>
          <w:rFonts w:asciiTheme="minorHAnsi" w:hAnsiTheme="minorHAnsi" w:cstheme="minorHAnsi"/>
          <w:highlight w:val="cyan"/>
          <w:u w:val="single"/>
        </w:rPr>
        <w:t>understandings</w:t>
      </w:r>
      <w:r w:rsidRPr="0024555B">
        <w:rPr>
          <w:rFonts w:asciiTheme="minorHAnsi" w:hAnsiTheme="minorHAnsi" w:cstheme="minorHAnsi"/>
          <w:u w:val="single"/>
        </w:rPr>
        <w:t xml:space="preserve"> of cultural evolution on </w:t>
      </w:r>
      <w:r w:rsidRPr="0024555B">
        <w:rPr>
          <w:rFonts w:asciiTheme="minorHAnsi" w:hAnsiTheme="minorHAnsi" w:cstheme="minorHAnsi"/>
          <w:highlight w:val="cyan"/>
          <w:u w:val="single"/>
        </w:rPr>
        <w:t>the development of the child</w:t>
      </w:r>
      <w:r w:rsidRPr="0024555B">
        <w:rPr>
          <w:rFonts w:asciiTheme="minorHAnsi" w:hAnsiTheme="minorHAnsi" w:cstheme="minorHAnsi"/>
          <w:sz w:val="14"/>
          <w:szCs w:val="14"/>
        </w:rPr>
        <w:t xml:space="preserve">. In his formative essay, ‘An Answer to the Question: What Is Enlightenment?’, for example, </w:t>
      </w:r>
      <w:r w:rsidRPr="0024555B">
        <w:rPr>
          <w:rFonts w:asciiTheme="minorHAnsi" w:hAnsiTheme="minorHAnsi" w:cstheme="minorHAnsi"/>
          <w:u w:val="single"/>
        </w:rPr>
        <w:t xml:space="preserve">Kant </w:t>
      </w:r>
      <w:r w:rsidRPr="0024555B">
        <w:rPr>
          <w:rFonts w:asciiTheme="minorHAnsi" w:hAnsiTheme="minorHAnsi" w:cstheme="minorHAnsi"/>
          <w:highlight w:val="cyan"/>
          <w:u w:val="single"/>
        </w:rPr>
        <w:t>argues</w:t>
      </w:r>
      <w:r w:rsidRPr="0024555B">
        <w:rPr>
          <w:rFonts w:asciiTheme="minorHAnsi" w:hAnsiTheme="minorHAnsi" w:cstheme="minorHAnsi"/>
          <w:u w:val="single"/>
        </w:rPr>
        <w:t xml:space="preserve"> the </w:t>
      </w:r>
      <w:r w:rsidRPr="0024555B">
        <w:rPr>
          <w:rFonts w:asciiTheme="minorHAnsi" w:hAnsiTheme="minorHAnsi" w:cstheme="minorHAnsi"/>
          <w:highlight w:val="cyan"/>
          <w:u w:val="single"/>
        </w:rPr>
        <w:t>Enlightenment is marked by</w:t>
      </w:r>
      <w:r w:rsidRPr="0024555B">
        <w:rPr>
          <w:rFonts w:asciiTheme="minorHAnsi" w:hAnsiTheme="minorHAnsi" w:cstheme="minorHAnsi"/>
          <w:sz w:val="14"/>
          <w:szCs w:val="14"/>
        </w:rPr>
        <w:t xml:space="preserve"> ‘man’s </w:t>
      </w:r>
      <w:r w:rsidRPr="0024555B">
        <w:rPr>
          <w:rFonts w:asciiTheme="minorHAnsi" w:hAnsiTheme="minorHAnsi" w:cstheme="minorHAnsi"/>
          <w:highlight w:val="cyan"/>
          <w:u w:val="single"/>
        </w:rPr>
        <w:t>release from</w:t>
      </w:r>
      <w:r w:rsidRPr="0024555B">
        <w:rPr>
          <w:rFonts w:asciiTheme="minorHAnsi" w:hAnsiTheme="minorHAnsi" w:cstheme="minorHAnsi"/>
          <w:sz w:val="14"/>
          <w:szCs w:val="14"/>
        </w:rPr>
        <w:t xml:space="preserve"> his self incurred </w:t>
      </w:r>
      <w:r w:rsidRPr="0024555B">
        <w:rPr>
          <w:rFonts w:asciiTheme="minorHAnsi" w:hAnsiTheme="minorHAnsi" w:cstheme="minorHAnsi"/>
          <w:highlight w:val="cyan"/>
          <w:u w:val="single"/>
        </w:rPr>
        <w:t>immaturity’</w:t>
      </w:r>
      <w:r w:rsidRPr="0024555B">
        <w:rPr>
          <w:rFonts w:asciiTheme="minorHAnsi" w:hAnsiTheme="minorHAnsi" w:cstheme="minorHAnsi"/>
          <w:sz w:val="14"/>
          <w:szCs w:val="14"/>
        </w:rPr>
        <w:t>. 78 The terms in which he defines immaturity are telling: ‘</w:t>
      </w:r>
      <w:r w:rsidRPr="0024555B">
        <w:rPr>
          <w:rFonts w:asciiTheme="minorHAnsi" w:hAnsiTheme="minorHAnsi" w:cstheme="minorHAnsi"/>
          <w:u w:val="single"/>
        </w:rPr>
        <w:t xml:space="preserve">the </w:t>
      </w:r>
      <w:r w:rsidRPr="0024555B">
        <w:rPr>
          <w:rFonts w:asciiTheme="minorHAnsi" w:eastAsia="Calibri" w:hAnsiTheme="minorHAnsi" w:cstheme="minorHAnsi"/>
          <w:b/>
          <w:highlight w:val="cyan"/>
          <w:u w:val="single"/>
        </w:rPr>
        <w:t>inability to use one’s own understanding without the guidance of another’</w:t>
      </w:r>
      <w:r w:rsidRPr="0024555B">
        <w:rPr>
          <w:rFonts w:asciiTheme="minorHAnsi" w:hAnsiTheme="minorHAnsi" w:cstheme="minorHAnsi"/>
          <w:sz w:val="14"/>
          <w:szCs w:val="14"/>
        </w:rPr>
        <w:t xml:space="preserve">. 79 Kant’s notion of immaturity preserves virtually unaltered the political/childhood binary born in Greek and Roman antiquity and it is central to his vision, and subsequent visions, of civilizational progress. The German word </w:t>
      </w:r>
      <w:r w:rsidRPr="0024555B">
        <w:rPr>
          <w:rFonts w:asciiTheme="minorHAnsi" w:hAnsiTheme="minorHAnsi" w:cstheme="minorHAnsi"/>
          <w:u w:val="single"/>
        </w:rPr>
        <w:t>translated</w:t>
      </w:r>
      <w:r w:rsidRPr="0024555B">
        <w:rPr>
          <w:rFonts w:asciiTheme="minorHAnsi" w:hAnsiTheme="minorHAnsi" w:cstheme="minorHAnsi"/>
          <w:sz w:val="14"/>
          <w:szCs w:val="14"/>
        </w:rPr>
        <w:t xml:space="preserve"> here </w:t>
      </w:r>
      <w:r w:rsidRPr="0024555B">
        <w:rPr>
          <w:rFonts w:asciiTheme="minorHAnsi" w:hAnsiTheme="minorHAnsi" w:cstheme="minorHAnsi"/>
          <w:u w:val="single"/>
        </w:rPr>
        <w:t>as immaturity</w:t>
      </w:r>
      <w:r w:rsidRPr="0024555B">
        <w:rPr>
          <w:rFonts w:asciiTheme="minorHAnsi" w:hAnsiTheme="minorHAnsi" w:cstheme="minorHAnsi"/>
          <w:sz w:val="14"/>
          <w:szCs w:val="14"/>
        </w:rPr>
        <w:t xml:space="preserve"> (sometimes as ‘tutelage’) is unmündikeit, which has as its root mund, or mouth, </w:t>
      </w:r>
      <w:r w:rsidRPr="0024555B">
        <w:rPr>
          <w:rFonts w:asciiTheme="minorHAnsi" w:hAnsiTheme="minorHAnsi" w:cstheme="minorHAnsi"/>
          <w:u w:val="single"/>
        </w:rPr>
        <w:t>and connotes the ability to speak for oneself.</w:t>
      </w:r>
      <w:r w:rsidRPr="0024555B">
        <w:rPr>
          <w:rFonts w:asciiTheme="minorHAnsi" w:hAnsiTheme="minorHAnsi" w:cstheme="minorHAnsi"/>
          <w:sz w:val="14"/>
          <w:szCs w:val="14"/>
        </w:rPr>
        <w:t xml:space="preserve">80 While man exists </w:t>
      </w:r>
      <w:r w:rsidRPr="0024555B">
        <w:rPr>
          <w:rFonts w:asciiTheme="minorHAnsi" w:hAnsiTheme="minorHAnsi" w:cstheme="minorHAnsi"/>
          <w:u w:val="single"/>
        </w:rPr>
        <w:t>in a state of immaturity – without speech – we are merely ‘passive citizens’</w:t>
      </w:r>
      <w:r w:rsidRPr="0024555B">
        <w:rPr>
          <w:rFonts w:asciiTheme="minorHAnsi" w:hAnsiTheme="minorHAnsi" w:cstheme="minorHAnsi"/>
          <w:sz w:val="14"/>
          <w:szCs w:val="14"/>
        </w:rPr>
        <w:t xml:space="preserve">. 81 </w:t>
      </w:r>
      <w:r w:rsidRPr="0024555B">
        <w:rPr>
          <w:rFonts w:asciiTheme="minorHAnsi" w:hAnsiTheme="minorHAnsi" w:cstheme="minorHAnsi"/>
          <w:highlight w:val="cyan"/>
          <w:u w:val="single"/>
        </w:rPr>
        <w:t>Kant</w:t>
      </w:r>
      <w:r w:rsidRPr="0024555B">
        <w:rPr>
          <w:rFonts w:asciiTheme="minorHAnsi" w:hAnsiTheme="minorHAnsi" w:cstheme="minorHAnsi"/>
          <w:u w:val="single"/>
        </w:rPr>
        <w:t xml:space="preserve"> and his contemporaries are often criticized for </w:t>
      </w:r>
      <w:r w:rsidRPr="0024555B">
        <w:rPr>
          <w:rFonts w:asciiTheme="minorHAnsi" w:hAnsiTheme="minorHAnsi" w:cstheme="minorHAnsi"/>
          <w:highlight w:val="cyan"/>
          <w:u w:val="single"/>
        </w:rPr>
        <w:t>espous</w:t>
      </w:r>
      <w:r w:rsidRPr="0024555B">
        <w:rPr>
          <w:rFonts w:asciiTheme="minorHAnsi" w:hAnsiTheme="minorHAnsi" w:cstheme="minorHAnsi"/>
          <w:u w:val="single"/>
        </w:rPr>
        <w:t xml:space="preserve">ing </w:t>
      </w:r>
      <w:r w:rsidRPr="0024555B">
        <w:rPr>
          <w:rFonts w:asciiTheme="minorHAnsi" w:hAnsiTheme="minorHAnsi" w:cstheme="minorHAnsi"/>
          <w:highlight w:val="cyan"/>
          <w:u w:val="single"/>
        </w:rPr>
        <w:t>racist positions</w:t>
      </w:r>
      <w:r w:rsidRPr="0024555B">
        <w:rPr>
          <w:rFonts w:asciiTheme="minorHAnsi" w:hAnsiTheme="minorHAnsi" w:cstheme="minorHAnsi"/>
          <w:sz w:val="14"/>
          <w:szCs w:val="14"/>
        </w:rPr>
        <w:t xml:space="preserve"> at the same time as they celebrate the timeless and universal nature of human rights. The issue here is the </w:t>
      </w:r>
      <w:r w:rsidRPr="0024555B">
        <w:rPr>
          <w:rFonts w:asciiTheme="minorHAnsi" w:hAnsiTheme="minorHAnsi" w:cstheme="minorHAnsi"/>
          <w:u w:val="single"/>
        </w:rPr>
        <w:t xml:space="preserve">timelessness and universality of the process of maturation. </w:t>
      </w:r>
      <w:r w:rsidRPr="0024555B">
        <w:rPr>
          <w:rFonts w:asciiTheme="minorHAnsi" w:hAnsiTheme="minorHAnsi" w:cstheme="minorHAnsi"/>
          <w:highlight w:val="cyan"/>
          <w:u w:val="single"/>
        </w:rPr>
        <w:t>The</w:t>
      </w:r>
      <w:r w:rsidRPr="0024555B">
        <w:rPr>
          <w:rFonts w:asciiTheme="minorHAnsi" w:hAnsiTheme="minorHAnsi" w:cstheme="minorHAnsi"/>
          <w:u w:val="single"/>
        </w:rPr>
        <w:t xml:space="preserve"> medieval </w:t>
      </w:r>
      <w:r w:rsidRPr="0024555B">
        <w:rPr>
          <w:rFonts w:asciiTheme="minorHAnsi" w:hAnsiTheme="minorHAnsi" w:cstheme="minorHAnsi"/>
          <w:highlight w:val="cyan"/>
          <w:u w:val="single"/>
        </w:rPr>
        <w:t>homology</w:t>
      </w:r>
      <w:r w:rsidRPr="0024555B">
        <w:rPr>
          <w:rFonts w:asciiTheme="minorHAnsi" w:hAnsiTheme="minorHAnsi" w:cstheme="minorHAnsi"/>
          <w:u w:val="single"/>
        </w:rPr>
        <w:t xml:space="preserve"> heavily </w:t>
      </w:r>
      <w:r w:rsidRPr="0024555B">
        <w:rPr>
          <w:rFonts w:asciiTheme="minorHAnsi" w:hAnsiTheme="minorHAnsi" w:cstheme="minorHAnsi"/>
          <w:highlight w:val="cyan"/>
          <w:u w:val="single"/>
        </w:rPr>
        <w:t>informs Kant’s view that ‘children</w:t>
      </w:r>
      <w:r w:rsidRPr="0024555B">
        <w:rPr>
          <w:rFonts w:asciiTheme="minorHAnsi" w:hAnsiTheme="minorHAnsi" w:cstheme="minorHAnsi"/>
          <w:u w:val="single"/>
        </w:rPr>
        <w:t xml:space="preserve"> ought to </w:t>
      </w:r>
      <w:r w:rsidRPr="0024555B">
        <w:rPr>
          <w:rFonts w:asciiTheme="minorHAnsi" w:hAnsiTheme="minorHAnsi" w:cstheme="minorHAnsi"/>
          <w:highlight w:val="cyan"/>
          <w:u w:val="single"/>
        </w:rPr>
        <w:t>be educated</w:t>
      </w:r>
      <w:r w:rsidRPr="0024555B">
        <w:rPr>
          <w:rFonts w:asciiTheme="minorHAnsi" w:hAnsiTheme="minorHAnsi" w:cstheme="minorHAnsi"/>
          <w:u w:val="single"/>
        </w:rPr>
        <w:t xml:space="preserve">, not for the present, but </w:t>
      </w:r>
      <w:r w:rsidRPr="0024555B">
        <w:rPr>
          <w:rFonts w:asciiTheme="minorHAnsi" w:hAnsiTheme="minorHAnsi" w:cstheme="minorHAnsi"/>
          <w:highlight w:val="cyan"/>
          <w:u w:val="single"/>
        </w:rPr>
        <w:t>for</w:t>
      </w:r>
      <w:r w:rsidRPr="0024555B">
        <w:rPr>
          <w:rFonts w:asciiTheme="minorHAnsi" w:hAnsiTheme="minorHAnsi" w:cstheme="minorHAnsi"/>
          <w:u w:val="single"/>
        </w:rPr>
        <w:t xml:space="preserve"> a possibly </w:t>
      </w:r>
      <w:r w:rsidRPr="0024555B">
        <w:rPr>
          <w:rFonts w:asciiTheme="minorHAnsi" w:hAnsiTheme="minorHAnsi" w:cstheme="minorHAnsi"/>
          <w:highlight w:val="cyan"/>
          <w:u w:val="single"/>
        </w:rPr>
        <w:t>improved condition</w:t>
      </w:r>
      <w:r w:rsidRPr="0024555B">
        <w:rPr>
          <w:rFonts w:asciiTheme="minorHAnsi" w:hAnsiTheme="minorHAnsi" w:cstheme="minorHAnsi"/>
          <w:sz w:val="14"/>
          <w:szCs w:val="14"/>
        </w:rPr>
        <w:t xml:space="preserve"> of man in the future; that is, </w:t>
      </w:r>
      <w:r w:rsidRPr="0024555B">
        <w:rPr>
          <w:rFonts w:asciiTheme="minorHAnsi" w:hAnsiTheme="minorHAnsi" w:cstheme="minorHAnsi"/>
          <w:u w:val="single"/>
        </w:rPr>
        <w:t xml:space="preserve">in a manner </w:t>
      </w:r>
      <w:r w:rsidRPr="0024555B">
        <w:rPr>
          <w:rFonts w:asciiTheme="minorHAnsi" w:eastAsia="Calibri" w:hAnsiTheme="minorHAnsi" w:cstheme="minorHAnsi"/>
          <w:b/>
          <w:highlight w:val="cyan"/>
          <w:u w:val="single"/>
        </w:rPr>
        <w:t>which is adapted to the idea of humanity</w:t>
      </w:r>
      <w:r w:rsidRPr="0024555B">
        <w:rPr>
          <w:rFonts w:asciiTheme="minorHAnsi" w:hAnsiTheme="minorHAnsi" w:cstheme="minorHAnsi"/>
          <w:sz w:val="14"/>
          <w:szCs w:val="14"/>
        </w:rPr>
        <w:t xml:space="preserve"> and the whole destiny of man’. 82 </w:t>
      </w:r>
      <w:r w:rsidRPr="0024555B">
        <w:rPr>
          <w:rFonts w:asciiTheme="minorHAnsi" w:eastAsia="Calibri" w:hAnsiTheme="minorHAnsi" w:cstheme="minorHAnsi"/>
          <w:b/>
          <w:u w:val="single"/>
        </w:rPr>
        <w:t xml:space="preserve">Independence must be learned, according to Kant, </w:t>
      </w:r>
      <w:r w:rsidRPr="0024555B">
        <w:rPr>
          <w:rFonts w:asciiTheme="minorHAnsi" w:eastAsia="Calibri" w:hAnsiTheme="minorHAnsi" w:cstheme="minorHAnsi"/>
          <w:b/>
          <w:highlight w:val="cyan"/>
          <w:u w:val="single"/>
        </w:rPr>
        <w:t>lest one end up like the Indigenous people</w:t>
      </w:r>
      <w:r w:rsidRPr="0024555B">
        <w:rPr>
          <w:rFonts w:asciiTheme="minorHAnsi" w:hAnsiTheme="minorHAnsi" w:cstheme="minorHAnsi"/>
          <w:sz w:val="14"/>
          <w:szCs w:val="14"/>
        </w:rPr>
        <w:t>s of what is now Tahiti, ‘</w:t>
      </w:r>
      <w:r w:rsidRPr="0024555B">
        <w:rPr>
          <w:rFonts w:asciiTheme="minorHAnsi" w:eastAsia="Calibri" w:hAnsiTheme="minorHAnsi" w:cstheme="minorHAnsi"/>
          <w:b/>
          <w:highlight w:val="cyan"/>
          <w:u w:val="single"/>
        </w:rPr>
        <w:t>who remain children all their lives’</w:t>
      </w:r>
      <w:r w:rsidRPr="0024555B">
        <w:rPr>
          <w:rFonts w:asciiTheme="minorHAnsi" w:hAnsiTheme="minorHAnsi" w:cstheme="minorHAnsi"/>
          <w:sz w:val="14"/>
          <w:szCs w:val="14"/>
        </w:rPr>
        <w:t xml:space="preserve">. 83 </w:t>
      </w:r>
      <w:r w:rsidRPr="0024555B">
        <w:rPr>
          <w:rFonts w:asciiTheme="minorHAnsi" w:hAnsiTheme="minorHAnsi" w:cstheme="minorHAnsi"/>
          <w:highlight w:val="cyan"/>
          <w:u w:val="single"/>
        </w:rPr>
        <w:t>He argued</w:t>
      </w:r>
      <w:r w:rsidRPr="0024555B">
        <w:rPr>
          <w:rFonts w:asciiTheme="minorHAnsi" w:hAnsiTheme="minorHAnsi" w:cstheme="minorHAnsi"/>
          <w:u w:val="single"/>
        </w:rPr>
        <w:t xml:space="preserve"> that the </w:t>
      </w:r>
      <w:r w:rsidRPr="0024555B">
        <w:rPr>
          <w:rFonts w:asciiTheme="minorHAnsi" w:eastAsia="Calibri" w:hAnsiTheme="minorHAnsi" w:cstheme="minorHAnsi"/>
          <w:b/>
          <w:highlight w:val="cyan"/>
          <w:u w:val="single"/>
        </w:rPr>
        <w:t>absence of a civil state indicates a lack of</w:t>
      </w:r>
      <w:r w:rsidRPr="0024555B">
        <w:rPr>
          <w:rFonts w:asciiTheme="minorHAnsi" w:hAnsiTheme="minorHAnsi" w:cstheme="minorHAnsi"/>
          <w:u w:val="single"/>
        </w:rPr>
        <w:t xml:space="preserve">, or rejection of, </w:t>
      </w:r>
      <w:r w:rsidRPr="0024555B">
        <w:rPr>
          <w:rFonts w:asciiTheme="minorHAnsi" w:eastAsia="Calibri" w:hAnsiTheme="minorHAnsi" w:cstheme="minorHAnsi"/>
          <w:b/>
          <w:highlight w:val="cyan"/>
          <w:u w:val="single"/>
        </w:rPr>
        <w:t>reason and a threat to civilized people</w:t>
      </w:r>
      <w:r w:rsidRPr="0024555B">
        <w:rPr>
          <w:rFonts w:asciiTheme="minorHAnsi" w:hAnsiTheme="minorHAnsi" w:cstheme="minorHAnsi"/>
          <w:u w:val="single"/>
        </w:rPr>
        <w:t xml:space="preserve"> which justifies pre-emptive ‘hostile action’.</w:t>
      </w:r>
      <w:r w:rsidRPr="0024555B">
        <w:rPr>
          <w:rFonts w:asciiTheme="minorHAnsi" w:hAnsiTheme="minorHAnsi" w:cstheme="minorHAnsi"/>
          <w:sz w:val="14"/>
          <w:szCs w:val="14"/>
        </w:rPr>
        <w:t xml:space="preserve"> 84 Like Vitoria</w:t>
      </w:r>
      <w:r w:rsidRPr="0024555B">
        <w:rPr>
          <w:rFonts w:asciiTheme="minorHAnsi" w:hAnsiTheme="minorHAnsi" w:cstheme="minorHAnsi"/>
          <w:u w:val="single"/>
        </w:rPr>
        <w:t xml:space="preserve">, </w:t>
      </w:r>
      <w:r w:rsidRPr="0024555B">
        <w:rPr>
          <w:rFonts w:asciiTheme="minorHAnsi" w:hAnsiTheme="minorHAnsi" w:cstheme="minorHAnsi"/>
          <w:highlight w:val="cyan"/>
          <w:u w:val="single"/>
        </w:rPr>
        <w:t>he sanctions violence against Indigenous peoples who</w:t>
      </w:r>
      <w:r w:rsidRPr="0024555B">
        <w:rPr>
          <w:rFonts w:asciiTheme="minorHAnsi" w:hAnsiTheme="minorHAnsi" w:cstheme="minorHAnsi"/>
          <w:u w:val="single"/>
        </w:rPr>
        <w:t>, as ‘</w:t>
      </w:r>
      <w:r w:rsidRPr="0024555B">
        <w:rPr>
          <w:rFonts w:asciiTheme="minorHAnsi" w:eastAsia="Calibri" w:hAnsiTheme="minorHAnsi" w:cstheme="minorHAnsi"/>
          <w:b/>
          <w:u w:val="single"/>
        </w:rPr>
        <w:t>immature children</w:t>
      </w:r>
      <w:r w:rsidRPr="0024555B">
        <w:rPr>
          <w:rFonts w:asciiTheme="minorHAnsi" w:hAnsiTheme="minorHAnsi" w:cstheme="minorHAnsi"/>
          <w:u w:val="single"/>
        </w:rPr>
        <w:t xml:space="preserve">’, violate the dictates of reason, as manifest in their </w:t>
      </w:r>
      <w:r w:rsidRPr="0024555B">
        <w:rPr>
          <w:rFonts w:asciiTheme="minorHAnsi" w:hAnsiTheme="minorHAnsi" w:cstheme="minorHAnsi"/>
          <w:highlight w:val="cyan"/>
          <w:u w:val="single"/>
        </w:rPr>
        <w:t>reject</w:t>
      </w:r>
      <w:r w:rsidRPr="0024555B">
        <w:rPr>
          <w:rFonts w:asciiTheme="minorHAnsi" w:hAnsiTheme="minorHAnsi" w:cstheme="minorHAnsi"/>
          <w:u w:val="single"/>
        </w:rPr>
        <w:t xml:space="preserve">ion of </w:t>
      </w:r>
      <w:r w:rsidRPr="0024555B">
        <w:rPr>
          <w:rFonts w:asciiTheme="minorHAnsi" w:eastAsia="Calibri" w:hAnsiTheme="minorHAnsi" w:cstheme="minorHAnsi"/>
          <w:b/>
          <w:highlight w:val="cyan"/>
          <w:u w:val="single"/>
        </w:rPr>
        <w:t>private property and liberal rights</w:t>
      </w:r>
      <w:r w:rsidRPr="0024555B">
        <w:rPr>
          <w:rFonts w:asciiTheme="minorHAnsi" w:hAnsiTheme="minorHAnsi" w:cstheme="minorHAnsi"/>
          <w:sz w:val="14"/>
          <w:szCs w:val="14"/>
        </w:rPr>
        <w:t xml:space="preserve">.85 The identical homology is carried through in the work of John Stuart Mill, who wrote in On Liberty and elsewhere that </w:t>
      </w:r>
      <w:r w:rsidRPr="0024555B">
        <w:rPr>
          <w:rFonts w:asciiTheme="minorHAnsi" w:hAnsiTheme="minorHAnsi" w:cstheme="minorHAnsi"/>
          <w:u w:val="single"/>
        </w:rPr>
        <w:t>Indigenous societies,</w:t>
      </w:r>
      <w:r w:rsidRPr="0024555B">
        <w:rPr>
          <w:rFonts w:asciiTheme="minorHAnsi" w:hAnsiTheme="minorHAnsi" w:cstheme="minorHAnsi"/>
          <w:sz w:val="14"/>
          <w:szCs w:val="14"/>
        </w:rPr>
        <w:t xml:space="preserve"> which </w:t>
      </w:r>
      <w:r w:rsidRPr="0024555B">
        <w:rPr>
          <w:rFonts w:asciiTheme="minorHAnsi" w:hAnsiTheme="minorHAnsi" w:cstheme="minorHAnsi"/>
          <w:u w:val="single"/>
        </w:rPr>
        <w:t>are</w:t>
      </w:r>
      <w:r w:rsidRPr="0024555B">
        <w:rPr>
          <w:rFonts w:asciiTheme="minorHAnsi" w:hAnsiTheme="minorHAnsi" w:cstheme="minorHAnsi"/>
          <w:sz w:val="14"/>
          <w:szCs w:val="14"/>
        </w:rPr>
        <w:t xml:space="preserve"> to be </w:t>
      </w:r>
      <w:r w:rsidRPr="0024555B">
        <w:rPr>
          <w:rFonts w:asciiTheme="minorHAnsi" w:hAnsiTheme="minorHAnsi" w:cstheme="minorHAnsi"/>
          <w:u w:val="single"/>
        </w:rPr>
        <w:t>considered children</w:t>
      </w:r>
      <w:r w:rsidRPr="0024555B">
        <w:rPr>
          <w:rFonts w:asciiTheme="minorHAnsi" w:hAnsiTheme="minorHAnsi" w:cstheme="minorHAnsi"/>
          <w:sz w:val="14"/>
          <w:szCs w:val="14"/>
        </w:rPr>
        <w:t xml:space="preserve">, have </w:t>
      </w:r>
      <w:r w:rsidRPr="0024555B">
        <w:rPr>
          <w:rFonts w:asciiTheme="minorHAnsi" w:eastAsia="Calibri" w:hAnsiTheme="minorHAnsi" w:cstheme="minorHAnsi"/>
          <w:b/>
          <w:u w:val="single"/>
        </w:rPr>
        <w:t>no rights to bodily integrity or freedom from violence</w:t>
      </w:r>
      <w:r w:rsidRPr="0024555B">
        <w:rPr>
          <w:rFonts w:asciiTheme="minorHAnsi" w:hAnsiTheme="minorHAnsi" w:cstheme="minorHAnsi"/>
          <w:sz w:val="14"/>
          <w:szCs w:val="14"/>
        </w:rPr>
        <w:t xml:space="preserve">.86 Mehta perfectly summarizes the colonial mandate expressed by Mill and others in the context of </w:t>
      </w:r>
      <w:r w:rsidRPr="0024555B">
        <w:rPr>
          <w:rFonts w:asciiTheme="minorHAnsi" w:hAnsiTheme="minorHAnsi" w:cstheme="minorHAnsi"/>
          <w:u w:val="single"/>
        </w:rPr>
        <w:t>colonial India: ‘India is a child for which the empire offers the prospect of legitimate and progressive parentage and toward which Britain, as a parent, is similarly obligated and competent.’ 87 I</w:t>
      </w:r>
    </w:p>
    <w:p w14:paraId="394787E8" w14:textId="77777777" w:rsidR="000373F7" w:rsidRPr="0024555B" w:rsidRDefault="000373F7" w:rsidP="000373F7">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Settler colonialism is deeply engrained in Western culture and is reflected through universalist theory—their universalist Enlightenment philosophy is a justification for assimilation and extermination of Indigenous peoples</w:t>
      </w:r>
    </w:p>
    <w:p w14:paraId="08359365" w14:textId="77777777" w:rsidR="000373F7" w:rsidRPr="0024555B" w:rsidRDefault="000373F7" w:rsidP="000373F7">
      <w:pPr>
        <w:rPr>
          <w:rFonts w:asciiTheme="minorHAnsi" w:hAnsiTheme="minorHAnsi" w:cstheme="minorHAnsi"/>
        </w:rPr>
      </w:pPr>
      <w:r w:rsidRPr="0024555B">
        <w:rPr>
          <w:rFonts w:asciiTheme="minorHAnsi" w:hAnsiTheme="minorHAnsi" w:cstheme="minorHAnsi"/>
        </w:rPr>
        <w:t xml:space="preserve">John </w:t>
      </w:r>
      <w:r w:rsidRPr="0024555B">
        <w:rPr>
          <w:rFonts w:asciiTheme="minorHAnsi" w:hAnsiTheme="minorHAnsi" w:cstheme="minorHAnsi"/>
          <w:b/>
          <w:sz w:val="26"/>
          <w:szCs w:val="26"/>
        </w:rPr>
        <w:t>Hinkinson 12</w:t>
      </w:r>
      <w:r w:rsidRPr="0024555B">
        <w:rPr>
          <w:rFonts w:asciiTheme="minorHAnsi" w:hAnsiTheme="minorHAnsi" w:cstheme="minorHAnsi"/>
        </w:rPr>
        <w:t xml:space="preserve"> – Editor at Arena, an Australian maganzine. “Why Settler Colonialism?” Arena. 2012. https://arena.org.au/why-settler-colonialism/ JJN//recut anop</w:t>
      </w:r>
    </w:p>
    <w:p w14:paraId="1B9189FF" w14:textId="432F44EC" w:rsidR="000373F7" w:rsidRPr="000373F7" w:rsidRDefault="000373F7" w:rsidP="00EE79D6">
      <w:pPr>
        <w:rPr>
          <w:rFonts w:asciiTheme="minorHAnsi" w:hAnsiTheme="minorHAnsi" w:cstheme="minorHAnsi"/>
          <w:sz w:val="14"/>
          <w:szCs w:val="14"/>
        </w:rPr>
      </w:pPr>
      <w:r w:rsidRPr="0024555B">
        <w:rPr>
          <w:rFonts w:asciiTheme="minorHAnsi" w:hAnsiTheme="minorHAnsi" w:cstheme="minorHAnsi"/>
          <w:sz w:val="14"/>
          <w:szCs w:val="14"/>
        </w:rPr>
        <w:t>Settler colonialism as a practice is a subset of colonial history, one where the colonial relationship converts into a very specific cultural practice. It is where the ‘</w:t>
      </w:r>
      <w:r w:rsidRPr="0024555B">
        <w:rPr>
          <w:rFonts w:asciiTheme="minorHAnsi" w:hAnsiTheme="minorHAnsi" w:cstheme="minorHAnsi"/>
          <w:highlight w:val="cyan"/>
          <w:u w:val="single"/>
        </w:rPr>
        <w:t>settler culture’ seeks</w:t>
      </w:r>
      <w:r w:rsidRPr="0024555B">
        <w:rPr>
          <w:rFonts w:asciiTheme="minorHAnsi" w:hAnsiTheme="minorHAnsi" w:cstheme="minorHAnsi"/>
          <w:u w:val="single"/>
        </w:rPr>
        <w:t xml:space="preserve"> a permanent place in the colonial setting and, as such, enters an unrelenting cultural logic of misrecognition</w:t>
      </w:r>
      <w:r w:rsidRPr="0024555B">
        <w:rPr>
          <w:rFonts w:asciiTheme="minorHAnsi" w:hAnsiTheme="minorHAnsi" w:cstheme="minorHAnsi"/>
          <w:sz w:val="14"/>
          <w:szCs w:val="14"/>
        </w:rPr>
        <w:t xml:space="preserve"> and blindness </w:t>
      </w:r>
      <w:r w:rsidRPr="0024555B">
        <w:rPr>
          <w:rFonts w:asciiTheme="minorHAnsi" w:hAnsiTheme="minorHAnsi" w:cstheme="minorHAnsi"/>
          <w:u w:val="single"/>
        </w:rPr>
        <w:t xml:space="preserve">towards the cultural other, issuing in acts of objective cruelty and </w:t>
      </w:r>
      <w:r w:rsidRPr="0024555B">
        <w:rPr>
          <w:rFonts w:asciiTheme="minorHAnsi" w:hAnsiTheme="minorHAnsi" w:cstheme="minorHAnsi"/>
          <w:highlight w:val="cyan"/>
          <w:u w:val="single"/>
        </w:rPr>
        <w:t>cultural destruction</w:t>
      </w:r>
      <w:r w:rsidRPr="0024555B">
        <w:rPr>
          <w:rFonts w:asciiTheme="minorHAnsi" w:hAnsiTheme="minorHAnsi" w:cstheme="minorHAnsi"/>
          <w:sz w:val="14"/>
          <w:szCs w:val="14"/>
        </w:rPr>
        <w:t xml:space="preserve">. Because this relationship is based in cultures, which are prior to the individual (while simultaneously forming the individual), it is a relationship that is especially difficult to put aside. Empirically speaking, </w:t>
      </w:r>
      <w:r w:rsidRPr="0024555B">
        <w:rPr>
          <w:rFonts w:asciiTheme="minorHAnsi" w:hAnsiTheme="minorHAnsi" w:cstheme="minorHAnsi"/>
          <w:u w:val="single"/>
        </w:rPr>
        <w:t>there are many such examples in history, many arising in the period of Western Empire associated with modernity and expansionism in the New World.</w:t>
      </w:r>
      <w:r w:rsidRPr="0024555B">
        <w:rPr>
          <w:rFonts w:asciiTheme="minorHAnsi" w:hAnsiTheme="minorHAnsi" w:cstheme="minorHAnsi"/>
          <w:sz w:val="14"/>
          <w:szCs w:val="14"/>
        </w:rPr>
        <w:t xml:space="preserve">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If settler colonialism is to develop as a field of critical study it needs to include but go far beyond empirical accounts simply framed by an ethic of cultural justice. To do this </w:t>
      </w:r>
      <w:r w:rsidRPr="0024555B">
        <w:rPr>
          <w:rFonts w:asciiTheme="minorHAnsi" w:hAnsiTheme="minorHAnsi" w:cstheme="minorHAnsi"/>
          <w:u w:val="single"/>
        </w:rPr>
        <w:t>it is necessary to develop a theory and account of how settler colonialism as a practice is based culturally.</w:t>
      </w:r>
      <w:r w:rsidRPr="0024555B">
        <w:rPr>
          <w:rFonts w:asciiTheme="minorHAnsi" w:hAnsiTheme="minorHAnsi" w:cstheme="minorHAnsi"/>
          <w:sz w:val="14"/>
          <w:szCs w:val="14"/>
        </w:rPr>
        <w:t xml:space="preserve"> And this will require a broader frame of reference than the specific localities of settler-colonial practice, a broader frame that shows how </w:t>
      </w:r>
      <w:r w:rsidRPr="0024555B">
        <w:rPr>
          <w:rFonts w:asciiTheme="minorHAnsi" w:hAnsiTheme="minorHAnsi" w:cstheme="minorHAnsi"/>
          <w:u w:val="single"/>
        </w:rPr>
        <w:t xml:space="preserve">this phenomenon is an effect of power based in attitudes to other cultures more generally. </w:t>
      </w:r>
      <w:r w:rsidRPr="0024555B">
        <w:rPr>
          <w:rFonts w:asciiTheme="minorHAnsi" w:hAnsiTheme="minorHAnsi" w:cstheme="minorHAnsi"/>
          <w:sz w:val="14"/>
          <w:szCs w:val="14"/>
        </w:rPr>
        <w:t xml:space="preserve">For it is arguable that the settler-colonial attitude derives from a widespread cultural politics set within a larger frame, one which the world today assumes, rather than reflexively knows or seeks to reform. </w:t>
      </w:r>
      <w:r w:rsidRPr="0024555B">
        <w:rPr>
          <w:rFonts w:asciiTheme="minorHAnsi" w:hAnsiTheme="minorHAnsi" w:cstheme="minorHAnsi"/>
          <w:u w:val="single"/>
        </w:rPr>
        <w:t xml:space="preserve">This is to speak of a </w:t>
      </w:r>
      <w:r w:rsidRPr="0024555B">
        <w:rPr>
          <w:rFonts w:asciiTheme="minorHAnsi" w:hAnsiTheme="minorHAnsi" w:cstheme="minorHAnsi"/>
          <w:highlight w:val="cyan"/>
          <w:u w:val="single"/>
        </w:rPr>
        <w:t>continuing imperialist attitude</w:t>
      </w:r>
      <w:r w:rsidRPr="0024555B">
        <w:rPr>
          <w:rFonts w:asciiTheme="minorHAnsi" w:hAnsiTheme="minorHAnsi" w:cstheme="minorHAnsi"/>
          <w:u w:val="single"/>
        </w:rPr>
        <w:t xml:space="preserve"> expressed </w:t>
      </w:r>
      <w:r w:rsidRPr="0024555B">
        <w:rPr>
          <w:rFonts w:asciiTheme="minorHAnsi" w:hAnsiTheme="minorHAnsi" w:cstheme="minorHAnsi"/>
          <w:highlight w:val="cyan"/>
          <w:u w:val="single"/>
        </w:rPr>
        <w:t>in a view of other cultures</w:t>
      </w:r>
      <w:r w:rsidRPr="0024555B">
        <w:rPr>
          <w:rFonts w:asciiTheme="minorHAnsi" w:hAnsiTheme="minorHAnsi" w:cstheme="minorHAnsi"/>
          <w:u w:val="single"/>
        </w:rPr>
        <w:t xml:space="preserve"> that has little respect for those cultures’ core assumptions. There are crude expressions of this lack of cultural empathy, but there are also ‘high’ expressions, such as those embodied </w:t>
      </w:r>
      <w:r w:rsidRPr="0024555B">
        <w:rPr>
          <w:rFonts w:asciiTheme="minorHAnsi" w:hAnsiTheme="minorHAnsi" w:cstheme="minorHAnsi"/>
          <w:highlight w:val="cyan"/>
          <w:u w:val="single"/>
        </w:rPr>
        <w:t>in</w:t>
      </w:r>
      <w:r w:rsidRPr="0024555B">
        <w:rPr>
          <w:rFonts w:asciiTheme="minorHAnsi" w:hAnsiTheme="minorHAnsi" w:cstheme="minorHAnsi"/>
          <w:u w:val="single"/>
        </w:rPr>
        <w:t xml:space="preserve"> the </w:t>
      </w:r>
      <w:r w:rsidRPr="0024555B">
        <w:rPr>
          <w:rFonts w:asciiTheme="minorHAnsi" w:hAnsiTheme="minorHAnsi" w:cstheme="minorHAnsi"/>
          <w:highlight w:val="cyan"/>
          <w:u w:val="single"/>
        </w:rPr>
        <w:t>universalist philosophy of the West</w:t>
      </w:r>
      <w:r w:rsidRPr="0024555B">
        <w:rPr>
          <w:rFonts w:asciiTheme="minorHAnsi" w:hAnsiTheme="minorHAnsi" w:cstheme="minorHAnsi"/>
          <w:u w:val="single"/>
        </w:rPr>
        <w:t xml:space="preserve">. For high universalism, </w:t>
      </w:r>
      <w:r w:rsidRPr="0024555B">
        <w:rPr>
          <w:rFonts w:asciiTheme="minorHAnsi" w:hAnsiTheme="minorHAnsi" w:cstheme="minorHAnsi"/>
          <w:highlight w:val="cyan"/>
          <w:u w:val="single"/>
        </w:rPr>
        <w:t>the</w:t>
      </w:r>
      <w:r w:rsidRPr="0024555B">
        <w:rPr>
          <w:rFonts w:asciiTheme="minorHAnsi" w:hAnsiTheme="minorHAnsi" w:cstheme="minorHAnsi"/>
          <w:u w:val="single"/>
        </w:rPr>
        <w:t xml:space="preserve"> emancipatory </w:t>
      </w:r>
      <w:r w:rsidRPr="0024555B">
        <w:rPr>
          <w:rFonts w:asciiTheme="minorHAnsi" w:hAnsiTheme="minorHAnsi" w:cstheme="minorHAnsi"/>
          <w:highlight w:val="cyan"/>
          <w:u w:val="single"/>
        </w:rPr>
        <w:t>principle is argued</w:t>
      </w:r>
      <w:r w:rsidRPr="0024555B">
        <w:rPr>
          <w:rFonts w:asciiTheme="minorHAnsi" w:hAnsiTheme="minorHAnsi" w:cstheme="minorHAnsi"/>
          <w:u w:val="single"/>
        </w:rPr>
        <w:t xml:space="preserve"> to be </w:t>
      </w:r>
      <w:r w:rsidRPr="0024555B">
        <w:rPr>
          <w:rFonts w:asciiTheme="minorHAnsi" w:hAnsiTheme="minorHAnsi" w:cstheme="minorHAnsi"/>
          <w:highlight w:val="cyan"/>
          <w:u w:val="single"/>
        </w:rPr>
        <w:t>beyond all</w:t>
      </w:r>
      <w:r w:rsidRPr="0024555B">
        <w:rPr>
          <w:rFonts w:asciiTheme="minorHAnsi" w:hAnsiTheme="minorHAnsi" w:cstheme="minorHAnsi"/>
          <w:u w:val="single"/>
        </w:rPr>
        <w:t xml:space="preserve"> specific </w:t>
      </w:r>
      <w:r w:rsidRPr="0024555B">
        <w:rPr>
          <w:rFonts w:asciiTheme="minorHAnsi" w:hAnsiTheme="minorHAnsi" w:cstheme="minorHAnsi"/>
          <w:highlight w:val="cyan"/>
          <w:u w:val="single"/>
        </w:rPr>
        <w:t>cultures</w:t>
      </w:r>
      <w:r w:rsidRPr="0024555B">
        <w:rPr>
          <w:rFonts w:asciiTheme="minorHAnsi" w:hAnsiTheme="minorHAnsi" w:cstheme="minorHAnsi"/>
          <w:u w:val="single"/>
        </w:rPr>
        <w:t xml:space="preserve"> and, as such, </w:t>
      </w:r>
      <w:r w:rsidRPr="0024555B">
        <w:rPr>
          <w:rFonts w:asciiTheme="minorHAnsi" w:hAnsiTheme="minorHAnsi" w:cstheme="minorHAnsi"/>
          <w:highlight w:val="cyan"/>
          <w:u w:val="single"/>
        </w:rPr>
        <w:t>superior to</w:t>
      </w:r>
      <w:r w:rsidRPr="0024555B">
        <w:rPr>
          <w:rFonts w:asciiTheme="minorHAnsi" w:hAnsiTheme="minorHAnsi" w:cstheme="minorHAnsi"/>
          <w:u w:val="single"/>
        </w:rPr>
        <w:t xml:space="preserve"> all of </w:t>
      </w:r>
      <w:r w:rsidRPr="0024555B">
        <w:rPr>
          <w:rFonts w:asciiTheme="minorHAnsi" w:hAnsiTheme="minorHAnsi" w:cstheme="minorHAnsi"/>
          <w:highlight w:val="cyan"/>
          <w:u w:val="single"/>
        </w:rPr>
        <w:t>them</w:t>
      </w:r>
      <w:r w:rsidRPr="0024555B">
        <w:rPr>
          <w:rFonts w:asciiTheme="minorHAnsi" w:hAnsiTheme="minorHAnsi" w:cstheme="minorHAnsi"/>
          <w:u w:val="single"/>
        </w:rPr>
        <w:t xml:space="preserve">. Recent </w:t>
      </w:r>
      <w:r w:rsidRPr="0024555B">
        <w:rPr>
          <w:rFonts w:asciiTheme="minorHAnsi" w:hAnsiTheme="minorHAnsi" w:cstheme="minorHAnsi"/>
          <w:highlight w:val="cyan"/>
          <w:u w:val="single"/>
        </w:rPr>
        <w:t>US adventures</w:t>
      </w:r>
      <w:r w:rsidRPr="0024555B">
        <w:rPr>
          <w:rFonts w:asciiTheme="minorHAnsi" w:hAnsiTheme="minorHAnsi" w:cstheme="minorHAnsi"/>
          <w:u w:val="single"/>
        </w:rPr>
        <w:t xml:space="preserve"> in the Middle East come to mind, where the </w:t>
      </w:r>
      <w:r w:rsidRPr="0024555B">
        <w:rPr>
          <w:rFonts w:asciiTheme="minorHAnsi" w:hAnsiTheme="minorHAnsi" w:cstheme="minorHAnsi"/>
          <w:highlight w:val="cyan"/>
          <w:u w:val="single"/>
        </w:rPr>
        <w:t>invocation</w:t>
      </w:r>
      <w:r w:rsidRPr="0024555B">
        <w:rPr>
          <w:rFonts w:asciiTheme="minorHAnsi" w:hAnsiTheme="minorHAnsi" w:cstheme="minorHAnsi"/>
          <w:u w:val="single"/>
        </w:rPr>
        <w:t xml:space="preserve"> </w:t>
      </w:r>
      <w:r w:rsidRPr="0024555B">
        <w:rPr>
          <w:rFonts w:asciiTheme="minorHAnsi" w:hAnsiTheme="minorHAnsi" w:cstheme="minorHAnsi"/>
          <w:highlight w:val="cyan"/>
          <w:u w:val="single"/>
        </w:rPr>
        <w:t>of ‘freedom’ has become</w:t>
      </w:r>
      <w:r w:rsidRPr="0024555B">
        <w:rPr>
          <w:rFonts w:asciiTheme="minorHAnsi" w:hAnsiTheme="minorHAnsi" w:cstheme="minorHAnsi"/>
          <w:u w:val="single"/>
        </w:rPr>
        <w:t xml:space="preserve"> a sign of </w:t>
      </w:r>
      <w:r w:rsidRPr="0024555B">
        <w:rPr>
          <w:rFonts w:asciiTheme="minorHAnsi" w:hAnsiTheme="minorHAnsi" w:cstheme="minorHAnsi"/>
          <w:highlight w:val="cyan"/>
          <w:u w:val="single"/>
        </w:rPr>
        <w:t>disrespect for</w:t>
      </w:r>
      <w:r w:rsidRPr="0024555B">
        <w:rPr>
          <w:rFonts w:asciiTheme="minorHAnsi" w:hAnsiTheme="minorHAnsi" w:cstheme="minorHAnsi"/>
          <w:u w:val="single"/>
        </w:rPr>
        <w:t xml:space="preserve"> the complex </w:t>
      </w:r>
      <w:r w:rsidRPr="0024555B">
        <w:rPr>
          <w:rFonts w:asciiTheme="minorHAnsi" w:hAnsiTheme="minorHAnsi" w:cstheme="minorHAnsi"/>
          <w:highlight w:val="cyan"/>
          <w:u w:val="single"/>
        </w:rPr>
        <w:t>cultures of the region</w:t>
      </w:r>
      <w:r w:rsidRPr="0024555B">
        <w:rPr>
          <w:rFonts w:asciiTheme="minorHAnsi" w:hAnsiTheme="minorHAnsi" w:cstheme="minorHAnsi"/>
          <w:u w:val="single"/>
        </w:rPr>
        <w:t xml:space="preserve">. </w:t>
      </w:r>
      <w:r w:rsidRPr="0024555B">
        <w:rPr>
          <w:rFonts w:asciiTheme="minorHAnsi" w:eastAsia="Calibri" w:hAnsiTheme="minorHAnsi" w:cstheme="minorHAnsi"/>
          <w:b/>
          <w:highlight w:val="cyan"/>
          <w:u w:val="single"/>
        </w:rPr>
        <w:t>Imposed ‘freedom’ has devastating effects</w:t>
      </w:r>
      <w:r w:rsidRPr="0024555B">
        <w:rPr>
          <w:rFonts w:asciiTheme="minorHAnsi" w:hAnsiTheme="minorHAnsi" w:cstheme="minorHAnsi"/>
          <w:sz w:val="14"/>
          <w:szCs w:val="14"/>
        </w:rPr>
        <w:t xml:space="preserve">. Common to these expressions is a deep cultural blindness associated with modernity that is unable to view other cultures empathically or engage them in informed, reciprocal cultural interchange. Rather, </w:t>
      </w:r>
      <w:r w:rsidRPr="0024555B">
        <w:rPr>
          <w:rFonts w:asciiTheme="minorHAnsi" w:hAnsiTheme="minorHAnsi" w:cstheme="minorHAnsi"/>
          <w:highlight w:val="cyan"/>
          <w:u w:val="single"/>
        </w:rPr>
        <w:t>knowledge of such cultures has</w:t>
      </w:r>
      <w:r w:rsidRPr="0024555B">
        <w:rPr>
          <w:rFonts w:asciiTheme="minorHAnsi" w:hAnsiTheme="minorHAnsi" w:cstheme="minorHAnsi"/>
          <w:u w:val="single"/>
        </w:rPr>
        <w:t xml:space="preserve"> predominantly </w:t>
      </w:r>
      <w:r w:rsidRPr="0024555B">
        <w:rPr>
          <w:rFonts w:asciiTheme="minorHAnsi" w:hAnsiTheme="minorHAnsi" w:cstheme="minorHAnsi"/>
          <w:highlight w:val="cyan"/>
          <w:u w:val="single"/>
        </w:rPr>
        <w:t>developed</w:t>
      </w:r>
      <w:r w:rsidRPr="0024555B">
        <w:rPr>
          <w:rFonts w:asciiTheme="minorHAnsi" w:hAnsiTheme="minorHAnsi" w:cstheme="minorHAnsi"/>
          <w:u w:val="single"/>
        </w:rPr>
        <w:t xml:space="preserve"> instrumentally </w:t>
      </w:r>
      <w:r w:rsidRPr="0024555B">
        <w:rPr>
          <w:rFonts w:asciiTheme="minorHAnsi" w:hAnsiTheme="minorHAnsi" w:cstheme="minorHAnsi"/>
          <w:highlight w:val="cyan"/>
          <w:u w:val="single"/>
        </w:rPr>
        <w:t>as</w:t>
      </w:r>
      <w:r w:rsidRPr="0024555B">
        <w:rPr>
          <w:rFonts w:asciiTheme="minorHAnsi" w:hAnsiTheme="minorHAnsi" w:cstheme="minorHAnsi"/>
          <w:u w:val="single"/>
        </w:rPr>
        <w:t xml:space="preserve"> a </w:t>
      </w:r>
      <w:r w:rsidRPr="0024555B">
        <w:rPr>
          <w:rFonts w:asciiTheme="minorHAnsi" w:eastAsia="Calibri" w:hAnsiTheme="minorHAnsi" w:cstheme="minorHAnsi"/>
          <w:b/>
          <w:highlight w:val="cyan"/>
          <w:u w:val="single"/>
        </w:rPr>
        <w:t>means to domination</w:t>
      </w:r>
      <w:r w:rsidRPr="0024555B">
        <w:rPr>
          <w:rFonts w:asciiTheme="minorHAnsi" w:hAnsiTheme="minorHAnsi" w:cstheme="minorHAnsi"/>
          <w:sz w:val="14"/>
          <w:szCs w:val="14"/>
        </w:rPr>
        <w:t>. These relations of cultural power at a more general level both generate the settler colonial relationship and reflexively feed off its effects. As John Gray remarks in his Black Mass,</w:t>
      </w:r>
      <w:r w:rsidRPr="0024555B">
        <w:rPr>
          <w:rFonts w:asciiTheme="minorHAnsi" w:hAnsiTheme="minorHAnsi" w:cstheme="minorHAnsi"/>
          <w:u w:val="single"/>
        </w:rPr>
        <w:t xml:space="preserve"> the </w:t>
      </w:r>
      <w:r w:rsidRPr="0024555B">
        <w:rPr>
          <w:rFonts w:asciiTheme="minorHAnsi" w:hAnsiTheme="minorHAnsi" w:cstheme="minorHAnsi"/>
          <w:highlight w:val="cyan"/>
          <w:u w:val="single"/>
        </w:rPr>
        <w:t>Enlightenment is responsible for</w:t>
      </w:r>
      <w:r w:rsidRPr="0024555B">
        <w:rPr>
          <w:rFonts w:asciiTheme="minorHAnsi" w:hAnsiTheme="minorHAnsi" w:cstheme="minorHAnsi"/>
          <w:u w:val="single"/>
        </w:rPr>
        <w:t xml:space="preserve"> many </w:t>
      </w:r>
      <w:r w:rsidRPr="0024555B">
        <w:rPr>
          <w:rFonts w:asciiTheme="minorHAnsi" w:eastAsia="Calibri" w:hAnsiTheme="minorHAnsi" w:cstheme="minorHAnsi"/>
          <w:b/>
          <w:highlight w:val="cyan"/>
          <w:u w:val="single"/>
        </w:rPr>
        <w:t>racist policies</w:t>
      </w:r>
      <w:r w:rsidRPr="0024555B">
        <w:rPr>
          <w:rFonts w:asciiTheme="minorHAnsi" w:hAnsiTheme="minorHAnsi" w:cstheme="minorHAnsi"/>
          <w:u w:val="single"/>
        </w:rPr>
        <w:t xml:space="preserve">, especially towards colonized peoples. Enlightenment philosophers have a special responsibility, as is seen in the case of Locke: John </w:t>
      </w:r>
      <w:r w:rsidRPr="0024555B">
        <w:rPr>
          <w:rFonts w:asciiTheme="minorHAnsi" w:hAnsiTheme="minorHAnsi" w:cstheme="minorHAnsi"/>
          <w:highlight w:val="cyan"/>
          <w:u w:val="single"/>
        </w:rPr>
        <w:t>Locke</w:t>
      </w:r>
      <w:r w:rsidRPr="0024555B">
        <w:rPr>
          <w:rFonts w:asciiTheme="minorHAnsi" w:hAnsiTheme="minorHAnsi" w:cstheme="minorHAnsi"/>
          <w:u w:val="single"/>
        </w:rPr>
        <w:t xml:space="preserve"> was a Christian committed to the idea that humans are created equal, but he devoted a good deal of intellectual energy to </w:t>
      </w:r>
      <w:r w:rsidRPr="0024555B">
        <w:rPr>
          <w:rFonts w:asciiTheme="minorHAnsi" w:hAnsiTheme="minorHAnsi" w:cstheme="minorHAnsi"/>
          <w:highlight w:val="cyan"/>
          <w:u w:val="single"/>
        </w:rPr>
        <w:t>justify</w:t>
      </w:r>
      <w:r w:rsidRPr="0024555B">
        <w:rPr>
          <w:rFonts w:asciiTheme="minorHAnsi" w:hAnsiTheme="minorHAnsi" w:cstheme="minorHAnsi"/>
          <w:u w:val="single"/>
        </w:rPr>
        <w:t xml:space="preserve">ing the </w:t>
      </w:r>
      <w:r w:rsidRPr="0024555B">
        <w:rPr>
          <w:rFonts w:asciiTheme="minorHAnsi" w:hAnsiTheme="minorHAnsi" w:cstheme="minorHAnsi"/>
          <w:highlight w:val="cyan"/>
          <w:u w:val="single"/>
        </w:rPr>
        <w:t>seizure of the lands of indigenous people</w:t>
      </w:r>
      <w:r w:rsidRPr="0024555B">
        <w:rPr>
          <w:rFonts w:asciiTheme="minorHAnsi" w:hAnsiTheme="minorHAnsi" w:cstheme="minorHAnsi"/>
          <w:u w:val="single"/>
        </w:rPr>
        <w:t xml:space="preserve"> in America.(8) Other philosophers, including </w:t>
      </w:r>
      <w:r w:rsidRPr="0024555B">
        <w:rPr>
          <w:rFonts w:asciiTheme="minorHAnsi" w:hAnsiTheme="minorHAnsi" w:cstheme="minorHAnsi"/>
          <w:highlight w:val="cyan"/>
          <w:u w:val="single"/>
        </w:rPr>
        <w:t>Kant</w:t>
      </w:r>
      <w:r w:rsidRPr="0024555B">
        <w:rPr>
          <w:rFonts w:asciiTheme="minorHAnsi" w:hAnsiTheme="minorHAnsi" w:cstheme="minorHAnsi"/>
          <w:u w:val="single"/>
        </w:rPr>
        <w:t xml:space="preserve">, are </w:t>
      </w:r>
      <w:r w:rsidRPr="0024555B">
        <w:rPr>
          <w:rFonts w:asciiTheme="minorHAnsi" w:hAnsiTheme="minorHAnsi" w:cstheme="minorHAnsi"/>
          <w:highlight w:val="cyan"/>
          <w:u w:val="single"/>
        </w:rPr>
        <w:t>mired in</w:t>
      </w:r>
      <w:r w:rsidRPr="0024555B">
        <w:rPr>
          <w:rFonts w:asciiTheme="minorHAnsi" w:hAnsiTheme="minorHAnsi" w:cstheme="minorHAnsi"/>
          <w:u w:val="single"/>
        </w:rPr>
        <w:t xml:space="preserve"> much the same logic. The goal of equality within a universal civilization was the prospect, but this could only be achieved by the peoples of the </w:t>
      </w:r>
      <w:r w:rsidRPr="0024555B">
        <w:rPr>
          <w:rFonts w:asciiTheme="minorHAnsi" w:hAnsiTheme="minorHAnsi" w:cstheme="minorHAnsi"/>
          <w:highlight w:val="cyan"/>
          <w:u w:val="single"/>
        </w:rPr>
        <w:t>colonies ‘giving up their</w:t>
      </w:r>
      <w:r w:rsidRPr="0024555B">
        <w:rPr>
          <w:rFonts w:asciiTheme="minorHAnsi" w:hAnsiTheme="minorHAnsi" w:cstheme="minorHAnsi"/>
          <w:u w:val="single"/>
        </w:rPr>
        <w:t xml:space="preserve"> own </w:t>
      </w:r>
      <w:r w:rsidRPr="0024555B">
        <w:rPr>
          <w:rFonts w:asciiTheme="minorHAnsi" w:eastAsia="Calibri" w:hAnsiTheme="minorHAnsi" w:cstheme="minorHAnsi"/>
          <w:b/>
          <w:highlight w:val="cyan"/>
          <w:u w:val="single"/>
        </w:rPr>
        <w:t>ways of life and adopting European ways’</w:t>
      </w:r>
      <w:r w:rsidRPr="0024555B">
        <w:rPr>
          <w:rFonts w:asciiTheme="minorHAnsi" w:hAnsiTheme="minorHAnsi" w:cstheme="minorHAnsi"/>
          <w:u w:val="single"/>
        </w:rPr>
        <w:t xml:space="preserve">.(9) If </w:t>
      </w:r>
      <w:r w:rsidRPr="0024555B">
        <w:rPr>
          <w:rFonts w:asciiTheme="minorHAnsi" w:hAnsiTheme="minorHAnsi" w:cstheme="minorHAnsi"/>
          <w:highlight w:val="cyan"/>
          <w:u w:val="single"/>
        </w:rPr>
        <w:t>they did not willingly give up</w:t>
      </w:r>
      <w:r w:rsidRPr="0024555B">
        <w:rPr>
          <w:rFonts w:asciiTheme="minorHAnsi" w:hAnsiTheme="minorHAnsi" w:cstheme="minorHAnsi"/>
          <w:u w:val="single"/>
        </w:rPr>
        <w:t xml:space="preserve"> their ways of life, </w:t>
      </w:r>
      <w:r w:rsidRPr="0024555B">
        <w:rPr>
          <w:rFonts w:asciiTheme="minorHAnsi" w:hAnsiTheme="minorHAnsi" w:cstheme="minorHAnsi"/>
          <w:highlight w:val="cyan"/>
          <w:u w:val="single"/>
        </w:rPr>
        <w:t>extermination</w:t>
      </w:r>
      <w:r w:rsidRPr="0024555B">
        <w:rPr>
          <w:rFonts w:asciiTheme="minorHAnsi" w:hAnsiTheme="minorHAnsi" w:cstheme="minorHAnsi"/>
          <w:u w:val="single"/>
        </w:rPr>
        <w:t xml:space="preserve">, an idea that was widespread, </w:t>
      </w:r>
      <w:r w:rsidRPr="0024555B">
        <w:rPr>
          <w:rFonts w:asciiTheme="minorHAnsi" w:hAnsiTheme="minorHAnsi" w:cstheme="minorHAnsi"/>
          <w:highlight w:val="cyan"/>
          <w:u w:val="single"/>
        </w:rPr>
        <w:t>might be entertained</w:t>
      </w:r>
      <w:r w:rsidRPr="0024555B">
        <w:rPr>
          <w:rFonts w:asciiTheme="minorHAnsi" w:hAnsiTheme="minorHAnsi" w:cstheme="minorHAnsi"/>
          <w:u w:val="single"/>
        </w:rPr>
        <w:t>.</w:t>
      </w:r>
      <w:r w:rsidRPr="0024555B">
        <w:rPr>
          <w:rFonts w:asciiTheme="minorHAnsi" w:hAnsiTheme="minorHAnsi" w:cstheme="minorHAnsi"/>
          <w:sz w:val="14"/>
          <w:szCs w:val="14"/>
        </w:rPr>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w:t>
      </w:r>
      <w:r w:rsidRPr="0024555B">
        <w:rPr>
          <w:rFonts w:asciiTheme="minorHAnsi" w:hAnsiTheme="minorHAnsi" w:cstheme="minorHAnsi"/>
          <w:u w:val="single"/>
        </w:rPr>
        <w:t>: Nazi policies of extermination … drew on powerful currents in the Enlightenment and used as models policies in operation in many countries, including the world’s leading liberal democracy. Programmes aiming to sterilize the unfit were under way in the United States. Hitler admired these programmes and also admired America’s genocidal treatment of indigenous peoples:</w:t>
      </w:r>
      <w:r w:rsidRPr="0024555B">
        <w:rPr>
          <w:rFonts w:asciiTheme="minorHAnsi" w:hAnsiTheme="minorHAnsi" w:cstheme="minorHAnsi"/>
          <w:sz w:val="14"/>
          <w:szCs w:val="14"/>
        </w:rPr>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Generalplan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Mississippi.(13) As suggestive as this material may be, the point is not that of equating the United States with the Nazis. Rather it is to make the more important ethical point about </w:t>
      </w:r>
      <w:r w:rsidRPr="0024555B">
        <w:rPr>
          <w:rFonts w:asciiTheme="minorHAnsi" w:hAnsiTheme="minorHAnsi" w:cstheme="minorHAnsi"/>
          <w:highlight w:val="cyan"/>
          <w:u w:val="single"/>
        </w:rPr>
        <w:t>Western powers and</w:t>
      </w:r>
      <w:r w:rsidRPr="0024555B">
        <w:rPr>
          <w:rFonts w:asciiTheme="minorHAnsi" w:hAnsiTheme="minorHAnsi" w:cstheme="minorHAnsi"/>
          <w:u w:val="single"/>
        </w:rPr>
        <w:t xml:space="preserve"> Western </w:t>
      </w:r>
      <w:r w:rsidRPr="0024555B">
        <w:rPr>
          <w:rFonts w:asciiTheme="minorHAnsi" w:hAnsiTheme="minorHAnsi" w:cstheme="minorHAnsi"/>
          <w:highlight w:val="cyan"/>
          <w:u w:val="single"/>
        </w:rPr>
        <w:t>culture</w:t>
      </w:r>
      <w:r w:rsidRPr="0024555B">
        <w:rPr>
          <w:rFonts w:asciiTheme="minorHAnsi" w:hAnsiTheme="minorHAnsi" w:cstheme="minorHAnsi"/>
          <w:u w:val="single"/>
        </w:rPr>
        <w:t xml:space="preserve">: they </w:t>
      </w:r>
      <w:r w:rsidRPr="0024555B">
        <w:rPr>
          <w:rFonts w:asciiTheme="minorHAnsi" w:hAnsiTheme="minorHAnsi" w:cstheme="minorHAnsi"/>
          <w:highlight w:val="cyan"/>
          <w:u w:val="single"/>
        </w:rPr>
        <w:t>are interwoven with practices that take settler colonialism for granted</w:t>
      </w:r>
      <w:r w:rsidRPr="0024555B">
        <w:rPr>
          <w:rFonts w:asciiTheme="minorHAnsi" w:hAnsiTheme="minorHAnsi" w:cstheme="minorHAnsi"/>
          <w:u w:val="single"/>
        </w:rPr>
        <w:t>, practices that arguably define the underside of modernity.</w:t>
      </w:r>
      <w:r w:rsidRPr="0024555B">
        <w:rPr>
          <w:rFonts w:asciiTheme="minorHAnsi" w:hAnsiTheme="minorHAnsi" w:cstheme="minorHAnsi"/>
          <w:sz w:val="14"/>
          <w:szCs w:val="14"/>
        </w:rPr>
        <w:t xml:space="preserve"> </w:t>
      </w:r>
    </w:p>
    <w:p w14:paraId="0AC7A014" w14:textId="77777777" w:rsidR="00527952" w:rsidRPr="00B82D2B" w:rsidRDefault="00527952" w:rsidP="00527952">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2754E1F4" w14:textId="77777777" w:rsidR="00527952" w:rsidRPr="00B82D2B" w:rsidRDefault="00527952" w:rsidP="00527952">
      <w:r w:rsidRPr="00B82D2B">
        <w:rPr>
          <w:rStyle w:val="Style13ptBold"/>
        </w:rPr>
        <w:t>Wynter and McKittrick 15</w:t>
      </w:r>
      <w:r w:rsidRPr="00B82D2B">
        <w:t xml:space="preserve">. Sylvia Wynter is a Professor Emerita at Stanford University. Katherine McKittrick is a professor in Gender Studies at Queen's University. She is an academic and writer whose work focuses on black studies, cultural geography, anti-colonial and diaspora studies, with an emphasis on the ways in which liberation emerges in black creative texts. (Sylvia Wynter: On Being Human as Praxis, </w:t>
      </w:r>
      <w:r w:rsidRPr="00B82D2B">
        <w:rPr>
          <w:i/>
        </w:rPr>
        <w:t>Duke University Press</w:t>
      </w:r>
      <w:r w:rsidRPr="00B82D2B">
        <w:t>, 2015</w:t>
      </w:r>
      <w:r>
        <w:t xml:space="preserve">) </w:t>
      </w:r>
      <w:r w:rsidRPr="00B82D2B">
        <w:t>vikas</w:t>
      </w:r>
    </w:p>
    <w:p w14:paraId="7E6D1A70" w14:textId="77777777" w:rsidR="00527952" w:rsidRPr="00B82D2B" w:rsidRDefault="00527952" w:rsidP="00527952">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storytellingly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hybridly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r w:rsidRPr="00EA4754">
        <w:rPr>
          <w:b/>
          <w:u w:val="single"/>
        </w:rPr>
        <w:t xml:space="preserve">monohumanist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r w:rsidRPr="00EA4754">
        <w:rPr>
          <w:rStyle w:val="Emphasis"/>
          <w:highlight w:val="cyan"/>
        </w:rPr>
        <w:t>storytellingly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reflexly and subjectively experienced terms of a cognitively closed, thereby genre- specific and fictively eusocializing,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Pseudospeciated Mode of Kind KM: Here Wynter elaborates on storytelling beginnings and cosmogonies. She returns to her extension of Frantz Fanon’s conception of our being hybridly human, both bios and mythoi, in order to address the unsolved phenomenon of human consciousness. She explores how our chartering / encoding genre- specific cosmogonies provide the narrative source of our fictively eusocializing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we </w:t>
      </w:r>
      <w:r w:rsidRPr="00EA4754">
        <w:rPr>
          <w:b/>
          <w:szCs w:val="6"/>
          <w:highlight w:val="cyan"/>
          <w:u w:val="single"/>
        </w:rPr>
        <w:t>is,</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ourselves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hybridly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preprescribed for them. Ours are not, even though the biocentric meritocratic iq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initiatedly reborn. In this case we are no longer, as individual biological subjects, primarily born of the womb; rather, we are both initiated and reborn as fictively instituted inter- altruistic kinrecognizing members of each such symbolically re- encoded genre- specific referent- we. This is to say we are all initiatedly reborn—renatus in Saint Thomas Aquinas’s Christian term—to subjectively experience ourselves as subjects of the same encoded symbolic life kind. Why this imperative? Because </w:t>
      </w:r>
      <w:r w:rsidRPr="00B82D2B">
        <w:rPr>
          <w:b/>
          <w:szCs w:val="6"/>
          <w:u w:val="single"/>
        </w:rPr>
        <w:t>for all genre- specific subjects who are reborn from the same eusocializing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pseudospeciated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reflexly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the first set of instructions of our own dna</w:t>
      </w:r>
      <w:r w:rsidRPr="00B82D2B">
        <w:rPr>
          <w:sz w:val="16"/>
        </w:rPr>
        <w:t xml:space="preserve"> (unlike as is the case with all other primates). </w:t>
      </w:r>
      <w:r w:rsidRPr="00B82D2B">
        <w:rPr>
          <w:sz w:val="16"/>
          <w:szCs w:val="6"/>
        </w:rPr>
        <w:t>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supraindividual consciousness—is thereby to arrive on the scene all at once! With the Big Bang of the biomutational Third Event! So you see now why we still can’t solve the problem of consciousness? In spite of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reflexly talking and thinking in terms of Darwin’s biocosmogonically chartered definitive version—in The Descent of Man (1871)—of the British bourgeoisie’s ruling class’s earlier reinvention of Man1’s civic humanist homo politicus as that of liberal monohumanist Man2 as homo oeconomicus, together with its now fully desupernaturalized sociogenically encoded order of consciousness. These are the very terms, therefore, in which we ourselves, in now historically postcolonial / postapartheid contexts, are. If in our case, only mimetically so! This at the same time as we are also struggling to think outside the limits of the purely biocentric order of consciousness that is genre- specific to the Western bourgeoisie’s homo oeconomicus. But it’s extremely difficult to do, right? You know why? Because Darwinism’s powerful, seductive force as a cosmogony, or origin narrative, is due to the fact that it is the first in our human history to be not only part myth but also part natural science. In fact, this mutation—the part myth / part natural science workings of Darwinism—draws attention to Darwin’s powerful neoMalthusian conceptual leap.65 A leap by means of which—over and against Cardinal Bellarmine—Darwin was to definitively replace the biblical Cre- ation account of the origin of all forms of biological life, including the major bios aspect of our being hybridly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ethics and attitudes. The Adam and Eve creation story of the Bible is simply one of a wide variety of such poetic formulations. . . .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 . . . Our new origin beliefs are in fact surrogate myths, that are themselves part science, part myths. 66 So the trap, you see, is that of the paradox that lies at the core of our metaDarwinian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extrahumanly (supernaturally, but now also naturally and / or bioevolutionarily, therefore secularly) mandated what the structuring societal order of our genre- specific, eusocial or cultural present would have to be.67 As the French cultural anthropologist Maurice Godelier also makes clear, with respect to the above: we, too, hitherto have also systematically kept the reality of our own agency—from our origins until today—opaque to ourselves. 68 Thus all our humanly invented chartering cosmogonies, including our contemporary macro (monohumanistic / monotheistic) cosmogonies, are law- likely configured as being extrahumanly mandated.69 All such sacred theological discourses ( Judaism, Islamism, Christianity, for example) continue to function in the already theo- cosmogonically mandated cognitively closed terms that are indispensable to the enacting of their respective behavior- inducing and behavior- regulatory fictively eusocializing imperative. This is especially apparent, too, in the secular substitute monohumanist religion of Darwin’s neo- Malthusian biocosmogony: here, in the biocosmogony of symbolic life / death—as that of selection / dysselection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and, corelatedly,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dysselected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dysselected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monohumanist Man2. This now purely secular coding of life / death is itself discursively—indeed rigorously—elaborated bioepistemologically,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pseudospeciation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biocosmogonically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psychoaffectively / aesthetically) </w:t>
      </w:r>
      <w:r w:rsidRPr="00EA4754">
        <w:rPr>
          <w:b/>
          <w:highlight w:val="cyan"/>
          <w:u w:val="single"/>
        </w:rPr>
        <w:t>closed terms.</w:t>
      </w:r>
    </w:p>
    <w:p w14:paraId="3A9C41DC" w14:textId="77777777" w:rsidR="00527952" w:rsidRPr="00B82D2B" w:rsidRDefault="00527952" w:rsidP="00527952">
      <w:pPr>
        <w:rPr>
          <w:b/>
          <w:u w:val="single"/>
        </w:rPr>
      </w:pPr>
    </w:p>
    <w:p w14:paraId="1797627A" w14:textId="77777777" w:rsidR="00527952" w:rsidRPr="0024555B" w:rsidRDefault="00527952" w:rsidP="00527952">
      <w:pPr>
        <w:keepNext/>
        <w:keepLines/>
        <w:spacing w:before="40" w:after="0"/>
        <w:outlineLvl w:val="3"/>
        <w:rPr>
          <w:rFonts w:asciiTheme="minorHAnsi" w:eastAsia="MS Gothic" w:hAnsiTheme="minorHAnsi" w:cstheme="minorHAnsi"/>
          <w:b/>
          <w:iCs/>
          <w:sz w:val="26"/>
        </w:rPr>
      </w:pPr>
      <w:r w:rsidRPr="0024555B">
        <w:rPr>
          <w:rFonts w:asciiTheme="minorHAnsi" w:eastAsia="MS Gothic" w:hAnsiTheme="minorHAnsi" w:cstheme="minorHAnsi"/>
          <w:b/>
          <w:iCs/>
          <w:sz w:val="26"/>
        </w:rPr>
        <w:t>Ideal theory is a form of abstraction away from the material violence of settler colonialism – their view from nowhere is not only useless but actively props up settlerism.</w:t>
      </w:r>
    </w:p>
    <w:p w14:paraId="25A995B9" w14:textId="77777777" w:rsidR="00527952" w:rsidRPr="0024555B" w:rsidRDefault="00527952" w:rsidP="00527952">
      <w:pPr>
        <w:rPr>
          <w:rFonts w:asciiTheme="minorHAnsi" w:eastAsia="Cambria" w:hAnsiTheme="minorHAnsi" w:cstheme="minorHAnsi"/>
        </w:rPr>
      </w:pPr>
      <w:r w:rsidRPr="0024555B">
        <w:rPr>
          <w:rFonts w:asciiTheme="minorHAnsi" w:eastAsia="Cambria" w:hAnsiTheme="minorHAnsi" w:cstheme="minorHAnsi"/>
          <w:b/>
          <w:bCs/>
          <w:sz w:val="26"/>
        </w:rPr>
        <w:t xml:space="preserve">Nichols 13 </w:t>
      </w:r>
      <w:r w:rsidRPr="0024555B">
        <w:rPr>
          <w:rFonts w:asciiTheme="minorHAnsi" w:eastAsia="Cambria" w:hAnsiTheme="minorHAnsi" w:cstheme="minorHAnsi"/>
        </w:rPr>
        <w:t>Nichols, R. (2013). Indigeneity and the Settler Contract today. Philosophy &amp; Social Criticism, 39(2), 165–186. doi:10.1177/0191453712470359 SM</w:t>
      </w:r>
    </w:p>
    <w:p w14:paraId="75E1A4E8" w14:textId="77777777" w:rsidR="00527952" w:rsidRPr="00BE455F" w:rsidRDefault="00527952" w:rsidP="00527952">
      <w:r w:rsidRPr="00BE455F">
        <w:t>Throughout the 20th century, of course, these ‘high theories’ of human development have come under considerable attack. 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BE455F">
        <w:rPr>
          <w:highlight w:val="green"/>
        </w:rPr>
        <w:t>civilized’ versus ‘uncivilized’</w:t>
      </w:r>
      <w:r w:rsidRPr="00BE455F">
        <w:t xml:space="preserve">. The reason they gave was that this discourse </w:t>
      </w:r>
      <w:r w:rsidRPr="00BE455F">
        <w:rPr>
          <w:highlight w:val="green"/>
        </w:rPr>
        <w:t>was a prevailing justification for</w:t>
      </w:r>
      <w:r w:rsidRPr="00BE455F">
        <w:t xml:space="preserve"> western </w:t>
      </w:r>
      <w:r w:rsidRPr="00BE455F">
        <w:rPr>
          <w:highlight w:val="green"/>
        </w:rPr>
        <w:t>imperialism</w:t>
      </w:r>
      <w:r w:rsidRPr="00BE455F">
        <w:t xml:space="preserve"> in both its colonial and neo-colonial forms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BE455F">
        <w:rPr>
          <w:highlight w:val="green"/>
        </w:rPr>
        <w:t>ideal theory</w:t>
      </w:r>
      <w:r w:rsidRPr="00BE455F">
        <w:t xml:space="preserve"> came to predominate in the western academy.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philosophers after Rawls and Nozick </w:t>
      </w:r>
      <w:r w:rsidRPr="00BE455F">
        <w:rPr>
          <w:highlight w:val="green"/>
        </w:rPr>
        <w:t>have been</w:t>
      </w:r>
      <w:r w:rsidRPr="00BE455F">
        <w:t xml:space="preserve"> generally </w:t>
      </w:r>
      <w:r w:rsidRPr="00BE455F">
        <w:rPr>
          <w:highlight w:val="green"/>
        </w:rPr>
        <w:t>reluctant to engage in</w:t>
      </w:r>
      <w:r w:rsidRPr="00BE455F">
        <w:t xml:space="preserve"> the grand, complex </w:t>
      </w:r>
      <w:r w:rsidRPr="00BE455F">
        <w:rPr>
          <w:highlight w:val="green"/>
        </w:rPr>
        <w:t>historical</w:t>
      </w:r>
      <w:r w:rsidRPr="00BE455F">
        <w:t xml:space="preserve"> and anthropological </w:t>
      </w:r>
      <w:r w:rsidRPr="00BE455F">
        <w:rPr>
          <w:highlight w:val="green"/>
        </w:rPr>
        <w:t>narratives</w:t>
      </w:r>
      <w:r w:rsidRPr="00BE455F">
        <w:t xml:space="preserve"> that characterized the work of, for instance, Hegel and Marx. </w:t>
      </w:r>
      <w:r w:rsidRPr="00BE455F">
        <w:rPr>
          <w:highlight w:val="green"/>
        </w:rPr>
        <w:t>Instead</w:t>
      </w:r>
      <w:r w:rsidRPr="00BE455F">
        <w:t xml:space="preserve">, they </w:t>
      </w:r>
      <w:r w:rsidRPr="00BE455F">
        <w:rPr>
          <w:highlight w:val="green"/>
        </w:rPr>
        <w:t>argued that</w:t>
      </w:r>
      <w:r w:rsidRPr="00BE455F">
        <w:t xml:space="preserve"> guiding </w:t>
      </w:r>
      <w:r w:rsidRPr="00BE455F">
        <w:rPr>
          <w:highlight w:val="green"/>
        </w:rPr>
        <w:t>principles for</w:t>
      </w:r>
      <w:r w:rsidRPr="00BE455F">
        <w:t xml:space="preserve"> the organization of </w:t>
      </w:r>
      <w:r w:rsidRPr="00BE455F">
        <w:rPr>
          <w:highlight w:val="green"/>
        </w:rPr>
        <w:t>a just society</w:t>
      </w:r>
      <w:r w:rsidRPr="00BE455F">
        <w:t xml:space="preserve"> (and a just relationship between societies) </w:t>
      </w:r>
      <w:r w:rsidRPr="00BE455F">
        <w:rPr>
          <w:highlight w:val="green"/>
        </w:rPr>
        <w:t>can be generated by abstracting away</w:t>
      </w:r>
      <w:r w:rsidRPr="00BE455F">
        <w:t xml:space="preserve"> from the specific historical and cultural conditions of the present. By imagining oneself in (to use Rawls’ parlance) an ‘original position’, behind a ‘veil of ignorance’ (i.e. without knowledge of one’s race, gender, culture, social location, etc.), it is possible to determine what first principles would be generally acceptable to all (regardless of the above qualifiers). The notion of an original ‘contract’ between such individuals is thus used as a device of representation to generate a normative theory which can then be used to critically examine actually existing practices. This tradition and mode of philosophical reflection have come to replace the 19th-century historical-anthropological discourse as the prevailing manner in which philosophers and political theorists in the western academy (but especially in Anglo-American countries) analyse the possibility of a just relationship to non-western societies. The purpose of this article is to reflect not only upon the limitations, but more importantly upon the political function of this approach, particularly when it is deployed as a resource for reflection on the political struggles and normative claims of the indigenous peoples in the settler-colonial societies of the Anglo-American world (e.g. Australia, Canada, New Zealand, the United States). In so doing, I hope to present a small slice of a much larger project comprising a genealogy of what I will refer to here asthe ‘Settler Contract’.4 In usingthe term ‘Settler Contract’ I am deliberately playing off of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CharlesMills’TheRacialContract.In Pateman’s 1988 work, she rereadthe canon of western social contract theory in an attempt to demonstrate that </w:t>
      </w:r>
      <w:r w:rsidRPr="00BE455F">
        <w:rPr>
          <w:highlight w:val="green"/>
        </w:rPr>
        <w:t>the presumptively neutral and ideal accounts of the origins of civil society</w:t>
      </w:r>
      <w:r w:rsidRPr="00BE455F">
        <w:t xml:space="preserve"> as presented in the works of, for instance, Hobbes, Locke and Rousseau, </w:t>
      </w:r>
      <w:r w:rsidRPr="00BE455F">
        <w:rPr>
          <w:highlight w:val="green"/>
        </w:rPr>
        <w:t>were</w:t>
      </w:r>
      <w:r w:rsidRPr="00BE455F">
        <w:t xml:space="preserve"> in fact </w:t>
      </w:r>
      <w:r w:rsidRPr="00BE455F">
        <w:rPr>
          <w:highlight w:val="green"/>
        </w:rPr>
        <w:t>always</w:t>
      </w:r>
      <w:r w:rsidRPr="00BE455F">
        <w:t xml:space="preserve"> (implicitly or explicitly) </w:t>
      </w:r>
      <w:r w:rsidRPr="00BE455F">
        <w:rPr>
          <w:highlight w:val="green"/>
        </w:rPr>
        <w:t>sexual-patriarchal narratives that legitimized the subordination</w:t>
      </w:r>
      <w:r w:rsidRPr="00BE455F">
        <w:t xml:space="preserve"> of women. In 1995, Charles Mills deliberately borrowed from Pateman in his project of unmasking the racial (or, more precisely, whitesupremacist)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subpersons, so that they have a subordinate civil standing in the white or white-ruled polities the whites either already inhabit or establish or in transactions as aligns with these polities, and the moral and juridical rules normally regulating the behaviour of whites in their dealings with one another either do not apply at all in dealings with nonwhites or apply only in a qualified form.5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BE455F">
        <w:rPr>
          <w:highlight w:val="green"/>
        </w:rPr>
        <w:t>the ideal civil society is premised upon the extermination of indigenous peoples</w:t>
      </w:r>
      <w:r w:rsidRPr="00BE455F">
        <w:t xml:space="preserve"> and/or the displacement of them from their lands. I will use the term ‘Settler</w:t>
      </w:r>
      <w:r>
        <w:t xml:space="preserve"> </w:t>
      </w:r>
      <w:r w:rsidRPr="00BE455F">
        <w:t xml:space="preserve">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appropriation.6 The Settler Contract’s </w:t>
      </w:r>
      <w:r w:rsidRPr="00BE455F">
        <w:rPr>
          <w:highlight w:val="green"/>
        </w:rPr>
        <w:t>reactivation is used</w:t>
      </w:r>
      <w:r w:rsidRPr="00BE455F">
        <w:t xml:space="preserve"> not </w:t>
      </w:r>
      <w:r w:rsidRPr="00BE455F">
        <w:rPr>
          <w:highlight w:val="green"/>
        </w:rPr>
        <w:t>to</w:t>
      </w:r>
      <w:r w:rsidRPr="00BE455F">
        <w:t xml:space="preserve"> deny the content of specific indigenous peoples’ claims, but rather to </w:t>
      </w:r>
      <w:r w:rsidRPr="00BE455F">
        <w:rPr>
          <w:highlight w:val="green"/>
        </w:rPr>
        <w:t>shift the register of argumentation to a</w:t>
      </w:r>
      <w:r w:rsidRPr="00BE455F">
        <w:t xml:space="preserve"> highly </w:t>
      </w:r>
      <w:r w:rsidRPr="00BE455F">
        <w:rPr>
          <w:highlight w:val="green"/>
        </w:rPr>
        <w:t>abstract and counter-factual level, relieving the burden of proof from colonial states</w:t>
      </w:r>
      <w:r w:rsidRPr="00BE455F">
        <w:t xml:space="preserve">. In such a case, the original contract between white colonial settlers thus ‘simultaneously presupposes, extinguishes, and replaces a state of nature. A settled colony simultaneously presupposes and extinguishes a terra nullius.’ 7 The Settler Contract then refers to the dual legitimating function of the philosophical and historical-narrative device of the ‘original contract’ as the origins of societal order: first, by presupposing no previous indigenous societies and second, by legitimizing the violence required to turn this fiction into reality. Although the Settler Contract has obvious similarities and points of overlap with the Racial Contract, and is constituted in gendered and sexualized practices, it is analysable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the theoretical device of </w:t>
      </w:r>
      <w:r w:rsidRPr="00BE455F">
        <w:rPr>
          <w:highlight w:val="green"/>
        </w:rPr>
        <w:t>an appeal to the ‘ideal’</w:t>
      </w:r>
      <w:r w:rsidRPr="00BE455F">
        <w:t xml:space="preserve"> contract </w:t>
      </w:r>
      <w:r w:rsidRPr="00BE455F">
        <w:rPr>
          <w:highlight w:val="green"/>
        </w:rPr>
        <w:t>is</w:t>
      </w:r>
      <w:r w:rsidRPr="00BE455F">
        <w:t xml:space="preserve"> itself </w:t>
      </w:r>
      <w:r w:rsidRPr="00BE455F">
        <w:rPr>
          <w:highlight w:val="green"/>
        </w:rPr>
        <w:t>inherently problematic</w:t>
      </w:r>
      <w:r w:rsidRPr="00BE455F">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has to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2015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BE455F">
        <w:rPr>
          <w:highlight w:val="green"/>
        </w:rPr>
        <w:t>appeal to an ‘ideal’</w:t>
      </w:r>
      <w:r w:rsidRPr="00BE455F">
        <w:t xml:space="preserve"> original contract, </w:t>
      </w:r>
      <w:r w:rsidRPr="00BE455F">
        <w:rPr>
          <w:highlight w:val="green"/>
        </w:rPr>
        <w:t>even as a heuristic device</w:t>
      </w:r>
      <w:r w:rsidRPr="00BE455F">
        <w:t xml:space="preserve"> for the generating of ‘first principles’, serves to </w:t>
      </w:r>
      <w:r w:rsidRPr="00BE455F">
        <w:rPr>
          <w:highlight w:val="green"/>
        </w:rPr>
        <w:t xml:space="preserve">displace questions of </w:t>
      </w:r>
      <w:r w:rsidRPr="00BE455F">
        <w:t xml:space="preserve">the historical instantiation of actual political societies and domains of </w:t>
      </w:r>
      <w:r w:rsidRPr="00BE455F">
        <w:rPr>
          <w:highlight w:val="green"/>
        </w:rPr>
        <w:t>sovereignty and</w:t>
      </w:r>
      <w:r w:rsidRPr="00BE455F">
        <w:t xml:space="preserve">, as such, has served and </w:t>
      </w:r>
      <w:r w:rsidRPr="00BE455F">
        <w:rPr>
          <w:highlight w:val="green"/>
        </w:rPr>
        <w:t>continues to serve the function of justifying ongoing occupation</w:t>
      </w:r>
      <w:r w:rsidRPr="00BE455F">
        <w:t xml:space="preserve"> of settler societies in indigenous territory. To do this, I draw upon a Foucaultian distinction between historico-political vs philosophico-juridical discourses of sovereignty and right as a means of complementing and augmenting previous work on the Settler Contract. Furthermore, I argue that the philosophico-juridical discourse of the Settler Contract has its origins – both in historical time and as an event repeated in contemporaneous time – at the moment in which the weight of the past cannot be borne. Contract theory can therefore be studied not merely in terms of the content of its claims (i.e. true or false depictions of indigenous peoples), but in terms of its strategic function in relieving the burden of the historical inheritance of conquest. When read in light of this function, I argue, contract theory emerges as an inherently problematic framework for the adjudication of indigenous claims and, moreover, for the establishment of a non-colonial relationship between indigenous peoples and settler-colonial societies. This also means, however, that unlike Pateman and Mills,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 In fact, I want to argue, it is in those places where contract theory is at </w:t>
      </w:r>
      <w:r w:rsidRPr="00BE455F">
        <w:rPr>
          <w:highlight w:val="green"/>
        </w:rPr>
        <w:t>its most abstract</w:t>
      </w:r>
      <w:r w:rsidRPr="00BE455F">
        <w:t xml:space="preserve"> (purportedly </w:t>
      </w:r>
      <w:r w:rsidRPr="00BE455F">
        <w:rPr>
          <w:highlight w:val="green"/>
        </w:rPr>
        <w:t xml:space="preserve">neutral and non-evaluative) </w:t>
      </w:r>
      <w:r w:rsidRPr="00BE455F">
        <w:t xml:space="preserve">that it often </w:t>
      </w:r>
      <w:r w:rsidRPr="00BE455F">
        <w:rPr>
          <w:highlight w:val="green"/>
        </w:rPr>
        <w:t>functions most effectively as a strategy of settler-colonial domination</w:t>
      </w:r>
      <w:r w:rsidRPr="00BE455F">
        <w:t xml:space="preserve">. The second contribution to this discussion I would like to make is to demonstrate how this form of theory continues to function today with respect to the claims of indigenous peoples. Thus, I am also less concerned here with the historical figures of Hobbes, Locke, Rousseau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a specific </w:t>
      </w:r>
      <w:r w:rsidRPr="00BE455F">
        <w:rPr>
          <w:highlight w:val="green"/>
        </w:rPr>
        <w:t>rhetorical structure</w:t>
      </w:r>
      <w:r w:rsidRPr="00BE455F">
        <w:t xml:space="preserve"> or style of argumentation </w:t>
      </w:r>
      <w:r w:rsidRPr="00BE455F">
        <w:rPr>
          <w:highlight w:val="green"/>
        </w:rPr>
        <w:t>shapes the discursive space such that certain outcomes appear as</w:t>
      </w:r>
      <w:r w:rsidRPr="00BE455F">
        <w:t xml:space="preserve"> the </w:t>
      </w:r>
      <w:r w:rsidRPr="00BE455F">
        <w:rPr>
          <w:highlight w:val="green"/>
        </w:rPr>
        <w:t>logical</w:t>
      </w:r>
      <w:r w:rsidRPr="00BE455F">
        <w:t xml:space="preserve"> or necessary conclusion to an argument </w:t>
      </w:r>
      <w:r w:rsidRPr="00BE455F">
        <w:rPr>
          <w:highlight w:val="green"/>
        </w:rPr>
        <w:t>when</w:t>
      </w:r>
      <w:r w:rsidRPr="00BE455F">
        <w:t xml:space="preserve">, in fact, </w:t>
      </w:r>
      <w:r w:rsidRPr="00BE455F">
        <w:rPr>
          <w:highlight w:val="green"/>
        </w:rPr>
        <w:t>the debate has been skewed in this direction by the point of departure itself</w:t>
      </w:r>
      <w:r w:rsidRPr="00BE455F">
        <w:t>. Second, I acknowledge that my selection of authors is non-comprehensive. I have chosen here to focus on Jeremy Waldron’s recent application of the social contract tradition to the claims of indigenous peoples. This is in part because (as I said at the outset) this particular article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34BB26AE" w14:textId="77777777" w:rsidR="00527952" w:rsidRPr="0024555B" w:rsidRDefault="00527952" w:rsidP="00EE79D6">
      <w:pPr>
        <w:rPr>
          <w:rFonts w:asciiTheme="minorHAnsi" w:hAnsiTheme="minorHAnsi" w:cstheme="minorHAnsi"/>
          <w:sz w:val="16"/>
          <w:szCs w:val="16"/>
        </w:rPr>
      </w:pPr>
    </w:p>
    <w:p w14:paraId="2BBC7ACE" w14:textId="77777777" w:rsidR="00EE79D6" w:rsidRPr="009449C2" w:rsidRDefault="00EE79D6" w:rsidP="00EE79D6">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78BFEF19" w14:textId="77777777" w:rsidR="00EE79D6" w:rsidRPr="009449C2" w:rsidRDefault="00EE79D6" w:rsidP="00EE79D6">
      <w:r w:rsidRPr="009449C2">
        <w:rPr>
          <w:rStyle w:val="Style13ptBold"/>
        </w:rPr>
        <w:t>Belcourt 2016</w:t>
      </w:r>
      <w:r w:rsidRPr="009449C2">
        <w:t xml:space="preserve"> (Billy-ray Belcourt is from the Driftpile Cree Nation. He is a 2016 Rhodes Scholar and is reading for an M.St. in Women's Studies at the University of Oxford. He was named by CBC Books as one of six Indigenous writers to watch,Political Depression in a Time of Reconciliation, Jan 15, 2016, </w:t>
      </w:r>
      <w:hyperlink r:id="rId11" w:history="1">
        <w:r w:rsidRPr="009449C2">
          <w:rPr>
            <w:rStyle w:val="Hyperlink"/>
          </w:rPr>
          <w:t>http://activehistory.ca/2016/01/political-depression-in-a-time-of-reconciliation/)//NotJacob//recut</w:t>
        </w:r>
      </w:hyperlink>
      <w:r w:rsidRPr="009449C2">
        <w:t xml:space="preserve"> anop</w:t>
      </w:r>
    </w:p>
    <w:p w14:paraId="7644901C" w14:textId="77777777" w:rsidR="00EE79D6" w:rsidRDefault="00EE79D6" w:rsidP="00EE79D6">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labour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 xml:space="preserve">.[3]  </w:t>
      </w:r>
      <w:r w:rsidRPr="009449C2">
        <w:rPr>
          <w:rStyle w:val="Emphasis"/>
          <w:highlight w:val="cyan"/>
        </w:rPr>
        <w:t>This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To be politically depressed is to worry about the temporal reach of neoliberal projects like reconciliation, to question their orientation toward the future because the present requires all of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labour of maintaining one’s life becomes too hard to </w:t>
      </w:r>
      <w:r w:rsidRPr="00811119">
        <w:rPr>
          <w:rStyle w:val="Emphasis"/>
        </w:rPr>
        <w:t>keep up. We have to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a political that doesn’t actually exist</w:t>
      </w:r>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I think there are ways of being attuned to our bodies such that we can gauge if our visceral responses are trained or not, parasitic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in this day and age.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But,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As Kim TallBear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16E1C789" w14:textId="6EB07F6D" w:rsidR="00EE79D6" w:rsidRDefault="00EE79D6" w:rsidP="00EE79D6"/>
    <w:p w14:paraId="04155C55" w14:textId="4283D35D" w:rsidR="00EE79D6" w:rsidRDefault="00EE79D6" w:rsidP="00EE79D6"/>
    <w:p w14:paraId="4935CA9A" w14:textId="3384668A" w:rsidR="003B3B0D" w:rsidRDefault="003B3B0D" w:rsidP="00EE79D6"/>
    <w:p w14:paraId="7E23090B" w14:textId="1BE45C91" w:rsidR="00EE79D6" w:rsidRDefault="00EE79D6" w:rsidP="00EE79D6">
      <w:pPr>
        <w:pStyle w:val="Heading2"/>
      </w:pPr>
      <w:r>
        <w:t>Case</w:t>
      </w:r>
    </w:p>
    <w:p w14:paraId="2A18F36E" w14:textId="587CB88C" w:rsidR="00EE79D6" w:rsidRDefault="00EE79D6" w:rsidP="00EE79D6">
      <w:pPr>
        <w:pStyle w:val="Heading3"/>
      </w:pPr>
      <w:r>
        <w:t>Underview</w:t>
      </w:r>
    </w:p>
    <w:p w14:paraId="43C0AAE6" w14:textId="6AC1A78A" w:rsidR="00EE79D6" w:rsidRDefault="00A66542" w:rsidP="00EE79D6">
      <w:r>
        <w:t xml:space="preserve">You get 1ar theory but it’s dta and reasonability – a) no infinite abuse bc only 7 min 1nc b) intrinsically late breaking means u should err neg on it c) </w:t>
      </w:r>
      <w:r w:rsidR="005A670D">
        <w:t>t</w:t>
      </w:r>
      <w:r>
        <w:t xml:space="preserve">hey get 2ar persuasive spin </w:t>
      </w:r>
      <w:r w:rsidR="001A7775">
        <w:t>w no 3nr to respond</w:t>
      </w:r>
    </w:p>
    <w:p w14:paraId="6E9F1C77" w14:textId="6913E901" w:rsidR="005A670D" w:rsidRDefault="005A670D" w:rsidP="00EE79D6"/>
    <w:p w14:paraId="3BDEBB3B" w14:textId="77777777" w:rsidR="005A670D" w:rsidRDefault="005A670D" w:rsidP="00EE79D6"/>
    <w:p w14:paraId="498F5F0A" w14:textId="5BAAF9EB" w:rsidR="00EE79D6" w:rsidRDefault="00EE79D6" w:rsidP="00EE79D6">
      <w:pPr>
        <w:pStyle w:val="Heading3"/>
      </w:pPr>
      <w:r>
        <w:t>Contention</w:t>
      </w:r>
    </w:p>
    <w:p w14:paraId="2FF20C7C" w14:textId="77777777" w:rsidR="00EE79D6" w:rsidRPr="00742C76" w:rsidRDefault="00EE79D6" w:rsidP="00EE79D6">
      <w:pPr>
        <w:pStyle w:val="Heading4"/>
        <w:rPr>
          <w:rFonts w:cs="Calibri"/>
        </w:rPr>
      </w:pPr>
      <w:r w:rsidRPr="00742C76">
        <w:rPr>
          <w:rFonts w:cs="Calibri"/>
        </w:rPr>
        <w:t>1] Libertarianism mandates a market-oriented approach to space—that negates</w:t>
      </w:r>
    </w:p>
    <w:p w14:paraId="73D5BEBF" w14:textId="77777777" w:rsidR="00EE79D6" w:rsidRPr="00742C76" w:rsidRDefault="00EE79D6" w:rsidP="00EE79D6">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2" w:history="1">
        <w:r w:rsidRPr="00742C76">
          <w:rPr>
            <w:rStyle w:val="Hyperlink"/>
            <w:sz w:val="16"/>
            <w:szCs w:val="16"/>
          </w:rPr>
          <w:t>https://abovethelaw.com/2020/01/space-law-can-only-be-libertarian-minded/</w:t>
        </w:r>
      </w:hyperlink>
      <w:r w:rsidRPr="00742C76">
        <w:rPr>
          <w:sz w:val="16"/>
          <w:szCs w:val="16"/>
        </w:rPr>
        <w:t>] TDI</w:t>
      </w:r>
    </w:p>
    <w:p w14:paraId="6A038D16" w14:textId="77777777" w:rsidR="00EE79D6" w:rsidRPr="00742C76" w:rsidRDefault="00EE79D6" w:rsidP="00EE79D6">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25486DD2" w14:textId="77777777" w:rsidR="00EE79D6" w:rsidRPr="0013690E" w:rsidRDefault="00EE79D6" w:rsidP="00EE79D6">
      <w:pPr>
        <w:pStyle w:val="Heading4"/>
      </w:pPr>
      <w:r w:rsidRPr="0013690E">
        <w:t>2] Property rights in space can be consistent with international law</w:t>
      </w:r>
    </w:p>
    <w:p w14:paraId="66A9C92F" w14:textId="77777777" w:rsidR="00EE79D6" w:rsidRPr="00742C76" w:rsidRDefault="00EE79D6" w:rsidP="00EE79D6">
      <w:pPr>
        <w:rPr>
          <w:rStyle w:val="StyleUnderline"/>
          <w:sz w:val="16"/>
          <w:szCs w:val="16"/>
          <w:u w:val="none"/>
        </w:rPr>
      </w:pPr>
      <w:r w:rsidRPr="00742C76">
        <w:rPr>
          <w:rStyle w:val="Style13ptBold"/>
        </w:rPr>
        <w:t>Simberg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3"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1A97FD3F" w14:textId="77777777" w:rsidR="00EE79D6" w:rsidRPr="00742C76" w:rsidRDefault="00EE79D6" w:rsidP="00EE79D6">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outlaws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19E86BC2" w14:textId="2028C6BB" w:rsidR="00EE79D6" w:rsidRDefault="00EE79D6" w:rsidP="00EE79D6">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75CB904" w14:textId="05B6F746" w:rsidR="00F10C18" w:rsidRPr="00F10C18" w:rsidRDefault="00F10C18" w:rsidP="00F10C18">
      <w:pPr>
        <w:rPr>
          <w:rStyle w:val="Style13ptBold"/>
        </w:rPr>
      </w:pPr>
      <w:r>
        <w:rPr>
          <w:rStyle w:val="Style13ptBold"/>
        </w:rPr>
        <w:t xml:space="preserve">4] OST says space belongs to </w:t>
      </w:r>
      <w:r w:rsidR="00783079">
        <w:rPr>
          <w:rStyle w:val="Style13ptBold"/>
        </w:rPr>
        <w:t>noobody</w:t>
      </w:r>
      <w:r>
        <w:rPr>
          <w:rStyle w:val="Style13ptBold"/>
        </w:rPr>
        <w:t xml:space="preserve"> and theyre the foremost treaty so they are omnilateral</w:t>
      </w:r>
    </w:p>
    <w:p w14:paraId="6999D94D" w14:textId="5BBE033C" w:rsidR="00EE79D6" w:rsidRDefault="00EE79D6" w:rsidP="00171486">
      <w:pPr>
        <w:pStyle w:val="Heading3"/>
      </w:pPr>
      <w:r>
        <w:t>Framework</w:t>
      </w:r>
    </w:p>
    <w:p w14:paraId="356C0258" w14:textId="66A6673C" w:rsidR="003901E7" w:rsidRDefault="003901E7" w:rsidP="00B47219">
      <w:pPr>
        <w:rPr>
          <w:rStyle w:val="Style13ptBold"/>
        </w:rPr>
      </w:pPr>
      <w:r>
        <w:rPr>
          <w:rStyle w:val="Style13ptBold"/>
        </w:rPr>
        <w:t>T/L – their framework sucks</w:t>
      </w:r>
    </w:p>
    <w:p w14:paraId="0EC8AA29" w14:textId="571FE509" w:rsidR="00106787" w:rsidRPr="0026460B" w:rsidRDefault="00106787" w:rsidP="00106787">
      <w:pPr>
        <w:rPr>
          <w:rStyle w:val="Style13ptBold"/>
        </w:rPr>
      </w:pPr>
      <w:r w:rsidRPr="0026460B">
        <w:rPr>
          <w:rStyle w:val="Style13ptBold"/>
        </w:rPr>
        <w:t>[</w:t>
      </w:r>
      <w:r w:rsidR="00BC0F2E">
        <w:rPr>
          <w:rStyle w:val="Style13ptBold"/>
        </w:rPr>
        <w:t>1</w:t>
      </w:r>
      <w:r w:rsidRPr="0026460B">
        <w:rPr>
          <w:rStyle w:val="Style13ptBold"/>
        </w:rPr>
        <w:t>] Culpability – wills are unverifiable – I can kill someone and lie and say my will was not that, but util gives material impacts you’re culpable for. Culpability outweighs – binds us to actions since ethics is a guide to action</w:t>
      </w:r>
    </w:p>
    <w:p w14:paraId="57013E6E" w14:textId="6351F0DD" w:rsidR="00106787" w:rsidRPr="0026460B" w:rsidRDefault="00106787" w:rsidP="00106787">
      <w:pPr>
        <w:rPr>
          <w:rStyle w:val="Style13ptBold"/>
        </w:rPr>
      </w:pPr>
      <w:r w:rsidRPr="0026460B">
        <w:rPr>
          <w:rStyle w:val="Style13ptBold"/>
        </w:rPr>
        <w:t>[</w:t>
      </w:r>
      <w:r w:rsidR="00BC0F2E">
        <w:rPr>
          <w:rStyle w:val="Style13ptBold"/>
        </w:rPr>
        <w:t>2</w:t>
      </w:r>
      <w:r w:rsidRPr="0026460B">
        <w:rPr>
          <w:rStyle w:val="Style13ptBold"/>
        </w:rPr>
        <w:t>] Hijack – we reflect on past violations of freedom to act morally in the future ie I reflect ont eh experience of stealing to change in the future, which is based off experience</w:t>
      </w:r>
    </w:p>
    <w:p w14:paraId="4BE93C61" w14:textId="40314018" w:rsidR="00106787" w:rsidRPr="00914DE0" w:rsidRDefault="00106787" w:rsidP="00106787">
      <w:pPr>
        <w:rPr>
          <w:rStyle w:val="Style13ptBold"/>
        </w:rPr>
      </w:pPr>
      <w:r w:rsidRPr="00914DE0">
        <w:rPr>
          <w:rStyle w:val="Style13ptBold"/>
        </w:rPr>
        <w:t>[</w:t>
      </w:r>
      <w:r w:rsidR="00BC0F2E">
        <w:rPr>
          <w:rStyle w:val="Style13ptBold"/>
        </w:rPr>
        <w:t>3</w:t>
      </w:r>
      <w:r w:rsidRPr="00914DE0">
        <w:rPr>
          <w:rStyle w:val="Style13ptBold"/>
        </w:rPr>
        <w:t>] Shmagency objection – begs the question of why it matters that I want to be an agent – there’s no external impact so it doesn’t matter</w:t>
      </w:r>
    </w:p>
    <w:p w14:paraId="4EE0A8E1" w14:textId="794612E7" w:rsidR="00BC0F2E" w:rsidRDefault="00BC0F2E" w:rsidP="00BC0F2E">
      <w:pPr>
        <w:rPr>
          <w:rStyle w:val="Style13ptBold"/>
        </w:rPr>
      </w:pPr>
      <w:r>
        <w:rPr>
          <w:rStyle w:val="Style13ptBold"/>
        </w:rPr>
        <w:t>[4] spinal reactions to external stimuli takes out – reacting before stimuli reaches are brain proves we’re utilitarian first not reasoners</w:t>
      </w:r>
    </w:p>
    <w:p w14:paraId="10500E6C" w14:textId="19A76D35" w:rsidR="00EB19A1" w:rsidRDefault="00EB19A1" w:rsidP="00073D71">
      <w:pPr>
        <w:tabs>
          <w:tab w:val="right" w:pos="8640"/>
        </w:tabs>
        <w:rPr>
          <w:rStyle w:val="Style13ptBold"/>
        </w:rPr>
      </w:pPr>
      <w:r>
        <w:rPr>
          <w:rStyle w:val="Style13ptBold"/>
        </w:rPr>
        <w:t>5[] K impact turns their framing of reasoning and universalizability</w:t>
      </w:r>
      <w:r w:rsidR="00073D71">
        <w:rPr>
          <w:rStyle w:val="Style13ptBold"/>
        </w:rPr>
        <w:tab/>
      </w:r>
    </w:p>
    <w:p w14:paraId="47154B71" w14:textId="420A1326" w:rsidR="00073D71" w:rsidRPr="00B47219" w:rsidRDefault="00073D71" w:rsidP="00073D71">
      <w:pPr>
        <w:tabs>
          <w:tab w:val="right" w:pos="8640"/>
        </w:tabs>
        <w:rPr>
          <w:rStyle w:val="Style13ptBold"/>
        </w:rPr>
      </w:pPr>
      <w:r>
        <w:rPr>
          <w:rStyle w:val="Style13ptBold"/>
        </w:rPr>
        <w:t xml:space="preserve">6] circular </w:t>
      </w:r>
      <w:r w:rsidR="00CE72AB">
        <w:rPr>
          <w:rStyle w:val="Style13ptBold"/>
        </w:rPr>
        <w:t>–</w:t>
      </w:r>
      <w:r>
        <w:rPr>
          <w:rStyle w:val="Style13ptBold"/>
        </w:rPr>
        <w:t xml:space="preserve"> </w:t>
      </w:r>
      <w:r w:rsidR="00CE72AB">
        <w:rPr>
          <w:rStyle w:val="Style13ptBold"/>
        </w:rPr>
        <w:t>says reason makes someone an agent and agency is having reason – doesn’t explain how someone who doesn’t reason acts</w:t>
      </w:r>
    </w:p>
    <w:p w14:paraId="18D36422" w14:textId="3B0C3804" w:rsidR="003901E7" w:rsidRDefault="003901E7" w:rsidP="00B47219">
      <w:pPr>
        <w:rPr>
          <w:rStyle w:val="Style13ptBold"/>
        </w:rPr>
      </w:pPr>
    </w:p>
    <w:p w14:paraId="188107F9" w14:textId="77777777" w:rsidR="00BD0678" w:rsidRDefault="00BD0678" w:rsidP="00BD0678">
      <w:pPr>
        <w:rPr>
          <w:rStyle w:val="Style13ptBold"/>
        </w:rPr>
      </w:pPr>
      <w:r>
        <w:rPr>
          <w:rStyle w:val="Style13ptBold"/>
        </w:rPr>
        <w:t>Group the conseqeutnailsim fails stuff –</w:t>
      </w:r>
    </w:p>
    <w:p w14:paraId="291B90BC" w14:textId="77777777" w:rsidR="00BD0678" w:rsidRDefault="00BD0678" w:rsidP="00BD0678">
      <w:pPr>
        <w:rPr>
          <w:rStyle w:val="Style13ptBold"/>
        </w:rPr>
      </w:pPr>
      <w:r>
        <w:rPr>
          <w:rStyle w:val="Style13ptBold"/>
        </w:rPr>
        <w:t>1] emp denied – govs and individuals taking action proves no impact</w:t>
      </w:r>
    </w:p>
    <w:p w14:paraId="218C3565" w14:textId="77777777" w:rsidR="00BD0678" w:rsidRDefault="00BD0678" w:rsidP="00BD0678">
      <w:pPr>
        <w:rPr>
          <w:rStyle w:val="Style13ptBold"/>
        </w:rPr>
      </w:pPr>
      <w:r>
        <w:rPr>
          <w:rStyle w:val="Style13ptBold"/>
        </w:rPr>
        <w:t>2] about things proven solely inductively which isn’t util bc it uses deduction too which solves</w:t>
      </w:r>
    </w:p>
    <w:p w14:paraId="1AE926E8" w14:textId="77777777" w:rsidR="00BD0678" w:rsidRDefault="00BD0678" w:rsidP="00BD0678">
      <w:pPr>
        <w:rPr>
          <w:rStyle w:val="Style13ptBold"/>
        </w:rPr>
      </w:pPr>
      <w:r>
        <w:rPr>
          <w:rStyle w:val="Style13ptBold"/>
        </w:rPr>
        <w:t>3] no is/ought fallacy – experience tells us what we like and want the world to be like</w:t>
      </w:r>
    </w:p>
    <w:p w14:paraId="7D864322" w14:textId="77777777" w:rsidR="00BD0678" w:rsidRDefault="00BD0678" w:rsidP="00BD0678">
      <w:pPr>
        <w:rPr>
          <w:rStyle w:val="Style13ptBold"/>
        </w:rPr>
      </w:pPr>
      <w:r>
        <w:rPr>
          <w:rStyle w:val="Style13ptBold"/>
        </w:rPr>
        <w:t>4] everyone has similar conceptions of pain+pleasure which solves</w:t>
      </w:r>
    </w:p>
    <w:p w14:paraId="22CA59AD" w14:textId="77777777" w:rsidR="00BD0678" w:rsidRDefault="00BD0678" w:rsidP="00BD0678">
      <w:pPr>
        <w:rPr>
          <w:rStyle w:val="Style13ptBold"/>
        </w:rPr>
      </w:pPr>
      <w:r>
        <w:rPr>
          <w:rStyle w:val="Style13ptBold"/>
        </w:rPr>
        <w:t>5] no impact to unverifiability – we still know things are bad and can predict how we should act</w:t>
      </w:r>
    </w:p>
    <w:p w14:paraId="47DF1219" w14:textId="77777777" w:rsidR="00BD0678" w:rsidRDefault="00BD0678" w:rsidP="00BD0678">
      <w:pPr>
        <w:rPr>
          <w:rStyle w:val="Style13ptBold"/>
        </w:rPr>
      </w:pPr>
      <w:r>
        <w:rPr>
          <w:rStyle w:val="Style13ptBold"/>
        </w:rPr>
        <w:t>6] prob solves butterfly effect bc we can stop at probable impacts</w:t>
      </w:r>
    </w:p>
    <w:p w14:paraId="53C6112A" w14:textId="4D6E652B" w:rsidR="00BD0678" w:rsidRDefault="00BD0678" w:rsidP="00BD0678">
      <w:pPr>
        <w:rPr>
          <w:rStyle w:val="Style13ptBold"/>
        </w:rPr>
      </w:pPr>
      <w:r>
        <w:rPr>
          <w:rStyle w:val="Style13ptBold"/>
        </w:rPr>
        <w:t>7] aggregation is possible – group similar conceptions of pain+pleasure</w:t>
      </w:r>
    </w:p>
    <w:p w14:paraId="1F2C041B" w14:textId="64C108C5" w:rsidR="00763612" w:rsidRDefault="00763612" w:rsidP="00BD0678">
      <w:pPr>
        <w:rPr>
          <w:rStyle w:val="Style13ptBold"/>
        </w:rPr>
      </w:pPr>
      <w:r>
        <w:rPr>
          <w:rStyle w:val="Style13ptBold"/>
        </w:rPr>
        <w:t xml:space="preserve">8] objectivity is overrated and unnecessary </w:t>
      </w:r>
      <w:r w:rsidR="002322AC">
        <w:rPr>
          <w:rStyle w:val="Style13ptBold"/>
        </w:rPr>
        <w:t>–</w:t>
      </w:r>
      <w:r>
        <w:rPr>
          <w:rStyle w:val="Style13ptBold"/>
        </w:rPr>
        <w:t xml:space="preserve"> </w:t>
      </w:r>
      <w:r w:rsidR="002322AC">
        <w:rPr>
          <w:rStyle w:val="Style13ptBold"/>
        </w:rPr>
        <w:t>anything else denies the reality of colonialism which is messed up</w:t>
      </w:r>
    </w:p>
    <w:p w14:paraId="0DA77826" w14:textId="77777777" w:rsidR="00BC0F2E" w:rsidRPr="00BD0E53" w:rsidRDefault="00BC0F2E" w:rsidP="00BD0678">
      <w:pPr>
        <w:rPr>
          <w:rStyle w:val="Style13ptBold"/>
        </w:rPr>
      </w:pPr>
    </w:p>
    <w:p w14:paraId="708D480E" w14:textId="77777777" w:rsidR="00BD0678" w:rsidRDefault="00BD0678" w:rsidP="00BD0678">
      <w:pPr>
        <w:rPr>
          <w:rStyle w:val="Style13ptBold"/>
        </w:rPr>
      </w:pPr>
    </w:p>
    <w:p w14:paraId="5ECDCEBD" w14:textId="77777777" w:rsidR="00BD0678" w:rsidRDefault="00BD0678" w:rsidP="00B47219">
      <w:pPr>
        <w:rPr>
          <w:rStyle w:val="Style13ptBold"/>
        </w:rPr>
      </w:pPr>
    </w:p>
    <w:p w14:paraId="2506CF70" w14:textId="77777777" w:rsidR="00AA4AAF" w:rsidRPr="003901E7" w:rsidRDefault="00AA4AAF" w:rsidP="00B47219">
      <w:pPr>
        <w:rPr>
          <w:rStyle w:val="Style13ptBold"/>
        </w:rPr>
      </w:pPr>
    </w:p>
    <w:p w14:paraId="4C7EA35F" w14:textId="77777777" w:rsidR="00B47219" w:rsidRPr="00B47219" w:rsidRDefault="00B47219" w:rsidP="00B47219">
      <w:pPr>
        <w:rPr>
          <w:rStyle w:val="Style13ptBold"/>
        </w:rPr>
      </w:pPr>
    </w:p>
    <w:p w14:paraId="314E4E2D" w14:textId="77777777" w:rsidR="00B47219" w:rsidRPr="00B47219" w:rsidRDefault="00B47219" w:rsidP="00B47219">
      <w:pPr>
        <w:rPr>
          <w:rStyle w:val="Style13ptBold"/>
        </w:rPr>
      </w:pPr>
      <w:r w:rsidRPr="00B47219">
        <w:rPr>
          <w:rStyle w:val="Style13ptBold"/>
        </w:rPr>
        <w:t>No infinite regress –  our reasoning is based on conseuqnces because w e reason based off previous experiences</w:t>
      </w:r>
    </w:p>
    <w:p w14:paraId="2419E5F2" w14:textId="4DBE2290" w:rsidR="00B47219" w:rsidRDefault="00B47219" w:rsidP="00B47219">
      <w:pPr>
        <w:rPr>
          <w:rStyle w:val="Style13ptBold"/>
        </w:rPr>
      </w:pPr>
      <w:r w:rsidRPr="00B47219">
        <w:rPr>
          <w:rStyle w:val="Style13ptBold"/>
        </w:rPr>
        <w:t>No action theory – consequences are necessary enebalers – if you have an end to mow a lawn you are relait on staritng a lwan mower</w:t>
      </w:r>
    </w:p>
    <w:p w14:paraId="1240D98A" w14:textId="1445BA40" w:rsidR="00106787" w:rsidRDefault="001D59E1" w:rsidP="00B47219">
      <w:pPr>
        <w:rPr>
          <w:rStyle w:val="Style13ptBold"/>
        </w:rPr>
      </w:pPr>
      <w:r>
        <w:rPr>
          <w:rStyle w:val="Style13ptBold"/>
        </w:rPr>
        <w:t>Performativity goes neg – do debate bc it’s pleasureful to learn and u have fun – or proves fallacy of origin.</w:t>
      </w:r>
    </w:p>
    <w:p w14:paraId="556B41C5" w14:textId="1BAB6326" w:rsidR="00763612" w:rsidRDefault="00763612" w:rsidP="00B47219">
      <w:pPr>
        <w:rPr>
          <w:rStyle w:val="Style13ptBold"/>
        </w:rPr>
      </w:pPr>
      <w:r>
        <w:rPr>
          <w:rStyle w:val="Style13ptBold"/>
        </w:rPr>
        <w:t>Impact turning actor spec – j bc they have a better explanation of how the settler state operates doesn’t mean their explanation is good</w:t>
      </w:r>
    </w:p>
    <w:p w14:paraId="1907705D" w14:textId="77777777" w:rsidR="00763612" w:rsidRDefault="00763612" w:rsidP="00B47219">
      <w:pPr>
        <w:rPr>
          <w:rStyle w:val="Style13ptBold"/>
        </w:rPr>
      </w:pPr>
    </w:p>
    <w:p w14:paraId="31D767E4" w14:textId="77777777" w:rsidR="001D59E1" w:rsidRPr="00B47219" w:rsidRDefault="001D59E1" w:rsidP="00B47219">
      <w:pPr>
        <w:rPr>
          <w:rStyle w:val="Style13ptBold"/>
        </w:rPr>
      </w:pPr>
    </w:p>
    <w:p w14:paraId="10974757" w14:textId="77777777" w:rsidR="00B47219" w:rsidRPr="00B47219" w:rsidRDefault="00B47219" w:rsidP="00B47219">
      <w:pPr>
        <w:rPr>
          <w:rStyle w:val="Style13ptBold"/>
        </w:rPr>
      </w:pPr>
      <w:r w:rsidRPr="00B47219">
        <w:rPr>
          <w:rStyle w:val="Style13ptBold"/>
        </w:rPr>
        <w:t>On Reason—</w:t>
      </w:r>
    </w:p>
    <w:p w14:paraId="16988097" w14:textId="77777777" w:rsidR="00B47219" w:rsidRPr="00B47219" w:rsidRDefault="00B47219" w:rsidP="00B47219">
      <w:pPr>
        <w:rPr>
          <w:rStyle w:val="Style13ptBold"/>
        </w:rPr>
      </w:pPr>
      <w:r w:rsidRPr="00B47219">
        <w:rPr>
          <w:rStyle w:val="Style13ptBold"/>
        </w:rPr>
        <w:t>[a] conflates reason – willing an action is different from conceptualizing your agency or action</w:t>
      </w:r>
    </w:p>
    <w:p w14:paraId="7389EC3B" w14:textId="00B51F15" w:rsidR="00B47219" w:rsidRDefault="00B47219" w:rsidP="00B47219">
      <w:pPr>
        <w:rPr>
          <w:rStyle w:val="Style13ptBold"/>
        </w:rPr>
      </w:pPr>
      <w:r w:rsidRPr="00B47219">
        <w:rPr>
          <w:rStyle w:val="Style13ptBold"/>
        </w:rPr>
        <w:t>[b] fallacy of origin – even if freedom is necessary, it’s not a reason to center it</w:t>
      </w:r>
    </w:p>
    <w:p w14:paraId="2D63A30E" w14:textId="77777777" w:rsidR="00B47219" w:rsidRPr="00B47219" w:rsidRDefault="00B47219" w:rsidP="00B47219">
      <w:pPr>
        <w:rPr>
          <w:rStyle w:val="Style13ptBold"/>
        </w:rPr>
      </w:pPr>
    </w:p>
    <w:p w14:paraId="62731D2F" w14:textId="77777777" w:rsidR="00B47219" w:rsidRPr="00B47219" w:rsidRDefault="00B47219" w:rsidP="00B47219">
      <w:pPr>
        <w:rPr>
          <w:rStyle w:val="Style13ptBold"/>
        </w:rPr>
      </w:pPr>
      <w:r w:rsidRPr="00B47219">
        <w:rPr>
          <w:rStyle w:val="Style13ptBold"/>
        </w:rPr>
        <w:t>On universality —</w:t>
      </w:r>
    </w:p>
    <w:p w14:paraId="753390C1" w14:textId="77777777" w:rsidR="00B47219" w:rsidRPr="00B47219" w:rsidRDefault="00B47219" w:rsidP="00B47219">
      <w:pPr>
        <w:rPr>
          <w:rStyle w:val="Style13ptBold"/>
        </w:rPr>
      </w:pPr>
      <w:r w:rsidRPr="00B47219">
        <w:rPr>
          <w:rStyle w:val="Style13ptBold"/>
        </w:rPr>
        <w:t>[1] Tailoring objection – I can make my maxim specific and add conditions which can justify any atrocity</w:t>
      </w:r>
    </w:p>
    <w:p w14:paraId="5B8BBF53" w14:textId="77777777" w:rsidR="00B47219" w:rsidRPr="00B47219" w:rsidRDefault="00B47219" w:rsidP="00B47219">
      <w:pPr>
        <w:rPr>
          <w:rStyle w:val="Style13ptBold"/>
        </w:rPr>
      </w:pPr>
    </w:p>
    <w:p w14:paraId="1BC37CBF" w14:textId="77777777" w:rsidR="00B47219" w:rsidRPr="00BE455F" w:rsidRDefault="00B47219" w:rsidP="00BE455F"/>
    <w:sectPr w:rsidR="00B47219" w:rsidRPr="00BE45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83FB1"/>
    <w:multiLevelType w:val="hybridMultilevel"/>
    <w:tmpl w:val="AEEAE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045690"/>
    <w:multiLevelType w:val="hybridMultilevel"/>
    <w:tmpl w:val="0DCEE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BF101C"/>
    <w:multiLevelType w:val="hybridMultilevel"/>
    <w:tmpl w:val="2ACE8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3771FD"/>
    <w:multiLevelType w:val="multilevel"/>
    <w:tmpl w:val="8F38EBF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79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3F7"/>
    <w:rsid w:val="000414AC"/>
    <w:rsid w:val="00052FB1"/>
    <w:rsid w:val="00054276"/>
    <w:rsid w:val="000547B1"/>
    <w:rsid w:val="0006091E"/>
    <w:rsid w:val="00061C7F"/>
    <w:rsid w:val="000638C1"/>
    <w:rsid w:val="00065FEE"/>
    <w:rsid w:val="00066E3C"/>
    <w:rsid w:val="00072718"/>
    <w:rsid w:val="0007381E"/>
    <w:rsid w:val="00073D71"/>
    <w:rsid w:val="00076094"/>
    <w:rsid w:val="0008785F"/>
    <w:rsid w:val="00090CBE"/>
    <w:rsid w:val="00094DEC"/>
    <w:rsid w:val="000A2D8A"/>
    <w:rsid w:val="000A6403"/>
    <w:rsid w:val="000A64F1"/>
    <w:rsid w:val="000D15B4"/>
    <w:rsid w:val="000D26A6"/>
    <w:rsid w:val="000D2B90"/>
    <w:rsid w:val="000D6ED8"/>
    <w:rsid w:val="000D717B"/>
    <w:rsid w:val="000E3E7E"/>
    <w:rsid w:val="00100B28"/>
    <w:rsid w:val="00106787"/>
    <w:rsid w:val="00117316"/>
    <w:rsid w:val="001209B4"/>
    <w:rsid w:val="00171486"/>
    <w:rsid w:val="001761FC"/>
    <w:rsid w:val="001802DC"/>
    <w:rsid w:val="00182655"/>
    <w:rsid w:val="001840F2"/>
    <w:rsid w:val="00185134"/>
    <w:rsid w:val="001856C6"/>
    <w:rsid w:val="00191B5F"/>
    <w:rsid w:val="00192487"/>
    <w:rsid w:val="00193416"/>
    <w:rsid w:val="00195073"/>
    <w:rsid w:val="0019668D"/>
    <w:rsid w:val="001A25FD"/>
    <w:rsid w:val="001A5371"/>
    <w:rsid w:val="001A72C7"/>
    <w:rsid w:val="001A7775"/>
    <w:rsid w:val="001B73E3"/>
    <w:rsid w:val="001C316D"/>
    <w:rsid w:val="001D1A0D"/>
    <w:rsid w:val="001D36BF"/>
    <w:rsid w:val="001D4C28"/>
    <w:rsid w:val="001D59E1"/>
    <w:rsid w:val="001E0B1F"/>
    <w:rsid w:val="001E0C0F"/>
    <w:rsid w:val="001E1E0B"/>
    <w:rsid w:val="001F1173"/>
    <w:rsid w:val="001F449B"/>
    <w:rsid w:val="002005A8"/>
    <w:rsid w:val="00203DD8"/>
    <w:rsid w:val="00204E1D"/>
    <w:rsid w:val="002059BD"/>
    <w:rsid w:val="00207FD8"/>
    <w:rsid w:val="00210FAF"/>
    <w:rsid w:val="00213B1E"/>
    <w:rsid w:val="00215284"/>
    <w:rsid w:val="002168F2"/>
    <w:rsid w:val="0022589F"/>
    <w:rsid w:val="002322A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823"/>
    <w:rsid w:val="00341C61"/>
    <w:rsid w:val="00351841"/>
    <w:rsid w:val="003624A6"/>
    <w:rsid w:val="00364ADF"/>
    <w:rsid w:val="00365C8D"/>
    <w:rsid w:val="003670D9"/>
    <w:rsid w:val="00370B41"/>
    <w:rsid w:val="00371B27"/>
    <w:rsid w:val="003726C3"/>
    <w:rsid w:val="00375D2E"/>
    <w:rsid w:val="00383071"/>
    <w:rsid w:val="00383B19"/>
    <w:rsid w:val="00384CBC"/>
    <w:rsid w:val="00385294"/>
    <w:rsid w:val="003901E7"/>
    <w:rsid w:val="003933F9"/>
    <w:rsid w:val="00395864"/>
    <w:rsid w:val="00396557"/>
    <w:rsid w:val="00397316"/>
    <w:rsid w:val="003A248F"/>
    <w:rsid w:val="003A4D9C"/>
    <w:rsid w:val="003B1668"/>
    <w:rsid w:val="003B3B0D"/>
    <w:rsid w:val="003C5F4C"/>
    <w:rsid w:val="003D5EA8"/>
    <w:rsid w:val="003D7B28"/>
    <w:rsid w:val="003E305E"/>
    <w:rsid w:val="003E34DB"/>
    <w:rsid w:val="003E5302"/>
    <w:rsid w:val="003E5BF1"/>
    <w:rsid w:val="003F0729"/>
    <w:rsid w:val="003F2452"/>
    <w:rsid w:val="003F41EA"/>
    <w:rsid w:val="003F7DF0"/>
    <w:rsid w:val="004039AF"/>
    <w:rsid w:val="00407AFF"/>
    <w:rsid w:val="0041155D"/>
    <w:rsid w:val="00414552"/>
    <w:rsid w:val="004170BF"/>
    <w:rsid w:val="004270E3"/>
    <w:rsid w:val="004348DC"/>
    <w:rsid w:val="00434921"/>
    <w:rsid w:val="00442018"/>
    <w:rsid w:val="00446567"/>
    <w:rsid w:val="00447B10"/>
    <w:rsid w:val="00452EE4"/>
    <w:rsid w:val="00452F0B"/>
    <w:rsid w:val="004536D6"/>
    <w:rsid w:val="00457224"/>
    <w:rsid w:val="0046249F"/>
    <w:rsid w:val="0047482C"/>
    <w:rsid w:val="00475436"/>
    <w:rsid w:val="0048047E"/>
    <w:rsid w:val="00482AF9"/>
    <w:rsid w:val="00496BB2"/>
    <w:rsid w:val="004B37B4"/>
    <w:rsid w:val="004B72B4"/>
    <w:rsid w:val="004C0314"/>
    <w:rsid w:val="004C0D3D"/>
    <w:rsid w:val="004C213E"/>
    <w:rsid w:val="004C376C"/>
    <w:rsid w:val="004C5064"/>
    <w:rsid w:val="004C657F"/>
    <w:rsid w:val="004D17D8"/>
    <w:rsid w:val="004D52D8"/>
    <w:rsid w:val="004E355B"/>
    <w:rsid w:val="005028E5"/>
    <w:rsid w:val="00503735"/>
    <w:rsid w:val="00516A88"/>
    <w:rsid w:val="00522065"/>
    <w:rsid w:val="005224F2"/>
    <w:rsid w:val="0052795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ADB"/>
    <w:rsid w:val="005A670D"/>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612"/>
    <w:rsid w:val="0076495E"/>
    <w:rsid w:val="00765FC8"/>
    <w:rsid w:val="00775694"/>
    <w:rsid w:val="00783079"/>
    <w:rsid w:val="00793F46"/>
    <w:rsid w:val="007A1325"/>
    <w:rsid w:val="007A1A18"/>
    <w:rsid w:val="007A363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3C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4173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542"/>
    <w:rsid w:val="00A776BA"/>
    <w:rsid w:val="00A81FD2"/>
    <w:rsid w:val="00A8441A"/>
    <w:rsid w:val="00A8674A"/>
    <w:rsid w:val="00A96E24"/>
    <w:rsid w:val="00AA4373"/>
    <w:rsid w:val="00AA4AAF"/>
    <w:rsid w:val="00AA6F6E"/>
    <w:rsid w:val="00AB122B"/>
    <w:rsid w:val="00AB21B0"/>
    <w:rsid w:val="00AB48D3"/>
    <w:rsid w:val="00AD164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219"/>
    <w:rsid w:val="00B5602D"/>
    <w:rsid w:val="00B60125"/>
    <w:rsid w:val="00B6656B"/>
    <w:rsid w:val="00B71625"/>
    <w:rsid w:val="00B75C54"/>
    <w:rsid w:val="00B866B3"/>
    <w:rsid w:val="00B8710E"/>
    <w:rsid w:val="00B92A93"/>
    <w:rsid w:val="00BA17A8"/>
    <w:rsid w:val="00BA3C33"/>
    <w:rsid w:val="00BB0878"/>
    <w:rsid w:val="00BB1879"/>
    <w:rsid w:val="00BC0ABE"/>
    <w:rsid w:val="00BC0F2E"/>
    <w:rsid w:val="00BC30DB"/>
    <w:rsid w:val="00BC64FF"/>
    <w:rsid w:val="00BC7C37"/>
    <w:rsid w:val="00BD0678"/>
    <w:rsid w:val="00BD0E53"/>
    <w:rsid w:val="00BD2244"/>
    <w:rsid w:val="00BE455F"/>
    <w:rsid w:val="00BE4AD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E95"/>
    <w:rsid w:val="00C81619"/>
    <w:rsid w:val="00CA013C"/>
    <w:rsid w:val="00CA6D6D"/>
    <w:rsid w:val="00CC7A4E"/>
    <w:rsid w:val="00CD1359"/>
    <w:rsid w:val="00CD4C83"/>
    <w:rsid w:val="00CE72A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B53"/>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9A1"/>
    <w:rsid w:val="00EB33FF"/>
    <w:rsid w:val="00EB3D1A"/>
    <w:rsid w:val="00EC2759"/>
    <w:rsid w:val="00EC7106"/>
    <w:rsid w:val="00ED0120"/>
    <w:rsid w:val="00ED3BBA"/>
    <w:rsid w:val="00ED4E12"/>
    <w:rsid w:val="00EE051B"/>
    <w:rsid w:val="00EE54B4"/>
    <w:rsid w:val="00EE79D6"/>
    <w:rsid w:val="00EF1AD8"/>
    <w:rsid w:val="00EF2B5C"/>
    <w:rsid w:val="00EF7794"/>
    <w:rsid w:val="00F02046"/>
    <w:rsid w:val="00F053D8"/>
    <w:rsid w:val="00F07888"/>
    <w:rsid w:val="00F10C1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F1B3F"/>
  <w14:defaultImageDpi w14:val="300"/>
  <w15:docId w15:val="{BD295D93-9442-5745-A0DC-DD2EF7AF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173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417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17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17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
    <w:basedOn w:val="Normal"/>
    <w:next w:val="Normal"/>
    <w:link w:val="Heading4Char"/>
    <w:uiPriority w:val="9"/>
    <w:unhideWhenUsed/>
    <w:qFormat/>
    <w:rsid w:val="009417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17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737"/>
  </w:style>
  <w:style w:type="character" w:customStyle="1" w:styleId="Heading1Char">
    <w:name w:val="Heading 1 Char"/>
    <w:aliases w:val="Pocket Char"/>
    <w:basedOn w:val="DefaultParagraphFont"/>
    <w:link w:val="Heading1"/>
    <w:uiPriority w:val="9"/>
    <w:rsid w:val="0094173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41737"/>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941737"/>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94173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4173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41737"/>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94173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4173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941737"/>
    <w:rPr>
      <w:color w:val="auto"/>
      <w:u w:val="none"/>
    </w:rPr>
  </w:style>
  <w:style w:type="paragraph" w:styleId="DocumentMap">
    <w:name w:val="Document Map"/>
    <w:basedOn w:val="Normal"/>
    <w:link w:val="DocumentMapChar"/>
    <w:uiPriority w:val="99"/>
    <w:semiHidden/>
    <w:unhideWhenUsed/>
    <w:rsid w:val="009417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1737"/>
    <w:rPr>
      <w:rFonts w:ascii="Lucida Grande" w:hAnsi="Lucida Grande" w:cs="Lucida Grande"/>
    </w:rPr>
  </w:style>
  <w:style w:type="paragraph" w:customStyle="1" w:styleId="textbold">
    <w:name w:val="text bold"/>
    <w:basedOn w:val="Normal"/>
    <w:link w:val="Emphasis"/>
    <w:uiPriority w:val="20"/>
    <w:qFormat/>
    <w:rsid w:val="00EE79D6"/>
    <w:pPr>
      <w:ind w:left="720"/>
      <w:jc w:val="both"/>
    </w:pPr>
    <w:rPr>
      <w:b/>
      <w:iCs/>
      <w:u w:val="single"/>
    </w:rPr>
  </w:style>
  <w:style w:type="paragraph" w:customStyle="1" w:styleId="Emphasis1">
    <w:name w:val="Emphasis1"/>
    <w:basedOn w:val="Normal"/>
    <w:autoRedefine/>
    <w:uiPriority w:val="20"/>
    <w:qFormat/>
    <w:rsid w:val="003F07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unhideWhenUsed/>
    <w:qFormat/>
    <w:rsid w:val="00341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i.org/wp-content/uploads/2012/04/Rand-Simberg-Homesteading-the-Final-Frontier.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ctivehistory.ca/2016/01/political-depression-in-a-time-of-reconciliation/)//NotJacob//recu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bettystoneman.wordpress.com/2018/06/07/the-epistemological-and-ethical-functions-of-kants-binary-and-foucaults-critique-of-critique-of-the-binary//recut" TargetMode="External"/><Relationship Id="rId4" Type="http://schemas.openxmlformats.org/officeDocument/2006/relationships/customXml" Target="../customXml/item4.xml"/><Relationship Id="rId9" Type="http://schemas.openxmlformats.org/officeDocument/2006/relationships/hyperlink" Target="https://bettystoneman.wordpress.com/2018/06/07/the-epistemological-and-ethical-functions-of-kants-binary-and-foucaults-critique-of-critique-of-the-binar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12614</Words>
  <Characters>71905</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45</cp:revision>
  <dcterms:created xsi:type="dcterms:W3CDTF">2021-12-19T23:28:00Z</dcterms:created>
  <dcterms:modified xsi:type="dcterms:W3CDTF">2021-12-20T01:11:00Z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