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F3D57" w14:textId="77777777" w:rsidR="00F06928" w:rsidRDefault="00F06928" w:rsidP="00F06928">
      <w:pPr>
        <w:pStyle w:val="Heading1"/>
      </w:pPr>
      <w:proofErr w:type="spellStart"/>
      <w:r>
        <w:t>nc</w:t>
      </w:r>
      <w:proofErr w:type="spellEnd"/>
    </w:p>
    <w:p w14:paraId="71E0D49F" w14:textId="77777777" w:rsidR="00F06928" w:rsidRDefault="00F06928" w:rsidP="00F06928">
      <w:pPr>
        <w:pStyle w:val="Heading3"/>
      </w:pPr>
      <w:r>
        <w:t>1</w:t>
      </w:r>
    </w:p>
    <w:p w14:paraId="5949C36F" w14:textId="77777777" w:rsidR="00F06928" w:rsidRDefault="00F06928" w:rsidP="00F06928">
      <w:pPr>
        <w:pStyle w:val="Heading4"/>
      </w:pPr>
      <w:proofErr w:type="spellStart"/>
      <w:r>
        <w:t>Interp</w:t>
      </w:r>
      <w:proofErr w:type="spellEnd"/>
      <w:r>
        <w:t xml:space="preserve"> – the 1AC may not get offense external to the implementation of the Plan – simply reading the Aff or affirming a deconstruction of debate is not sufficient for an affirmative ballot</w:t>
      </w:r>
    </w:p>
    <w:p w14:paraId="7DDB53E9" w14:textId="77777777" w:rsidR="00F06928" w:rsidRPr="00F767F1" w:rsidRDefault="00F06928" w:rsidP="00F06928">
      <w:pPr>
        <w:pStyle w:val="Heading4"/>
        <w:rPr>
          <w:rFonts w:cs="Calibri"/>
        </w:rPr>
      </w:pPr>
      <w:r w:rsidRPr="00F767F1">
        <w:rPr>
          <w:rFonts w:cs="Calibri"/>
        </w:rPr>
        <w:t>Resolved means a policy</w:t>
      </w:r>
    </w:p>
    <w:p w14:paraId="622F02A2" w14:textId="77777777" w:rsidR="00F06928" w:rsidRPr="00F767F1" w:rsidRDefault="00F06928" w:rsidP="00F06928">
      <w:pPr>
        <w:rPr>
          <w:rStyle w:val="StyleUnderline"/>
          <w:b/>
          <w:sz w:val="16"/>
        </w:rPr>
      </w:pPr>
      <w:r w:rsidRPr="00F767F1">
        <w:rPr>
          <w:rStyle w:val="StyleUnderline"/>
        </w:rPr>
        <w:t>Words and Phrases 64</w:t>
      </w:r>
      <w:r w:rsidRPr="00F767F1">
        <w:t xml:space="preserve"> Words and Phrases Permanent Edition. “Resolved”. 1964.</w:t>
      </w:r>
    </w:p>
    <w:p w14:paraId="4084FDC2" w14:textId="77777777" w:rsidR="00F06928" w:rsidRDefault="00F06928" w:rsidP="00F06928">
      <w:r w:rsidRPr="00F767F1">
        <w:rPr>
          <w:rStyle w:val="StyleUnderline"/>
        </w:rPr>
        <w:t>Definition of the word “</w:t>
      </w:r>
      <w:r w:rsidRPr="00F1376F">
        <w:rPr>
          <w:rStyle w:val="StyleUnderline"/>
          <w:highlight w:val="green"/>
        </w:rPr>
        <w:t>resolve</w:t>
      </w:r>
      <w:r w:rsidRPr="00F767F1">
        <w:rPr>
          <w:rStyle w:val="StyleUnderline"/>
        </w:rPr>
        <w:t xml:space="preserve">,” given by Webster </w:t>
      </w:r>
      <w:r w:rsidRPr="00F1376F">
        <w:rPr>
          <w:rStyle w:val="StyleUnderline"/>
          <w:highlight w:val="green"/>
        </w:rPr>
        <w:t>is</w:t>
      </w:r>
      <w:r w:rsidRPr="00F767F1">
        <w:rPr>
          <w:rStyle w:val="StyleUnderline"/>
        </w:rPr>
        <w:t xml:space="preserve"> “to express an opinion or </w:t>
      </w:r>
      <w:r w:rsidRPr="00F1376F">
        <w:rPr>
          <w:rStyle w:val="StyleUnderline"/>
          <w:highlight w:val="green"/>
        </w:rPr>
        <w:t>determination by</w:t>
      </w:r>
      <w:r w:rsidRPr="00F767F1">
        <w:rPr>
          <w:rStyle w:val="StyleUnderline"/>
        </w:rPr>
        <w:t xml:space="preserve"> resolution or vote; as ‘it was resolved by the </w:t>
      </w:r>
      <w:r w:rsidRPr="00F1376F">
        <w:rPr>
          <w:rStyle w:val="StyleUnderline"/>
          <w:highlight w:val="green"/>
        </w:rPr>
        <w:t>legislature</w:t>
      </w:r>
      <w:r w:rsidRPr="00F767F1">
        <w:t>;” It is of similar force to the word “enact,” which is defined by Bouvier as meaning “</w:t>
      </w:r>
      <w:r w:rsidRPr="00F1376F">
        <w:rPr>
          <w:rStyle w:val="StyleUnderline"/>
          <w:highlight w:val="green"/>
        </w:rPr>
        <w:t>to establish by law</w:t>
      </w:r>
      <w:r w:rsidRPr="00F767F1">
        <w:t xml:space="preserve">”. </w:t>
      </w:r>
    </w:p>
    <w:p w14:paraId="4907CD73" w14:textId="5017990B" w:rsidR="00F06928" w:rsidRDefault="00F06928" w:rsidP="00F06928">
      <w:pPr>
        <w:pStyle w:val="Heading4"/>
      </w:pPr>
      <w:r>
        <w:t xml:space="preserve">Violation – </w:t>
      </w:r>
      <w:r w:rsidR="00350A63">
        <w:t xml:space="preserve">they specify an </w:t>
      </w:r>
      <w:proofErr w:type="spellStart"/>
      <w:r w:rsidR="00350A63">
        <w:t>untopical</w:t>
      </w:r>
      <w:proofErr w:type="spellEnd"/>
      <w:r w:rsidR="00350A63">
        <w:t xml:space="preserve"> method</w:t>
      </w:r>
      <w:r>
        <w:t xml:space="preserve"> </w:t>
      </w:r>
    </w:p>
    <w:p w14:paraId="4B6183AD" w14:textId="77777777" w:rsidR="00F06928" w:rsidRPr="00D20303" w:rsidRDefault="00F06928" w:rsidP="00F06928">
      <w:pPr>
        <w:pStyle w:val="Heading4"/>
        <w:rPr>
          <w:rFonts w:eastAsia="Times New Roman" w:cs="Calibri"/>
        </w:rPr>
      </w:pPr>
      <w:r w:rsidRPr="00AD4888">
        <w:rPr>
          <w:rFonts w:eastAsia="Times New Roman" w:cs="Calibri"/>
        </w:rPr>
        <w:t>At best they’re Extra-T, which is a voter for Limits, or Effects-T which is worse, since any small aff can spill up to the res.  </w:t>
      </w:r>
    </w:p>
    <w:p w14:paraId="770567F3" w14:textId="77777777" w:rsidR="00F06928" w:rsidRDefault="00F06928" w:rsidP="00F06928">
      <w:pPr>
        <w:pStyle w:val="Heading4"/>
        <w:rPr>
          <w:rFonts w:eastAsia="Times New Roman"/>
          <w:bCs/>
          <w:szCs w:val="26"/>
        </w:rPr>
      </w:pPr>
      <w:r>
        <w:t xml:space="preserve">Prefer – 1] </w:t>
      </w:r>
      <w:r w:rsidRPr="007C580E">
        <w:rPr>
          <w:u w:val="single"/>
        </w:rPr>
        <w:t>Presumption</w:t>
      </w:r>
      <w:r>
        <w:t xml:space="preserve"> – All the Aff does is affirm an already existing movement by the masses and an ideological orientation that leads to no material action which isn’t a distinct differential form the Status Quo, 2] </w:t>
      </w:r>
      <w:r w:rsidRPr="007C580E">
        <w:rPr>
          <w:u w:val="single"/>
        </w:rPr>
        <w:t>Clash</w:t>
      </w:r>
      <w:r>
        <w:t xml:space="preserve"> – We can’t engage you because you’ll just no link all our </w:t>
      </w:r>
      <w:proofErr w:type="spellStart"/>
      <w:r>
        <w:t>Disads</w:t>
      </w:r>
      <w:proofErr w:type="spellEnd"/>
      <w:r>
        <w:t xml:space="preserve">, Kritiks, turns etc. by re-interpreting the 1AC since you’re not tied to any one action – destroys ability for activism since activist K v K debates rely on debates over methodologies which the Aff decks, 3] </w:t>
      </w:r>
      <w:r w:rsidRPr="00AD4888">
        <w:rPr>
          <w:rFonts w:eastAsia="Times New Roman"/>
          <w:bCs/>
          <w:szCs w:val="26"/>
        </w:rPr>
        <w:t>Competitive equity – debate is a competitive game which loses meaning without substantive constraints- Everybody comes to debate for different reasons, but the fact that the other team is here and has presented a 1ac means they have bought into the game, and concedes the authority of fairness, or the judge</w:t>
      </w:r>
      <w:r>
        <w:rPr>
          <w:rFonts w:eastAsia="Times New Roman"/>
          <w:bCs/>
          <w:szCs w:val="26"/>
        </w:rPr>
        <w:t xml:space="preserve"> should</w:t>
      </w:r>
      <w:r w:rsidRPr="00AD4888">
        <w:rPr>
          <w:rFonts w:eastAsia="Times New Roman"/>
          <w:bCs/>
          <w:szCs w:val="26"/>
        </w:rPr>
        <w:t xml:space="preserve"> hack against you</w:t>
      </w:r>
      <w:r>
        <w:rPr>
          <w:rFonts w:eastAsia="Times New Roman"/>
          <w:bCs/>
          <w:szCs w:val="26"/>
        </w:rPr>
        <w:t>.</w:t>
      </w:r>
    </w:p>
    <w:p w14:paraId="2571C8E5" w14:textId="77777777" w:rsidR="00F06928" w:rsidRDefault="00F06928" w:rsidP="00F06928">
      <w:pPr>
        <w:pStyle w:val="Heading4"/>
      </w:pPr>
      <w:r>
        <w:t xml:space="preserve">5] </w:t>
      </w:r>
      <w:r>
        <w:rPr>
          <w:u w:val="single"/>
        </w:rPr>
        <w:t>Paradigm Issues</w:t>
      </w:r>
      <w:r>
        <w:t xml:space="preserve"> – </w:t>
      </w:r>
    </w:p>
    <w:p w14:paraId="1934B729" w14:textId="77777777" w:rsidR="00F06928" w:rsidRDefault="00F06928" w:rsidP="00F06928">
      <w:pPr>
        <w:pStyle w:val="Heading4"/>
      </w:pPr>
      <w:r>
        <w:t xml:space="preserve">a] Topicality is </w:t>
      </w:r>
      <w:r>
        <w:rPr>
          <w:u w:val="single"/>
        </w:rPr>
        <w:t>Drop the Debater</w:t>
      </w:r>
      <w:r>
        <w:t xml:space="preserve"> – it’s a fundamental baseline for debate-ability.</w:t>
      </w:r>
    </w:p>
    <w:p w14:paraId="16635BB1" w14:textId="77777777" w:rsidR="00F06928" w:rsidRDefault="00F06928" w:rsidP="00F06928">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CC146D3" w14:textId="77777777" w:rsidR="00F06928" w:rsidRDefault="00F06928" w:rsidP="00F0692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DC70F54" w14:textId="77777777" w:rsidR="00F06928" w:rsidRDefault="00F06928" w:rsidP="00F06928">
      <w:pPr>
        <w:pStyle w:val="Heading2"/>
      </w:pPr>
      <w:r>
        <w:t>2</w:t>
      </w:r>
    </w:p>
    <w:p w14:paraId="3672EAB8" w14:textId="77777777" w:rsidR="00F06928" w:rsidRDefault="00F06928" w:rsidP="00F06928">
      <w:pPr>
        <w:pStyle w:val="Heading4"/>
      </w:pPr>
      <w:r>
        <w:t>Pharmaceutical innovation is accelerating now – new medicines are substantially better than existing treatments.</w:t>
      </w:r>
    </w:p>
    <w:p w14:paraId="71A36D68" w14:textId="77777777" w:rsidR="00F06928" w:rsidRPr="004531FB" w:rsidRDefault="00F06928" w:rsidP="00F06928">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5" w:history="1">
        <w:r w:rsidRPr="004531FB">
          <w:rPr>
            <w:rStyle w:val="Hyperlink"/>
            <w:sz w:val="16"/>
          </w:rPr>
          <w:t>https://pubs.acs.org/doi/pdf/10.1021/acsmedchemlett.0c00319</w:t>
        </w:r>
      </w:hyperlink>
      <w:r w:rsidRPr="004531FB">
        <w:rPr>
          <w:sz w:val="16"/>
        </w:rPr>
        <w:t xml:space="preserve"> C.VC</w:t>
      </w:r>
    </w:p>
    <w:p w14:paraId="25A92372" w14:textId="77777777" w:rsidR="00F06928" w:rsidRPr="004531FB" w:rsidRDefault="00F06928" w:rsidP="00F06928">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4C19F35" w14:textId="77777777" w:rsidR="00F06928" w:rsidRPr="004531FB" w:rsidRDefault="00F06928" w:rsidP="00F06928">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7305A970" w14:textId="77777777" w:rsidR="00F06928" w:rsidRPr="004531FB" w:rsidRDefault="00F06928" w:rsidP="00F06928">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3B423130" w14:textId="77777777" w:rsidR="00F06928" w:rsidRPr="004531FB" w:rsidRDefault="00F06928" w:rsidP="00F06928">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7565CFE2" w14:textId="77777777" w:rsidR="00F06928" w:rsidRPr="004531FB" w:rsidRDefault="00F06928" w:rsidP="00F06928">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DE4FBF3" w14:textId="77777777" w:rsidR="00F06928" w:rsidRPr="00AB1385" w:rsidRDefault="00F06928" w:rsidP="00F06928"/>
    <w:p w14:paraId="34A27404" w14:textId="77777777" w:rsidR="00F06928" w:rsidRDefault="00F06928" w:rsidP="00F06928">
      <w:pPr>
        <w:pStyle w:val="Heading4"/>
      </w:pPr>
      <w:r>
        <w:t>The biopharmaceutical industry is uniquely reliant on IP protections – undermining them would kill innovation by making an already expensive process completely unfeasible.</w:t>
      </w:r>
    </w:p>
    <w:p w14:paraId="57499604" w14:textId="77777777" w:rsidR="00F06928" w:rsidRPr="00BE4941" w:rsidRDefault="00F06928" w:rsidP="00F06928">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6"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3D0D0C1E" w14:textId="77777777" w:rsidR="00F06928" w:rsidRPr="00381E8C" w:rsidRDefault="00F06928" w:rsidP="00F06928">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3896AD9F" w14:textId="77777777" w:rsidR="00F06928" w:rsidRPr="00381E8C" w:rsidRDefault="00F06928" w:rsidP="00F06928">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78F749F" w14:textId="77777777" w:rsidR="00F06928" w:rsidRPr="00381E8C" w:rsidRDefault="00F06928" w:rsidP="00F06928">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2579B2A8" w14:textId="77777777" w:rsidR="00F06928" w:rsidRPr="00381E8C" w:rsidRDefault="00F06928" w:rsidP="00F06928">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48C7A807" w14:textId="77777777" w:rsidR="00F06928" w:rsidRPr="00381E8C" w:rsidRDefault="00F06928" w:rsidP="00F06928">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2E85FBF2" w14:textId="77777777" w:rsidR="00F06928" w:rsidRPr="00381E8C" w:rsidRDefault="00F06928" w:rsidP="00F06928">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651F3FDD" w14:textId="77777777" w:rsidR="00F06928" w:rsidRDefault="00F06928" w:rsidP="00F06928"/>
    <w:p w14:paraId="7AE1F007" w14:textId="77777777" w:rsidR="00F06928" w:rsidRPr="00E86D81" w:rsidRDefault="00F06928" w:rsidP="00F06928">
      <w:pPr>
        <w:pStyle w:val="Heading4"/>
      </w:pPr>
      <w:r>
        <w:t>50% of medicine comes from IK</w:t>
      </w:r>
    </w:p>
    <w:p w14:paraId="48C22837" w14:textId="77777777" w:rsidR="00F06928" w:rsidRDefault="00F06928" w:rsidP="00F06928">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5B8DA091" w14:textId="77777777" w:rsidR="00F06928" w:rsidRPr="00821009" w:rsidRDefault="00F06928" w:rsidP="00F06928">
      <w:pPr>
        <w:pStyle w:val="ListParagraph"/>
        <w:numPr>
          <w:ilvl w:val="0"/>
          <w:numId w:val="1"/>
        </w:numPr>
      </w:pPr>
      <w:r>
        <w:t>TM = traditional medicine</w:t>
      </w:r>
    </w:p>
    <w:p w14:paraId="6355CBAA" w14:textId="77777777" w:rsidR="00F06928" w:rsidRPr="00DE0D59" w:rsidRDefault="00F06928" w:rsidP="00F06928">
      <w:pPr>
        <w:rPr>
          <w:u w:val="singl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6D7335A9" w14:textId="77777777" w:rsidR="00F06928" w:rsidRDefault="00F06928" w:rsidP="00F06928"/>
    <w:p w14:paraId="77DE8CBA" w14:textId="77777777" w:rsidR="00F06928" w:rsidRPr="00BB372E" w:rsidRDefault="00F06928" w:rsidP="00F06928">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2FC9B0FC" w14:textId="77777777" w:rsidR="00F06928" w:rsidRPr="00BB372E" w:rsidRDefault="00F06928" w:rsidP="00F06928">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67977F4C" w14:textId="77777777" w:rsidR="00F06928" w:rsidRPr="00BB372E" w:rsidRDefault="00F06928" w:rsidP="00F06928">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39FB78F3" w14:textId="77777777" w:rsidR="00F06928" w:rsidRDefault="00F06928" w:rsidP="00F06928">
      <w:pPr>
        <w:rPr>
          <w:rFonts w:eastAsia="Cambria"/>
          <w:sz w:val="16"/>
        </w:rPr>
      </w:pPr>
    </w:p>
    <w:p w14:paraId="7F5BE328" w14:textId="77777777" w:rsidR="00F06928" w:rsidRDefault="00F06928" w:rsidP="00F06928">
      <w:pPr>
        <w:pStyle w:val="Heading4"/>
      </w:pPr>
      <w:r>
        <w:t>Bioterrorism and future pandemics cause extinction.</w:t>
      </w:r>
    </w:p>
    <w:p w14:paraId="0326706B" w14:textId="77777777" w:rsidR="00F06928" w:rsidRPr="00CA2687" w:rsidRDefault="00F06928" w:rsidP="00F06928">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7" w:history="1">
        <w:r w:rsidRPr="00CA2687">
          <w:rPr>
            <w:rStyle w:val="Hyperlink"/>
            <w:sz w:val="16"/>
          </w:rPr>
          <w:t>https://ctc.usma.edu/biosecurity-in-the-wake-of-covid-19-the-urgent-action-needed/</w:t>
        </w:r>
      </w:hyperlink>
      <w:r w:rsidRPr="00CA2687">
        <w:rPr>
          <w:sz w:val="16"/>
        </w:rPr>
        <w:t xml:space="preserve"> C.VC</w:t>
      </w:r>
    </w:p>
    <w:p w14:paraId="74B36826" w14:textId="77777777" w:rsidR="00F06928" w:rsidRPr="00AB1385" w:rsidRDefault="00F06928" w:rsidP="00F06928">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21AF6B40" w14:textId="77777777" w:rsidR="00F06928" w:rsidRPr="00AB1385" w:rsidRDefault="00F06928" w:rsidP="00F06928">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61B240F4" w14:textId="77777777" w:rsidR="00F06928" w:rsidRPr="00AB1385" w:rsidRDefault="00F06928" w:rsidP="00F06928">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0E72AE28" w14:textId="77777777" w:rsidR="00F06928" w:rsidRPr="00AB1385" w:rsidRDefault="00F06928" w:rsidP="00F06928">
      <w:pPr>
        <w:rPr>
          <w:sz w:val="16"/>
        </w:rPr>
      </w:pPr>
      <w:r w:rsidRPr="00AB1385">
        <w:rPr>
          <w:sz w:val="16"/>
        </w:rPr>
        <w:t>The Need to Rethink Likelihood</w:t>
      </w:r>
    </w:p>
    <w:p w14:paraId="608FDC04" w14:textId="77777777" w:rsidR="00F06928" w:rsidRPr="00AB1385" w:rsidRDefault="00F06928" w:rsidP="00F06928">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09F87B18" w14:textId="77777777" w:rsidR="00F06928" w:rsidRPr="00AB1385" w:rsidRDefault="00F06928" w:rsidP="00F06928">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C9701F1" w14:textId="77777777" w:rsidR="00F06928" w:rsidRPr="00AB1385" w:rsidRDefault="00F06928" w:rsidP="00F06928">
      <w:pPr>
        <w:rPr>
          <w:sz w:val="16"/>
        </w:rPr>
      </w:pPr>
      <w:r w:rsidRPr="00AB1385">
        <w:rPr>
          <w:sz w:val="16"/>
        </w:rPr>
        <w:t>In the August 2020 issue of this publication, scientists at the U.S. Military Academy at West Point warned that:</w:t>
      </w:r>
    </w:p>
    <w:p w14:paraId="68323332" w14:textId="77777777" w:rsidR="00F06928" w:rsidRPr="00AB1385" w:rsidRDefault="00F06928" w:rsidP="00F06928">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68E2EB4A" w14:textId="77777777" w:rsidR="00F06928" w:rsidRPr="00AB1385" w:rsidRDefault="00F06928" w:rsidP="00F06928">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646965D3" w14:textId="77777777" w:rsidR="00F06928" w:rsidRPr="00AB1385" w:rsidRDefault="00F06928" w:rsidP="00F06928">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3A7437BA" w14:textId="77777777" w:rsidR="00F06928" w:rsidRPr="00AB1385" w:rsidRDefault="00F06928" w:rsidP="00F06928">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178ABFE0" w14:textId="77777777" w:rsidR="00F06928" w:rsidRDefault="00F06928" w:rsidP="00F06928">
      <w:pPr>
        <w:pStyle w:val="Heading2"/>
      </w:pPr>
      <w:r>
        <w:t>3</w:t>
      </w:r>
    </w:p>
    <w:p w14:paraId="40EFBE08" w14:textId="77777777" w:rsidR="00F06928" w:rsidRPr="000B172E" w:rsidRDefault="00F06928" w:rsidP="00F06928">
      <w:pPr>
        <w:pStyle w:val="Heading4"/>
        <w:rPr>
          <w:rStyle w:val="Style13ptBold"/>
          <w:b/>
          <w:bCs w:val="0"/>
        </w:rPr>
      </w:pPr>
      <w:r>
        <w:rPr>
          <w:rStyle w:val="Style13ptBold"/>
          <w:b/>
          <w:bCs w:val="0"/>
        </w:rPr>
        <w:t>FDI is expected to recover but is tentative – uncertainties from pandemic and economic recovery</w:t>
      </w:r>
    </w:p>
    <w:p w14:paraId="485A0196" w14:textId="77777777" w:rsidR="00F06928" w:rsidRPr="000B172E" w:rsidRDefault="00F06928" w:rsidP="00F06928">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3FFBB8AD" w14:textId="77777777" w:rsidR="00F06928" w:rsidRPr="00491767" w:rsidRDefault="00F06928" w:rsidP="00F06928">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77DBBA40" w14:textId="77777777" w:rsidR="00F06928" w:rsidRPr="007309D8" w:rsidRDefault="00F06928" w:rsidP="00F06928">
      <w:pPr>
        <w:pStyle w:val="Heading4"/>
        <w:rPr>
          <w:rStyle w:val="Emphasis"/>
          <w:b/>
          <w:iCs/>
          <w:sz w:val="26"/>
          <w:u w:val="none"/>
        </w:rPr>
      </w:pPr>
      <w:r w:rsidRPr="007309D8">
        <w:rPr>
          <w:rStyle w:val="Emphasis"/>
          <w:b/>
          <w:sz w:val="26"/>
          <w:u w:val="none"/>
        </w:rPr>
        <w:t>The plan decreases foreign direct investment from lack of confidence – turns case</w:t>
      </w:r>
    </w:p>
    <w:p w14:paraId="43852987" w14:textId="77777777" w:rsidR="00F06928" w:rsidRPr="007309D8" w:rsidRDefault="00F06928" w:rsidP="00F06928">
      <w:r w:rsidRPr="001F100E">
        <w:rPr>
          <w:rStyle w:val="Style13ptBold"/>
        </w:rPr>
        <w:t>Mansuri 15</w:t>
      </w:r>
      <w:r w:rsidRPr="007309D8">
        <w:t>, Daniel E. Mr., [</w:t>
      </w:r>
      <w:r>
        <w:t xml:space="preserve">In Partial Fulfillment of the Requirements for the Degree of </w:t>
      </w:r>
      <w:proofErr w:type="gramStart"/>
      <w:r>
        <w:t>Bachelors of Science</w:t>
      </w:r>
      <w:proofErr w:type="gramEnd"/>
      <w:r>
        <w:t xml:space="preserve"> </w:t>
      </w:r>
      <w:r w:rsidRPr="007309D8">
        <w:t>"Compulsory Licenses: Damaging Firm Value in the Short Run?" (2015). Honors Theses. 141.</w:t>
      </w:r>
      <w:r>
        <w:t xml:space="preserve"> </w:t>
      </w:r>
      <w:r w:rsidRPr="007309D8">
        <w:t>http://scarab.bates.edu/honorstheses/141]//anop</w:t>
      </w:r>
      <w:r w:rsidRPr="007309D8">
        <w:rPr>
          <w:sz w:val="16"/>
        </w:rPr>
        <w:br/>
        <w:t xml:space="preserve">The issuance of a </w:t>
      </w:r>
      <w:r w:rsidRPr="007309D8">
        <w:rPr>
          <w:rStyle w:val="Emphasis"/>
        </w:rPr>
        <w:t xml:space="preserve">compulsory license by a developing nation may also come with other negative consequences like divestment by large multinational pharmaceutical companies. </w:t>
      </w:r>
      <w:r w:rsidRPr="007309D8">
        <w:rPr>
          <w:sz w:val="16"/>
        </w:rPr>
        <w:t xml:space="preserve">This can be assessed by the change in total foreign direct investment (FDI) into a country. FDI is the flow of people, capital, and technology from one country to another. In the pharmaceutical industry, FDI is usually the acquisition or production of subsidiaries in the host </w:t>
      </w:r>
      <w:proofErr w:type="gramStart"/>
      <w:r w:rsidRPr="007309D8">
        <w:rPr>
          <w:sz w:val="16"/>
        </w:rPr>
        <w:t>country(</w:t>
      </w:r>
      <w:proofErr w:type="gramEnd"/>
      <w:r w:rsidRPr="007309D8">
        <w:rPr>
          <w:sz w:val="16"/>
        </w:rPr>
        <w:t xml:space="preserve">R. C. C. Bird, Daniel R. , 2008). </w:t>
      </w:r>
      <w:r w:rsidRPr="007309D8">
        <w:rPr>
          <w:rStyle w:val="Emphasis"/>
        </w:rPr>
        <w:t xml:space="preserve">FDI has been used in the past as a metric to judge confidence in the host nation. A significant portion of </w:t>
      </w:r>
      <w:r w:rsidRPr="007309D8">
        <w:rPr>
          <w:rStyle w:val="Emphasis"/>
          <w:highlight w:val="cyan"/>
        </w:rPr>
        <w:t>pharmaceutical companies’ worry comes about</w:t>
      </w:r>
      <w:r w:rsidRPr="007309D8">
        <w:rPr>
          <w:rStyle w:val="Emphasis"/>
        </w:rPr>
        <w:t xml:space="preserve"> due to the potential for </w:t>
      </w:r>
      <w:r w:rsidRPr="007309D8">
        <w:rPr>
          <w:rStyle w:val="Emphasis"/>
          <w:highlight w:val="cyan"/>
        </w:rPr>
        <w:t>compulsory license mishandling and</w:t>
      </w:r>
      <w:r w:rsidRPr="007309D8">
        <w:rPr>
          <w:rStyle w:val="Emphasis"/>
        </w:rPr>
        <w:t xml:space="preserve"> very </w:t>
      </w:r>
      <w:r w:rsidRPr="007309D8">
        <w:rPr>
          <w:rStyle w:val="Emphasis"/>
          <w:highlight w:val="cyan"/>
        </w:rPr>
        <w:t>high transaction costs</w:t>
      </w:r>
      <w:r w:rsidRPr="007309D8">
        <w:rPr>
          <w:rStyle w:val="Emphasis"/>
        </w:rPr>
        <w:t xml:space="preserve"> for both companies and nations. If a country is likely to </w:t>
      </w:r>
      <w:proofErr w:type="gramStart"/>
      <w:r w:rsidRPr="007309D8">
        <w:rPr>
          <w:rStyle w:val="Emphasis"/>
        </w:rPr>
        <w:t>enter into</w:t>
      </w:r>
      <w:proofErr w:type="gramEnd"/>
      <w:r w:rsidRPr="007309D8">
        <w:rPr>
          <w:rStyle w:val="Emphasis"/>
        </w:rPr>
        <w:t xml:space="preserve"> a compulsory license, it </w:t>
      </w:r>
      <w:r w:rsidRPr="007309D8">
        <w:rPr>
          <w:rStyle w:val="Emphasis"/>
          <w:highlight w:val="cyan"/>
        </w:rPr>
        <w:t>may</w:t>
      </w:r>
      <w:r w:rsidRPr="007309D8">
        <w:rPr>
          <w:rStyle w:val="Emphasis"/>
        </w:rPr>
        <w:t xml:space="preserve"> be in the multinational firm’s best interest to avoid ventures into that country and </w:t>
      </w:r>
      <w:r w:rsidRPr="007309D8">
        <w:rPr>
          <w:rStyle w:val="Emphasis"/>
          <w:highlight w:val="cyan"/>
        </w:rPr>
        <w:t>seek</w:t>
      </w:r>
      <w:r w:rsidRPr="007309D8">
        <w:rPr>
          <w:rStyle w:val="Emphasis"/>
        </w:rPr>
        <w:t xml:space="preserve"> a </w:t>
      </w:r>
      <w:r w:rsidRPr="007309D8">
        <w:rPr>
          <w:rStyle w:val="Emphasis"/>
          <w:highlight w:val="cyan"/>
        </w:rPr>
        <w:t>more friendly</w:t>
      </w:r>
      <w:r w:rsidRPr="007309D8">
        <w:rPr>
          <w:rStyle w:val="Emphasis"/>
        </w:rPr>
        <w:t xml:space="preserve"> business </w:t>
      </w:r>
      <w:r w:rsidRPr="007309D8">
        <w:rPr>
          <w:rStyle w:val="Emphasis"/>
          <w:highlight w:val="cyan"/>
        </w:rPr>
        <w:t>environment</w:t>
      </w:r>
      <w:r w:rsidRPr="007309D8">
        <w:rPr>
          <w:rStyle w:val="Emphasis"/>
        </w:rPr>
        <w:t xml:space="preserve"> </w:t>
      </w:r>
      <w:r w:rsidRPr="007309D8">
        <w:rPr>
          <w:rStyle w:val="Emphasis"/>
          <w:highlight w:val="cyan"/>
        </w:rPr>
        <w:t>rather than deal with</w:t>
      </w:r>
      <w:r w:rsidRPr="007309D8">
        <w:rPr>
          <w:rStyle w:val="Emphasis"/>
        </w:rPr>
        <w:t xml:space="preserve"> the constant </w:t>
      </w:r>
      <w:r w:rsidRPr="007309D8">
        <w:rPr>
          <w:rStyle w:val="Emphasis"/>
          <w:highlight w:val="cyan"/>
        </w:rPr>
        <w:t>threat of</w:t>
      </w:r>
      <w:r w:rsidRPr="007309D8">
        <w:rPr>
          <w:rStyle w:val="Emphasis"/>
        </w:rPr>
        <w:t xml:space="preserve"> a </w:t>
      </w:r>
      <w:r w:rsidRPr="007309D8">
        <w:rPr>
          <w:rStyle w:val="Emphasis"/>
          <w:highlight w:val="cyan"/>
        </w:rPr>
        <w:t>license and</w:t>
      </w:r>
      <w:r w:rsidRPr="007309D8">
        <w:rPr>
          <w:rStyle w:val="Emphasis"/>
        </w:rPr>
        <w:t xml:space="preserve"> the high </w:t>
      </w:r>
      <w:r w:rsidRPr="007309D8">
        <w:rPr>
          <w:rStyle w:val="Emphasis"/>
          <w:highlight w:val="cyan"/>
        </w:rPr>
        <w:t>legal costs</w:t>
      </w:r>
      <w:r w:rsidRPr="007309D8">
        <w:rPr>
          <w:rStyle w:val="Emphasis"/>
        </w:rPr>
        <w:t xml:space="preserve"> if they do come to fruition (Bird, 2009). Additionally, </w:t>
      </w:r>
      <w:r w:rsidRPr="007309D8">
        <w:rPr>
          <w:rStyle w:val="Emphasis"/>
          <w:highlight w:val="cyan"/>
        </w:rPr>
        <w:t>manufacturers</w:t>
      </w:r>
      <w:r w:rsidRPr="007309D8">
        <w:rPr>
          <w:rStyle w:val="Emphasis"/>
        </w:rPr>
        <w:t xml:space="preserve"> tasked with production of the compulsory licensed drug may take advantage of the license and attempt to </w:t>
      </w:r>
      <w:r w:rsidRPr="007309D8">
        <w:rPr>
          <w:rStyle w:val="Emphasis"/>
          <w:highlight w:val="cyan"/>
        </w:rPr>
        <w:t>generate profit</w:t>
      </w:r>
      <w:r w:rsidRPr="007309D8">
        <w:rPr>
          <w:rStyle w:val="Emphasis"/>
        </w:rPr>
        <w:t xml:space="preserve"> rather than alleviate the epidemic through low cost 21 medication. For example, the Washington Post in 2002 reported that “Nearly $18 million worth of </w:t>
      </w:r>
      <w:r w:rsidRPr="007309D8">
        <w:rPr>
          <w:rStyle w:val="Emphasis"/>
          <w:highlight w:val="cyan"/>
        </w:rPr>
        <w:t xml:space="preserve">reduced-price HIV drugs </w:t>
      </w:r>
      <w:r w:rsidRPr="007309D8">
        <w:rPr>
          <w:rStyle w:val="Emphasis"/>
        </w:rPr>
        <w:t xml:space="preserve">intended for impoverished Africans have been </w:t>
      </w:r>
      <w:r w:rsidRPr="007309D8">
        <w:rPr>
          <w:rStyle w:val="Emphasis"/>
          <w:highlight w:val="cyan"/>
        </w:rPr>
        <w:t>intercepted</w:t>
      </w:r>
      <w:r w:rsidRPr="007309D8">
        <w:rPr>
          <w:rStyle w:val="Emphasis"/>
        </w:rPr>
        <w:t xml:space="preserve"> </w:t>
      </w:r>
      <w:r w:rsidRPr="007309D8">
        <w:rPr>
          <w:rStyle w:val="Emphasis"/>
          <w:highlight w:val="cyan"/>
        </w:rPr>
        <w:t>by profiteers and shipped back</w:t>
      </w:r>
      <w:r w:rsidRPr="007309D8">
        <w:rPr>
          <w:rStyle w:val="Emphasis"/>
        </w:rPr>
        <w:t xml:space="preserve"> to Europe to be sold at marked-up price” (HST, 2002).</w:t>
      </w:r>
      <w:r w:rsidRPr="007309D8">
        <w:rPr>
          <w:sz w:val="16"/>
        </w:rPr>
        <w:t xml:space="preserve"> While this number is not large for the bottom line of a pharmaceutical company, parallel imports / arbitrages have the potential to eat away significantly at the earnings potential of a drug </w:t>
      </w:r>
      <w:proofErr w:type="gramStart"/>
      <w:r w:rsidRPr="007309D8">
        <w:rPr>
          <w:sz w:val="16"/>
        </w:rPr>
        <w:t>and also</w:t>
      </w:r>
      <w:proofErr w:type="gramEnd"/>
      <w:r w:rsidRPr="007309D8">
        <w:rPr>
          <w:sz w:val="16"/>
        </w:rPr>
        <w:t xml:space="preserve"> harm the intended beneficiaries of the drug. Due to parallel imports, there is the potential for extreme negative consequences of a compulsory license for the multinational entities (MNEs) profits even if the issuing nation is a negligible market, especially since the company itself cannot control the distribution during a compulsory license. </w:t>
      </w:r>
      <w:r w:rsidRPr="007309D8">
        <w:rPr>
          <w:rStyle w:val="Emphasis"/>
        </w:rPr>
        <w:t>Egypt is an example of what can happen when a country seemingly oversteps their bounds with respect to a compulsory license and then suffers significant negative consequences. Egypt has, historically, been in favor of the use of compulsory licensing for drugs, although perhaps for questionable reasons (Aziz, 2003). It has cited reasons including that the current price of the drug is too high, and it does not meet demand</w:t>
      </w:r>
      <w:r w:rsidRPr="007309D8">
        <w:rPr>
          <w:sz w:val="16"/>
        </w:rPr>
        <w:t xml:space="preserve">. As unfortunate as this may be, the drug price being too high for a non-essential medication is not in itself enough to warrant the issuance of a compulsory license under the Doha declaration. </w:t>
      </w:r>
      <w:r w:rsidRPr="007309D8">
        <w:rPr>
          <w:rStyle w:val="Emphasis"/>
          <w:highlight w:val="cyan"/>
        </w:rPr>
        <w:t>Egypt’s issuance of</w:t>
      </w:r>
      <w:r w:rsidRPr="007309D8">
        <w:rPr>
          <w:rStyle w:val="Emphasis"/>
        </w:rPr>
        <w:t xml:space="preserve"> a </w:t>
      </w:r>
      <w:r w:rsidRPr="007309D8">
        <w:rPr>
          <w:rStyle w:val="Emphasis"/>
          <w:highlight w:val="cyan"/>
        </w:rPr>
        <w:t>compulsory license on Viagra</w:t>
      </w:r>
      <w:r w:rsidRPr="007309D8">
        <w:rPr>
          <w:rStyle w:val="Emphasis"/>
        </w:rPr>
        <w:t xml:space="preserve"> in 2002 illustrates this perfectly. While some may argue this medication is of the utmost importance, it is difficult to believe that Egypt was suffering so severely, or so much worse than the rest of the world, as to warrant considering it a public health issue. Although “local pharmaceutical manufacturers [accused] the Egyptian Ministry of Health of exploiting Egypt’s poor by granting Pfizer the exclusive right to sell Viagra within Egypt’s 22 borders,” that is not enough reason to grant a compulsory license (R. C. Bird, 2009). The issuance of the license exemplifies the potential misuse of the compulsory license system</w:t>
      </w:r>
      <w:r w:rsidRPr="007309D8">
        <w:rPr>
          <w:sz w:val="16"/>
        </w:rPr>
        <w:t xml:space="preserve">. This license was granted because of political pressure applied by small pharmaceutical companies within Egypt, not by individuals looking out for the public health of Egyptian citizens. Additionally, the argument made for the compulsory license was a financial one, and not an essential medicine one, which does not constitute a reason for a compulsory license under TRIPS and the Doha Declaration. </w:t>
      </w:r>
      <w:r w:rsidRPr="007309D8">
        <w:rPr>
          <w:rStyle w:val="Emphasis"/>
        </w:rPr>
        <w:t xml:space="preserve">Multinational corporations met the issuance of a compulsory license by Egypt first with harsh criticism, then with action. Their action was catalyzed by their lack of faith in Egypt’s intellectual property laws. This was highlighted when Egyptian representatives to pharmaceuticals were informed that their weak patent landscape had </w:t>
      </w:r>
      <w:r w:rsidRPr="007309D8">
        <w:rPr>
          <w:rStyle w:val="Emphasis"/>
          <w:highlight w:val="cyan"/>
        </w:rPr>
        <w:t xml:space="preserve">cost them over $300 million </w:t>
      </w:r>
      <w:r w:rsidRPr="007309D8">
        <w:rPr>
          <w:rStyle w:val="Emphasis"/>
        </w:rPr>
        <w:t xml:space="preserve">of investment into their pharmaceutical sector (Aziz, 2003). While the Viagra license exemplifies the potential for abuse, the weak patent landscape had already been hurting Egypt’s economy significantly. The amount of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 xml:space="preserve">nvestment into Egypt </w:t>
      </w:r>
      <w:r w:rsidRPr="007309D8">
        <w:rPr>
          <w:rStyle w:val="Emphasis"/>
          <w:highlight w:val="cyan"/>
        </w:rPr>
        <w:t>declined from</w:t>
      </w:r>
      <w:r w:rsidRPr="007309D8">
        <w:rPr>
          <w:rStyle w:val="Emphasis"/>
        </w:rPr>
        <w:t xml:space="preserve"> about </w:t>
      </w:r>
      <w:r w:rsidRPr="007309D8">
        <w:rPr>
          <w:rStyle w:val="Emphasis"/>
          <w:highlight w:val="cyan"/>
        </w:rPr>
        <w:t>$950 million</w:t>
      </w:r>
      <w:r w:rsidRPr="007309D8">
        <w:rPr>
          <w:rStyle w:val="Emphasis"/>
        </w:rPr>
        <w:t xml:space="preserve"> dollars in 1987 </w:t>
      </w:r>
      <w:r w:rsidRPr="007309D8">
        <w:rPr>
          <w:rStyle w:val="Emphasis"/>
          <w:highlight w:val="cyan"/>
        </w:rPr>
        <w:t>to $425 million</w:t>
      </w:r>
      <w:r w:rsidRPr="007309D8">
        <w:rPr>
          <w:rStyle w:val="Emphasis"/>
        </w:rPr>
        <w:t xml:space="preserve"> in 2002 (R. C. C. Bird, Daniel </w:t>
      </w:r>
      <w:proofErr w:type="gramStart"/>
      <w:r w:rsidRPr="007309D8">
        <w:rPr>
          <w:rStyle w:val="Emphasis"/>
        </w:rPr>
        <w:t>R. ,</w:t>
      </w:r>
      <w:proofErr w:type="gramEnd"/>
      <w:r w:rsidRPr="007309D8">
        <w:rPr>
          <w:rStyle w:val="Emphasis"/>
        </w:rPr>
        <w:t xml:space="preserve"> 2008).</w:t>
      </w:r>
      <w:r w:rsidRPr="007309D8">
        <w:rPr>
          <w:sz w:val="16"/>
        </w:rPr>
        <w:t xml:space="preserve"> While the authors’ conclusion does seem a little ambitious and one-dimensional given Egypt’s tumultuous political scene, </w:t>
      </w:r>
      <w:proofErr w:type="gramStart"/>
      <w:r w:rsidRPr="007309D8">
        <w:rPr>
          <w:sz w:val="16"/>
        </w:rPr>
        <w:t>it is clear that when</w:t>
      </w:r>
      <w:proofErr w:type="gramEnd"/>
      <w:r w:rsidRPr="007309D8">
        <w:rPr>
          <w:sz w:val="16"/>
        </w:rPr>
        <w:t xml:space="preserve"> used and misused, the issuance of a compulsory license can have strong negative consequences on the non-generic pharmaceutical sector of a nation. While Egypt is a good example of the potential impacts of compulsory license misuse on foreign direct investment, other nations have dealt with similar issues as well. In the time immediately following TRIPS, the Argentine Senate forced through 23 legislation which enacted patent law inconsistent with TRIPS, causing a reduction in trust from MNE’s (R. C. Bird, 2009). For example, upon filing an appeal against a compulsory license, the license would not be suspended immediately. Rather, the patent office would wait for the ruling of the court (R. C. Bird, 2009) to require the suspension of the license. </w:t>
      </w:r>
      <w:r w:rsidRPr="007309D8">
        <w:rPr>
          <w:rStyle w:val="Emphasis"/>
        </w:rPr>
        <w:t xml:space="preserve">This allowed for imitation to occur easier, causing serious revenue loss for MNE’s. In the period after this new Argentine legislation, </w:t>
      </w:r>
      <w:r w:rsidRPr="007309D8">
        <w:rPr>
          <w:rStyle w:val="Emphasis"/>
          <w:highlight w:val="cyan"/>
        </w:rPr>
        <w:t>countries</w:t>
      </w:r>
      <w:r w:rsidRPr="007309D8">
        <w:rPr>
          <w:rStyle w:val="Emphasis"/>
        </w:rPr>
        <w:t xml:space="preserve"> such as Germany and Sweden actively voiced concern and </w:t>
      </w:r>
      <w:r w:rsidRPr="007309D8">
        <w:rPr>
          <w:rStyle w:val="Emphasis"/>
          <w:highlight w:val="cyan"/>
        </w:rPr>
        <w:t>stated</w:t>
      </w:r>
      <w:r w:rsidRPr="007309D8">
        <w:rPr>
          <w:rStyle w:val="Emphasis"/>
        </w:rPr>
        <w:t xml:space="preserve"> that the </w:t>
      </w:r>
      <w:r w:rsidRPr="007309D8">
        <w:rPr>
          <w:rStyle w:val="Emphasis"/>
          <w:highlight w:val="cyan"/>
        </w:rPr>
        <w:t>lack of IPR was</w:t>
      </w:r>
      <w:r w:rsidRPr="007309D8">
        <w:rPr>
          <w:rStyle w:val="Emphasis"/>
        </w:rPr>
        <w:t xml:space="preserve"> the </w:t>
      </w:r>
      <w:r w:rsidRPr="007309D8">
        <w:rPr>
          <w:rStyle w:val="Emphasis"/>
          <w:highlight w:val="cyan"/>
        </w:rPr>
        <w:t>central</w:t>
      </w:r>
      <w:r w:rsidRPr="007309D8">
        <w:rPr>
          <w:rStyle w:val="Emphasis"/>
        </w:rPr>
        <w:t xml:space="preserve"> </w:t>
      </w:r>
      <w:r w:rsidRPr="007309D8">
        <w:rPr>
          <w:rStyle w:val="Emphasis"/>
          <w:highlight w:val="cyan"/>
        </w:rPr>
        <w:t>concern</w:t>
      </w:r>
      <w:r w:rsidRPr="007309D8">
        <w:rPr>
          <w:rStyle w:val="Emphasis"/>
        </w:rPr>
        <w:t xml:space="preserve"> of business owners considering </w:t>
      </w:r>
      <w:proofErr w:type="gramStart"/>
      <w:r w:rsidRPr="007309D8">
        <w:rPr>
          <w:rStyle w:val="Emphasis"/>
        </w:rPr>
        <w:t>entering into</w:t>
      </w:r>
      <w:proofErr w:type="gramEnd"/>
      <w:r w:rsidRPr="007309D8">
        <w:rPr>
          <w:rStyle w:val="Emphasis"/>
        </w:rPr>
        <w:t xml:space="preserve"> Argentina (R. C. Bird, 2009)</w:t>
      </w:r>
      <w:r w:rsidRPr="007309D8">
        <w:rPr>
          <w:sz w:val="16"/>
        </w:rPr>
        <w:t>. Overall, it has been shown that the issuance of a compulsory license has the potential to cause severe negative consequences to the issuing nation. There is not much information about how the license affects the value of the company that the license was issued against. I will address this by examining how the value of a firm does or does not change after the announcement of a compulsory license.</w:t>
      </w:r>
    </w:p>
    <w:p w14:paraId="6696F8AE" w14:textId="77777777" w:rsidR="00F06928" w:rsidRPr="007309D8" w:rsidRDefault="00F06928" w:rsidP="00F06928">
      <w:pPr>
        <w:pStyle w:val="Heading4"/>
        <w:rPr>
          <w:rStyle w:val="Style13ptBold"/>
          <w:b/>
          <w:bCs w:val="0"/>
        </w:rPr>
      </w:pPr>
      <w:r w:rsidRPr="007309D8">
        <w:rPr>
          <w:rStyle w:val="Style13ptBold"/>
          <w:b/>
          <w:bCs w:val="0"/>
        </w:rPr>
        <w:t>FDI is key to long term economic stability – it dictates future investments and industries</w:t>
      </w:r>
    </w:p>
    <w:p w14:paraId="48CF26D8" w14:textId="77777777" w:rsidR="00F06928" w:rsidRPr="007309D8" w:rsidRDefault="00F06928" w:rsidP="00F06928">
      <w:proofErr w:type="spellStart"/>
      <w:r w:rsidRPr="007309D8">
        <w:rPr>
          <w:rStyle w:val="Style13ptBold"/>
        </w:rPr>
        <w:t>Susic</w:t>
      </w:r>
      <w:proofErr w:type="spellEnd"/>
      <w:r w:rsidRPr="007309D8">
        <w:rPr>
          <w:rStyle w:val="Style13ptBold"/>
        </w:rPr>
        <w:t xml:space="preserve"> et al 17</w:t>
      </w:r>
      <w:r w:rsidRPr="007309D8">
        <w:t xml:space="preserve"> [I Susic</w:t>
      </w:r>
      <w:proofErr w:type="gramStart"/>
      <w:r w:rsidRPr="007309D8">
        <w:t>1 ,</w:t>
      </w:r>
      <w:proofErr w:type="gramEnd"/>
      <w:r w:rsidRPr="007309D8">
        <w:t xml:space="preserve"> M Stojanovic-Trivanovic2 and M Susic3 1University of Business Studies, Jovan </w:t>
      </w:r>
      <w:proofErr w:type="spellStart"/>
      <w:r w:rsidRPr="007309D8">
        <w:t>Ducic</w:t>
      </w:r>
      <w:proofErr w:type="spellEnd"/>
      <w:r w:rsidRPr="007309D8">
        <w:t xml:space="preserve"> Street, No 23A, 78000 Banja Luka, Bosnia and Herzegovina 2 Independent University </w:t>
      </w:r>
      <w:proofErr w:type="spellStart"/>
      <w:r w:rsidRPr="007309D8">
        <w:t>Banjaluka</w:t>
      </w:r>
      <w:proofErr w:type="spellEnd"/>
      <w:r w:rsidRPr="007309D8">
        <w:t xml:space="preserve">, </w:t>
      </w:r>
      <w:proofErr w:type="spellStart"/>
      <w:r w:rsidRPr="007309D8">
        <w:t>Veljka</w:t>
      </w:r>
      <w:proofErr w:type="spellEnd"/>
      <w:r w:rsidRPr="007309D8">
        <w:t xml:space="preserve"> </w:t>
      </w:r>
      <w:proofErr w:type="spellStart"/>
      <w:r w:rsidRPr="007309D8">
        <w:t>Mladjenovica</w:t>
      </w:r>
      <w:proofErr w:type="spellEnd"/>
      <w:r w:rsidRPr="007309D8">
        <w:t xml:space="preserve"> Street No 12E, 78000 Banja Luka, Bosnia and Herzegovina 3Enterprise </w:t>
      </w:r>
      <w:proofErr w:type="spellStart"/>
      <w:r w:rsidRPr="007309D8">
        <w:t>Fructa</w:t>
      </w:r>
      <w:proofErr w:type="spellEnd"/>
      <w:r w:rsidRPr="007309D8">
        <w:t xml:space="preserve"> Trade – </w:t>
      </w:r>
      <w:proofErr w:type="spellStart"/>
      <w:r w:rsidRPr="007309D8">
        <w:t>Kort</w:t>
      </w:r>
      <w:proofErr w:type="spellEnd"/>
      <w:r w:rsidRPr="007309D8">
        <w:t xml:space="preserve">, Marije </w:t>
      </w:r>
      <w:proofErr w:type="spellStart"/>
      <w:r w:rsidRPr="007309D8">
        <w:t>Bursac</w:t>
      </w:r>
      <w:proofErr w:type="spellEnd"/>
      <w:r w:rsidRPr="007309D8">
        <w:t xml:space="preserve"> Street No 70, 74400 </w:t>
      </w:r>
      <w:proofErr w:type="spellStart"/>
      <w:r w:rsidRPr="007309D8">
        <w:t>Derventa</w:t>
      </w:r>
      <w:proofErr w:type="spellEnd"/>
      <w:r w:rsidRPr="007309D8">
        <w:t>, Bosnia and Herzegovina 2017 IOP Conf. Ser.: Mater. Sci. Eng. 200 012019. https://iopscience.iop.org/article/10.1088/1757-899X/200/1/012019/pdf]//anop</w:t>
      </w:r>
    </w:p>
    <w:p w14:paraId="4E11FB11" w14:textId="77777777" w:rsidR="00F06928" w:rsidRPr="007309D8" w:rsidRDefault="00F06928" w:rsidP="00F06928">
      <w:pPr>
        <w:rPr>
          <w:rStyle w:val="Emphasis"/>
        </w:rPr>
      </w:pPr>
      <w:r w:rsidRPr="007309D8">
        <w:rPr>
          <w:sz w:val="16"/>
        </w:rPr>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w:t>
      </w:r>
      <w:proofErr w:type="gramStart"/>
      <w:r w:rsidRPr="007309D8">
        <w:rPr>
          <w:sz w:val="16"/>
        </w:rPr>
        <w:t>in order to</w:t>
      </w:r>
      <w:proofErr w:type="gramEnd"/>
      <w:r w:rsidRPr="007309D8">
        <w:rPr>
          <w:sz w:val="16"/>
        </w:rPr>
        <w:t xml:space="preserve"> achieve long-term interests. These investments </w:t>
      </w:r>
      <w:r w:rsidRPr="007309D8">
        <w:rPr>
          <w:rStyle w:val="Emphasis"/>
        </w:rPr>
        <w:t xml:space="preserve">are the most important instrument of foreign capital inflow because they represent a direct inflow from abroad, </w:t>
      </w:r>
      <w:proofErr w:type="gramStart"/>
      <w:r w:rsidRPr="007309D8">
        <w:rPr>
          <w:rStyle w:val="Emphasis"/>
        </w:rPr>
        <w:t>i.e.</w:t>
      </w:r>
      <w:proofErr w:type="gramEnd"/>
      <w:r w:rsidRPr="007309D8">
        <w:rPr>
          <w:rStyle w:val="Emphasis"/>
        </w:rPr>
        <w:t xml:space="preserv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facilitating the placement of products and services</w:t>
      </w:r>
      <w:r w:rsidRPr="007309D8">
        <w:rPr>
          <w:rStyle w:val="Emphasis"/>
        </w:rPr>
        <w:t xml:space="preserve"> as the output in the most important markets in a profitable way. </w:t>
      </w:r>
      <w:proofErr w:type="gramStart"/>
      <w:r w:rsidRPr="007309D8">
        <w:rPr>
          <w:rStyle w:val="Emphasis"/>
        </w:rPr>
        <w:t>On the basis of</w:t>
      </w:r>
      <w:proofErr w:type="gramEnd"/>
      <w:r w:rsidRPr="007309D8">
        <w:rPr>
          <w:rStyle w:val="Emphasis"/>
        </w:rPr>
        <w:t xml:space="preserve">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proofErr w:type="gramStart"/>
      <w:r w:rsidRPr="007309D8">
        <w:rPr>
          <w:rStyle w:val="Emphasis"/>
          <w:highlight w:val="cyan"/>
        </w:rPr>
        <w:t>skills</w:t>
      </w:r>
      <w:proofErr w:type="gramEnd"/>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22D9A9C6" w14:textId="77777777" w:rsidR="00F06928" w:rsidRPr="007309D8" w:rsidRDefault="00F06928" w:rsidP="00F06928">
      <w:pPr>
        <w:pStyle w:val="Heading4"/>
        <w:rPr>
          <w:rStyle w:val="Style13ptBold"/>
          <w:b/>
          <w:bCs w:val="0"/>
        </w:rPr>
      </w:pPr>
      <w:r w:rsidRPr="007309D8">
        <w:rPr>
          <w:rStyle w:val="Style13ptBold"/>
          <w:b/>
          <w:bCs w:val="0"/>
        </w:rPr>
        <w:t>FDI is key to COVID recovery – increases employment and strengthens relations between countries.</w:t>
      </w:r>
    </w:p>
    <w:p w14:paraId="1352C84E" w14:textId="77777777" w:rsidR="00F06928" w:rsidRPr="007309D8" w:rsidRDefault="00F06928" w:rsidP="00F06928">
      <w:proofErr w:type="spellStart"/>
      <w:r w:rsidRPr="007309D8">
        <w:rPr>
          <w:rStyle w:val="Style13ptBold"/>
        </w:rPr>
        <w:t>Chalamish</w:t>
      </w:r>
      <w:proofErr w:type="spellEnd"/>
      <w:r w:rsidRPr="007309D8">
        <w:rPr>
          <w:rStyle w:val="Style13ptBold"/>
        </w:rPr>
        <w:t xml:space="preserve"> et al 20</w:t>
      </w:r>
      <w:r w:rsidRPr="007309D8">
        <w:t xml:space="preserve"> [Dr. Efraim </w:t>
      </w:r>
      <w:proofErr w:type="spellStart"/>
      <w:r w:rsidRPr="007309D8">
        <w:t>Chalamish</w:t>
      </w:r>
      <w:proofErr w:type="spellEnd"/>
      <w:r w:rsidRPr="007309D8">
        <w:t xml:space="preserve">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69DB14BA" w14:textId="77777777" w:rsidR="00F06928" w:rsidRPr="007309D8" w:rsidRDefault="00F06928" w:rsidP="00F06928">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w:t>
      </w:r>
      <w:proofErr w:type="gramStart"/>
      <w:r w:rsidRPr="007309D8">
        <w:rPr>
          <w:rStyle w:val="Emphasis"/>
        </w:rPr>
        <w:t>it</w:t>
      </w:r>
      <w:proofErr w:type="gramEnd"/>
      <w:r w:rsidRPr="007309D8">
        <w:rPr>
          <w:rStyle w:val="Emphasis"/>
        </w:rPr>
        <w:t xml:space="preserve">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14B70CD9" w14:textId="77777777" w:rsidR="00F06928" w:rsidRPr="007309D8" w:rsidRDefault="00F06928" w:rsidP="00F06928">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4D749C2D" w14:textId="77777777" w:rsidR="00F06928" w:rsidRPr="007309D8" w:rsidRDefault="00F06928" w:rsidP="00F06928">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7309D8">
        <w:rPr>
          <w:rStyle w:val="Style13ptBold"/>
          <w:rFonts w:asciiTheme="minorHAnsi" w:hAnsiTheme="minorHAnsi" w:cstheme="minorHAnsi"/>
          <w:b w:val="0"/>
          <w:sz w:val="18"/>
          <w:szCs w:val="18"/>
        </w:rPr>
        <w:t>Brauer</w:t>
      </w:r>
      <w:proofErr w:type="spellEnd"/>
      <w:r w:rsidRPr="007309D8">
        <w:rPr>
          <w:rStyle w:val="Style13ptBold"/>
          <w:rFonts w:asciiTheme="minorHAnsi" w:hAnsiTheme="minorHAnsi" w:cstheme="minorHAnsi"/>
          <w:b w:val="0"/>
          <w:sz w:val="18"/>
          <w:szCs w:val="18"/>
        </w:rPr>
        <w:t>,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0D983ECC" w14:textId="77777777" w:rsidR="00F06928" w:rsidRPr="007309D8" w:rsidRDefault="00F06928" w:rsidP="00F06928">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xml:space="preserve">. Political science literature has contributed a moderate degree of attention to the impact of economic decline and the security and </w:t>
      </w:r>
      <w:proofErr w:type="spellStart"/>
      <w:r w:rsidRPr="007309D8">
        <w:rPr>
          <w:rStyle w:val="StyleUnderline"/>
          <w:rFonts w:asciiTheme="minorHAnsi" w:hAnsiTheme="minorHAnsi" w:cstheme="minorHAnsi"/>
        </w:rPr>
        <w:t>defence</w:t>
      </w:r>
      <w:proofErr w:type="spellEnd"/>
      <w:r w:rsidRPr="007309D8">
        <w:rPr>
          <w:rStyle w:val="StyleUnderline"/>
          <w:rFonts w:asciiTheme="minorHAnsi" w:hAnsiTheme="minorHAnsi" w:cstheme="minorHAnsi"/>
        </w:rPr>
        <w:t xml:space="preserve"> </w:t>
      </w:r>
      <w:proofErr w:type="spellStart"/>
      <w:r w:rsidRPr="007309D8">
        <w:rPr>
          <w:rStyle w:val="StyleUnderline"/>
          <w:rFonts w:asciiTheme="minorHAnsi" w:hAnsiTheme="minorHAnsi" w:cstheme="minorHAnsi"/>
        </w:rPr>
        <w:t>behaviour</w:t>
      </w:r>
      <w:proofErr w:type="spellEnd"/>
      <w:r w:rsidRPr="007309D8">
        <w:rPr>
          <w:rStyle w:val="StyleUnderline"/>
          <w:rFonts w:asciiTheme="minorHAnsi" w:hAnsiTheme="minorHAnsi" w:cstheme="minorHAnsi"/>
        </w:rPr>
        <w:t xml:space="preserve"> of interdependent slates</w:t>
      </w:r>
      <w:r w:rsidRPr="007309D8">
        <w:rPr>
          <w:rFonts w:asciiTheme="minorHAnsi" w:hAnsiTheme="minorHAnsi" w:cstheme="minorHAnsi"/>
        </w:rPr>
        <w:t xml:space="preserve">. Research in this vein has been considered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 Several notable contributions follow. First, on the systemic level.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(2008) advances </w:t>
      </w:r>
      <w:proofErr w:type="spellStart"/>
      <w:r w:rsidRPr="007309D8">
        <w:rPr>
          <w:rFonts w:asciiTheme="minorHAnsi" w:hAnsiTheme="minorHAnsi" w:cstheme="minorHAnsi"/>
        </w:rPr>
        <w:t>Modelski</w:t>
      </w:r>
      <w:proofErr w:type="spellEnd"/>
      <w:r w:rsidRPr="007309D8">
        <w:rPr>
          <w:rFonts w:asciiTheme="minorHAnsi" w:hAnsiTheme="minorHAnsi" w:cstheme="minorHAnsi"/>
        </w:rPr>
        <w:t xml:space="preserve">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(1996) also shows that global economic cycles combined with parallel leadership cycles impact the likelihood of conflict among major, </w:t>
      </w:r>
      <w:proofErr w:type="gramStart"/>
      <w:r w:rsidRPr="007309D8">
        <w:rPr>
          <w:rFonts w:asciiTheme="minorHAnsi" w:hAnsiTheme="minorHAnsi" w:cstheme="minorHAnsi"/>
        </w:rPr>
        <w:t>medium</w:t>
      </w:r>
      <w:proofErr w:type="gramEnd"/>
      <w:r w:rsidRPr="007309D8">
        <w:rPr>
          <w:rFonts w:asciiTheme="minorHAnsi" w:hAnsiTheme="minorHAnsi" w:cstheme="minorHAnsi"/>
        </w:rPr>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7309D8">
        <w:rPr>
          <w:rFonts w:asciiTheme="minorHAnsi" w:hAnsiTheme="minorHAnsi" w:cstheme="minorHAnsi"/>
        </w:rPr>
        <w:t>behaviour</w:t>
      </w:r>
      <w:proofErr w:type="spellEnd"/>
      <w:r w:rsidRPr="007309D8">
        <w:rPr>
          <w:rFonts w:asciiTheme="minorHAnsi" w:hAnsiTheme="minorHAnsi" w:cstheme="minorHAnsi"/>
        </w:rPr>
        <w:t xml:space="preserve">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7309D8">
        <w:rPr>
          <w:rStyle w:val="StyleUnderline"/>
          <w:rFonts w:asciiTheme="minorHAnsi" w:hAnsiTheme="minorHAnsi" w:cstheme="minorHAnsi"/>
        </w:rPr>
        <w:t>The</w:t>
      </w:r>
      <w:proofErr w:type="gramEnd"/>
      <w:r w:rsidRPr="007309D8">
        <w:rPr>
          <w:rStyle w:val="StyleUnderline"/>
          <w:rFonts w:asciiTheme="minorHAnsi" w:hAnsiTheme="minorHAnsi" w:cstheme="minorHAnsi"/>
        </w:rPr>
        <w:t xml:space="preserv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w:t>
      </w:r>
      <w:proofErr w:type="spellStart"/>
      <w:r w:rsidRPr="007309D8">
        <w:rPr>
          <w:rStyle w:val="StyleUnderline"/>
          <w:rFonts w:asciiTheme="minorHAnsi" w:hAnsiTheme="minorHAnsi" w:cstheme="minorHAnsi"/>
        </w:rPr>
        <w:t>favour</w:t>
      </w:r>
      <w:proofErr w:type="spellEnd"/>
      <w:r w:rsidRPr="007309D8">
        <w:rPr>
          <w:rStyle w:val="StyleUnderline"/>
          <w:rFonts w:asciiTheme="minorHAnsi" w:hAnsiTheme="minorHAnsi" w:cstheme="minorHAnsi"/>
        </w:rPr>
        <w:t xml:space="preserve">.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t>
      </w:r>
      <w:proofErr w:type="spellStart"/>
      <w:r w:rsidRPr="007309D8">
        <w:rPr>
          <w:rFonts w:asciiTheme="minorHAnsi" w:hAnsiTheme="minorHAnsi" w:cstheme="minorHAnsi"/>
        </w:rPr>
        <w:t>Wccrapana</w:t>
      </w:r>
      <w:proofErr w:type="spellEnd"/>
      <w:r w:rsidRPr="007309D8">
        <w:rPr>
          <w:rFonts w:asciiTheme="minorHAnsi" w:hAnsiTheme="minorHAnsi" w:cstheme="minorHAnsi"/>
        </w:rPr>
        <w:t xml:space="preserve">.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(1995), and Blomberg. Mess, and Thacker (2006) find supporting evidence showing that economic decline and use of force are at least indirectly correlated. </w:t>
      </w:r>
      <w:proofErr w:type="spellStart"/>
      <w:r w:rsidRPr="007309D8">
        <w:rPr>
          <w:rFonts w:asciiTheme="minorHAnsi" w:hAnsiTheme="minorHAnsi" w:cstheme="minorHAnsi"/>
        </w:rPr>
        <w:t>Gelpi</w:t>
      </w:r>
      <w:proofErr w:type="spellEnd"/>
      <w:r w:rsidRPr="007309D8">
        <w:rPr>
          <w:rFonts w:asciiTheme="minorHAnsi" w:hAnsiTheme="minorHAnsi" w:cstheme="minorHAnsi"/>
        </w:rPr>
        <w:t xml:space="preserve">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w:t>
      </w:r>
      <w:proofErr w:type="gramStart"/>
      <w:r w:rsidRPr="007309D8">
        <w:rPr>
          <w:rStyle w:val="StyleUnderline"/>
          <w:rFonts w:asciiTheme="minorHAnsi" w:hAnsiTheme="minorHAnsi" w:cstheme="minorHAnsi"/>
        </w:rPr>
        <w:t>due to the fact that</w:t>
      </w:r>
      <w:proofErr w:type="gramEnd"/>
      <w:r w:rsidRPr="007309D8">
        <w:rPr>
          <w:rStyle w:val="StyleUnderline"/>
          <w:rFonts w:asciiTheme="minorHAnsi" w:hAnsiTheme="minorHAnsi" w:cstheme="minorHAnsi"/>
        </w:rPr>
        <w:t xml:space="preserve"> democratic leaders are generally more susceptible to being removed from office due to lack of domestic support</w:t>
      </w:r>
      <w:r w:rsidRPr="007309D8">
        <w:rPr>
          <w:rFonts w:asciiTheme="minorHAnsi" w:hAnsiTheme="minorHAnsi" w:cstheme="minorHAnsi"/>
        </w:rPr>
        <w:t xml:space="preserve">.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(2000) has provided evidence showing that periods of </w:t>
      </w:r>
      <w:r w:rsidRPr="007309D8">
        <w:rPr>
          <w:rStyle w:val="Emphasis"/>
          <w:rFonts w:asciiTheme="minorHAnsi" w:hAnsiTheme="minorHAnsi" w:cstheme="minorHAnsi"/>
          <w:iCs w:val="0"/>
          <w:highlight w:val="cyan"/>
        </w:rPr>
        <w:t>weak econ</w:t>
      </w:r>
      <w:r w:rsidRPr="007309D8">
        <w:rPr>
          <w:rStyle w:val="Emphasis"/>
          <w:rFonts w:asciiTheme="minorHAnsi" w:hAnsiTheme="minorHAnsi" w:cstheme="minorHAnsi"/>
          <w:iCs w:val="0"/>
        </w:rPr>
        <w:t xml:space="preserve">omic performance </w:t>
      </w:r>
      <w:r w:rsidRPr="007309D8">
        <w:rPr>
          <w:rStyle w:val="Emphasis"/>
          <w:rFonts w:asciiTheme="minorHAnsi" w:hAnsiTheme="minorHAnsi" w:cstheme="minorHAnsi"/>
          <w:iCs w:val="0"/>
          <w:highlight w:val="cyan"/>
        </w:rPr>
        <w:t>in the U</w:t>
      </w:r>
      <w:r w:rsidRPr="007309D8">
        <w:rPr>
          <w:rStyle w:val="Emphasis"/>
          <w:rFonts w:asciiTheme="minorHAnsi" w:hAnsiTheme="minorHAnsi" w:cstheme="minorHAnsi"/>
          <w:iCs w:val="0"/>
        </w:rPr>
        <w:t xml:space="preserve">nited </w:t>
      </w:r>
      <w:r w:rsidRPr="007309D8">
        <w:rPr>
          <w:rStyle w:val="Emphasis"/>
          <w:rFonts w:asciiTheme="minorHAnsi" w:hAnsiTheme="minorHAnsi" w:cstheme="minorHAnsi"/>
          <w:iCs w:val="0"/>
          <w:highlight w:val="cyan"/>
        </w:rPr>
        <w:t>S</w:t>
      </w:r>
      <w:r w:rsidRPr="007309D8">
        <w:rPr>
          <w:rStyle w:val="Emphasis"/>
          <w:rFonts w:asciiTheme="minorHAnsi" w:hAnsiTheme="minorHAnsi" w:cstheme="minorHAnsi"/>
          <w:iCs w:val="0"/>
        </w:rPr>
        <w:t xml:space="preserve">tates, </w:t>
      </w:r>
      <w:r w:rsidRPr="007309D8">
        <w:rPr>
          <w:rStyle w:val="Emphasis"/>
          <w:rFonts w:asciiTheme="minorHAnsi" w:hAnsiTheme="minorHAnsi" w:cstheme="minorHAnsi"/>
          <w:iCs w:val="0"/>
          <w:highlight w:val="cyan"/>
        </w:rPr>
        <w:t>and</w:t>
      </w:r>
      <w:r w:rsidRPr="007309D8">
        <w:rPr>
          <w:rStyle w:val="Emphasis"/>
          <w:rFonts w:asciiTheme="minorHAnsi" w:hAnsiTheme="minorHAnsi" w:cstheme="minorHAnsi"/>
          <w:iCs w:val="0"/>
        </w:rPr>
        <w:t xml:space="preserve"> thus </w:t>
      </w:r>
      <w:r w:rsidRPr="007309D8">
        <w:rPr>
          <w:rStyle w:val="Emphasis"/>
          <w:rFonts w:asciiTheme="minorHAnsi" w:hAnsiTheme="minorHAnsi" w:cstheme="minorHAnsi"/>
          <w:iCs w:val="0"/>
          <w:highlight w:val="cyan"/>
        </w:rPr>
        <w:t>weak</w:t>
      </w:r>
      <w:r w:rsidRPr="007309D8">
        <w:rPr>
          <w:rStyle w:val="Emphasis"/>
          <w:rFonts w:asciiTheme="minorHAnsi" w:hAnsiTheme="minorHAnsi" w:cstheme="minorHAnsi"/>
          <w:iCs w:val="0"/>
        </w:rPr>
        <w:t xml:space="preserve"> Presidential </w:t>
      </w:r>
      <w:r w:rsidRPr="007309D8">
        <w:rPr>
          <w:rStyle w:val="Emphasis"/>
          <w:rFonts w:asciiTheme="minorHAnsi" w:hAnsiTheme="minorHAnsi" w:cstheme="minorHAnsi"/>
          <w:iCs w:val="0"/>
          <w:highlight w:val="cyan"/>
        </w:rPr>
        <w:t>popularity</w:t>
      </w:r>
      <w:r w:rsidRPr="007309D8">
        <w:rPr>
          <w:rStyle w:val="Emphasis"/>
          <w:rFonts w:asciiTheme="minorHAnsi" w:hAnsiTheme="minorHAnsi" w:cstheme="minorHAnsi"/>
          <w:iCs w:val="0"/>
        </w:rPr>
        <w:t xml:space="preserve">, are </w:t>
      </w:r>
      <w:r w:rsidRPr="007309D8">
        <w:rPr>
          <w:rStyle w:val="Emphasis"/>
          <w:rFonts w:asciiTheme="minorHAnsi" w:hAnsiTheme="minorHAnsi" w:cstheme="minorHAnsi"/>
          <w:iCs w:val="0"/>
          <w:highlight w:val="cyan"/>
        </w:rPr>
        <w:t>statistically linked to</w:t>
      </w:r>
      <w:r w:rsidRPr="007309D8">
        <w:rPr>
          <w:rStyle w:val="Emphasis"/>
          <w:rFonts w:asciiTheme="minorHAnsi" w:hAnsiTheme="minorHAnsi" w:cstheme="minorHAnsi"/>
          <w:iCs w:val="0"/>
        </w:rPr>
        <w:t xml:space="preserve"> an </w:t>
      </w:r>
      <w:r w:rsidRPr="007309D8">
        <w:rPr>
          <w:rStyle w:val="Emphasis"/>
          <w:rFonts w:asciiTheme="minorHAnsi" w:hAnsiTheme="minorHAnsi" w:cstheme="minorHAnsi"/>
          <w:iCs w:val="0"/>
          <w:highlight w:val="cyan"/>
        </w:rPr>
        <w:t>increase in</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force</w:t>
      </w:r>
      <w:r w:rsidRPr="007309D8">
        <w:rPr>
          <w:rFonts w:asciiTheme="minorHAnsi" w:hAnsiTheme="minorHAnsi" w:cstheme="minorHAnsi"/>
        </w:rPr>
        <w:t xml:space="preserve">. In summary, recent economic scholarship positively correlates economic integration with an increase in the frequency of economic crises, whereas political science scholarship links economic decline with external conflict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sectPr w:rsidR="00F06928" w:rsidRPr="007309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wtLAwN7G0MDAzMTNV0lEKTi0uzszPAykwqQUAS0j8SCwAAAA="/>
    <w:docVar w:name="RibbonPointer" w:val="1260334320"/>
  </w:docVars>
  <w:rsids>
    <w:rsidRoot w:val="001907A8"/>
    <w:rsid w:val="000043D6"/>
    <w:rsid w:val="001907A8"/>
    <w:rsid w:val="0032775A"/>
    <w:rsid w:val="0033045E"/>
    <w:rsid w:val="00350A63"/>
    <w:rsid w:val="003D627D"/>
    <w:rsid w:val="004D204A"/>
    <w:rsid w:val="006D7464"/>
    <w:rsid w:val="00842D06"/>
    <w:rsid w:val="008F59C2"/>
    <w:rsid w:val="009A5211"/>
    <w:rsid w:val="00A37EEE"/>
    <w:rsid w:val="00F06928"/>
    <w:rsid w:val="00FB1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32AAC"/>
  <w15:chartTrackingRefBased/>
  <w15:docId w15:val="{DD2EC307-CF20-4E5C-87A5-8E0B6D2B3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165A"/>
    <w:rPr>
      <w:rFonts w:ascii="Calibri" w:hAnsi="Calibri" w:cs="Calibri"/>
    </w:rPr>
  </w:style>
  <w:style w:type="paragraph" w:styleId="Heading1">
    <w:name w:val="heading 1"/>
    <w:aliases w:val="Pocket"/>
    <w:basedOn w:val="Normal"/>
    <w:next w:val="Normal"/>
    <w:link w:val="Heading1Char"/>
    <w:qFormat/>
    <w:rsid w:val="00FB16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FB165A"/>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FB16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 Ch"/>
    <w:basedOn w:val="Normal"/>
    <w:next w:val="Normal"/>
    <w:link w:val="Heading4Char"/>
    <w:uiPriority w:val="3"/>
    <w:unhideWhenUsed/>
    <w:qFormat/>
    <w:rsid w:val="00FB16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16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65A"/>
  </w:style>
  <w:style w:type="character" w:customStyle="1" w:styleId="Heading1Char">
    <w:name w:val="Heading 1 Char"/>
    <w:aliases w:val="Pocket Char"/>
    <w:basedOn w:val="DefaultParagraphFont"/>
    <w:link w:val="Heading1"/>
    <w:rsid w:val="00FB165A"/>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FB165A"/>
    <w:rPr>
      <w:rFonts w:ascii="Calibri" w:eastAsiaTheme="majorEastAsia" w:hAnsi="Calibri" w:cstheme="majorBidi"/>
      <w:b/>
      <w:sz w:val="36"/>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FB16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FB165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FB16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165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FB165A"/>
    <w:rPr>
      <w:b w:val="0"/>
      <w:sz w:val="22"/>
      <w:u w:val="single"/>
    </w:rPr>
  </w:style>
  <w:style w:type="character" w:styleId="Hyperlink">
    <w:name w:val="Hyperlink"/>
    <w:aliases w:val="No Spacing Char,Card Format Char,ClearFormatting Char,Clear Char,DDI Tag Char,Tag Title Char,Tag and Cite Char,No Spacing31 Char,CD - Cite Char,No Spacing22 Char,No Spacing41 Char,No Spacing6 Char,No Spacing7 Char,Very Small Text Char"/>
    <w:basedOn w:val="DefaultParagraphFont"/>
    <w:link w:val="NoSpacing"/>
    <w:uiPriority w:val="99"/>
    <w:unhideWhenUsed/>
    <w:rsid w:val="00FB165A"/>
    <w:rPr>
      <w:color w:val="auto"/>
      <w:u w:val="none"/>
    </w:rPr>
  </w:style>
  <w:style w:type="paragraph" w:customStyle="1" w:styleId="textbold">
    <w:name w:val="text bold"/>
    <w:basedOn w:val="Normal"/>
    <w:link w:val="Emphasis"/>
    <w:uiPriority w:val="7"/>
    <w:qFormat/>
    <w:rsid w:val="00F0692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Clear,DDI Tag,Tag Title,Tag and Cite,No Spacing31,CD - Cite,No Spacing22,No Spacing41,No Spacing6,No Spacing7,Very Small Text,No Spacing8,Dont u,No Spacing311,No Spacing111112,No Spacing51,No Spacing3,card,Tags"/>
    <w:basedOn w:val="Heading1"/>
    <w:link w:val="Hyperlink"/>
    <w:autoRedefine/>
    <w:uiPriority w:val="99"/>
    <w:qFormat/>
    <w:rsid w:val="00F069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F06928"/>
    <w:pPr>
      <w:ind w:left="720"/>
      <w:contextualSpacing/>
    </w:pPr>
  </w:style>
  <w:style w:type="character" w:styleId="FollowedHyperlink">
    <w:name w:val="FollowedHyperlink"/>
    <w:basedOn w:val="DefaultParagraphFont"/>
    <w:uiPriority w:val="99"/>
    <w:semiHidden/>
    <w:unhideWhenUsed/>
    <w:rsid w:val="00FB165A"/>
    <w:rPr>
      <w:color w:val="auto"/>
      <w:u w:val="none"/>
    </w:rPr>
  </w:style>
  <w:style w:type="paragraph" w:customStyle="1" w:styleId="Style2">
    <w:name w:val="Style2"/>
    <w:basedOn w:val="Heading1"/>
    <w:link w:val="Style2Char"/>
    <w:autoRedefine/>
    <w:uiPriority w:val="4"/>
    <w:qFormat/>
    <w:rsid w:val="00FB165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FB165A"/>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tc.usma.edu/biosecurity-in-the-wake-of-covid-19-the-urgent-action-need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hyperlink" Target="https://pubs.acs.org/doi/pdf/10.1021/acsmedchemlett.0c00319"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78</TotalTime>
  <Pages>1</Pages>
  <Words>7121</Words>
  <Characters>40590</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22</cp:revision>
  <dcterms:created xsi:type="dcterms:W3CDTF">2021-10-30T20:21:00Z</dcterms:created>
  <dcterms:modified xsi:type="dcterms:W3CDTF">2021-10-31T01:56:00Z</dcterms:modified>
</cp:coreProperties>
</file>