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2AC1B" w14:textId="47A64B56" w:rsidR="00A95652" w:rsidRDefault="00D730A0" w:rsidP="00D730A0">
      <w:pPr>
        <w:pStyle w:val="Heading3"/>
      </w:pPr>
      <w:bookmarkStart w:id="0" w:name="_Hlk85389391"/>
      <w:r>
        <w:t>1</w:t>
      </w:r>
    </w:p>
    <w:p w14:paraId="23C07390" w14:textId="77777777" w:rsidR="00D730A0" w:rsidRDefault="00D730A0" w:rsidP="00D730A0">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291E1083" w14:textId="77777777" w:rsidR="00D730A0" w:rsidRPr="00B82D2B" w:rsidRDefault="00D730A0" w:rsidP="00D730A0">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016C4A16" w14:textId="77777777" w:rsidR="00D730A0" w:rsidRPr="00B82D2B" w:rsidRDefault="00D730A0" w:rsidP="00D730A0">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3262CEF6" w14:textId="77777777" w:rsidR="00D730A0" w:rsidRDefault="00D730A0" w:rsidP="00D730A0">
      <w:pPr>
        <w:rPr>
          <w:sz w:val="12"/>
        </w:rPr>
      </w:pPr>
    </w:p>
    <w:p w14:paraId="13AA8A37" w14:textId="77777777" w:rsidR="00D730A0" w:rsidRPr="00B82D2B" w:rsidRDefault="00D730A0" w:rsidP="00D730A0">
      <w:pPr>
        <w:rPr>
          <w:sz w:val="12"/>
        </w:rPr>
      </w:pPr>
    </w:p>
    <w:p w14:paraId="10850C9A" w14:textId="77777777" w:rsidR="00D730A0" w:rsidRPr="00B82D2B" w:rsidRDefault="00D730A0" w:rsidP="00D730A0">
      <w:pPr>
        <w:rPr>
          <w:sz w:val="12"/>
        </w:rPr>
      </w:pPr>
    </w:p>
    <w:p w14:paraId="5B413D02" w14:textId="77777777" w:rsidR="00D730A0" w:rsidRPr="00B82D2B" w:rsidRDefault="00D730A0" w:rsidP="00D730A0">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70CE5BBD" w14:textId="77777777" w:rsidR="00D730A0" w:rsidRPr="00B82D2B" w:rsidRDefault="00D730A0" w:rsidP="00D730A0">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37A25A4C" w14:textId="77777777" w:rsidR="00D730A0" w:rsidRPr="00B82D2B" w:rsidRDefault="00D730A0" w:rsidP="00D730A0">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w:t>
      </w:r>
      <w:proofErr w:type="spellStart"/>
      <w:r w:rsidRPr="00EA4754">
        <w:rPr>
          <w:b/>
          <w:highlight w:val="cyan"/>
          <w:u w:val="single"/>
        </w:rPr>
        <w:t>hybridly</w:t>
      </w:r>
      <w:proofErr w:type="spellEnd"/>
      <w:r w:rsidRPr="00EA4754">
        <w:rPr>
          <w:b/>
          <w:highlight w:val="cya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proofErr w:type="spellStart"/>
      <w:r w:rsidRPr="00EA4754">
        <w:rPr>
          <w:rStyle w:val="Emphasis"/>
          <w:highlight w:val="cyan"/>
        </w:rPr>
        <w:t>storytellingly</w:t>
      </w:r>
      <w:proofErr w:type="spellEnd"/>
      <w:r w:rsidRPr="00EA4754">
        <w:rPr>
          <w:rStyle w:val="Emphasis"/>
          <w:highlight w:val="cya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EA4754">
        <w:rPr>
          <w:b/>
          <w:szCs w:val="6"/>
          <w:highlight w:val="cyan"/>
          <w:u w:val="single"/>
        </w:rPr>
        <w:t>is</w:t>
      </w:r>
      <w:proofErr w:type="gramEnd"/>
      <w:r w:rsidRPr="00EA4754">
        <w:rPr>
          <w:b/>
          <w:szCs w:val="6"/>
          <w:highlight w:val="cyan"/>
          <w:u w:val="single"/>
        </w:rPr>
        <w:t>,</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Cre-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EA4754">
        <w:rPr>
          <w:b/>
          <w:highlight w:val="cyan"/>
          <w:u w:val="single"/>
        </w:rPr>
        <w:t>closed terms.</w:t>
      </w:r>
    </w:p>
    <w:p w14:paraId="6A6EDA2B" w14:textId="77777777" w:rsidR="00D730A0" w:rsidRPr="00B82D2B" w:rsidRDefault="00D730A0" w:rsidP="00D730A0">
      <w:pPr>
        <w:rPr>
          <w:b/>
          <w:u w:val="single"/>
        </w:rPr>
      </w:pPr>
    </w:p>
    <w:p w14:paraId="39B4852E" w14:textId="77777777" w:rsidR="00D730A0" w:rsidRPr="00B82D2B" w:rsidRDefault="00D730A0" w:rsidP="00D730A0">
      <w:pPr>
        <w:pStyle w:val="Heading4"/>
        <w:rPr>
          <w:rFonts w:cs="Arial"/>
        </w:rPr>
      </w:pPr>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5D65FC38" w14:textId="77777777" w:rsidR="00D730A0" w:rsidRPr="00B82D2B" w:rsidRDefault="00D730A0" w:rsidP="00D730A0">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2C89C743" w14:textId="7EEB4F83" w:rsidR="00D730A0" w:rsidRDefault="00D730A0" w:rsidP="00D730A0">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w:t>
      </w:r>
      <w:proofErr w:type="spellStart"/>
      <w:r w:rsidRPr="001318BE">
        <w:rPr>
          <w:rStyle w:val="Emphasis"/>
          <w:highlight w:val="cyan"/>
        </w:rPr>
        <w:t>Nativeness</w:t>
      </w:r>
      <w:proofErr w:type="spellEnd"/>
      <w:r w:rsidRPr="001318BE">
        <w:rPr>
          <w:rStyle w:val="Emphasis"/>
          <w:highlight w:val="cyan"/>
        </w:rPr>
        <w:t>’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D24566">
        <w:rPr>
          <w:b/>
          <w:highlight w:val="cyan"/>
          <w:u w:val="single"/>
        </w:rPr>
        <w:t>desires to consume and own flesh</w:t>
      </w:r>
      <w:r w:rsidRPr="00B82D2B">
        <w:rPr>
          <w:sz w:val="16"/>
        </w:rPr>
        <w:t xml:space="preserve"> (or bone), </w:t>
      </w:r>
      <w:r w:rsidRPr="00B82D2B">
        <w:rPr>
          <w:b/>
          <w:u w:val="single"/>
        </w:rPr>
        <w:t xml:space="preserve">and </w:t>
      </w:r>
      <w:r w:rsidRPr="00D24566">
        <w:rPr>
          <w:b/>
          <w:highlight w:val="cyan"/>
          <w:u w:val="single"/>
        </w:rPr>
        <w:t>rendering</w:t>
      </w:r>
      <w:r w:rsidRPr="00B82D2B">
        <w:rPr>
          <w:sz w:val="16"/>
        </w:rPr>
        <w:t xml:space="preserve"> bone </w:t>
      </w:r>
      <w:r w:rsidRPr="00D24566">
        <w:rPr>
          <w:b/>
          <w:highlight w:val="cyan"/>
          <w:u w:val="single"/>
        </w:rPr>
        <w:t>into personal property</w:t>
      </w:r>
      <w:r w:rsidRPr="00D24566">
        <w:rPr>
          <w:sz w:val="16"/>
          <w:highlight w:val="cyan"/>
        </w:rPr>
        <w:t>,</w:t>
      </w:r>
      <w:r w:rsidRPr="00B82D2B">
        <w:rPr>
          <w:sz w:val="16"/>
        </w:rPr>
        <w:t xml:space="preserve"> Alexander </w:t>
      </w:r>
      <w:proofErr w:type="spellStart"/>
      <w:r w:rsidRPr="00D24566">
        <w:rPr>
          <w:rStyle w:val="Emphasis"/>
          <w:highlight w:val="cyan"/>
        </w:rPr>
        <w:t>Weheliye’s</w:t>
      </w:r>
      <w:proofErr w:type="spellEnd"/>
      <w:r w:rsidRPr="00B82D2B">
        <w:rPr>
          <w:rStyle w:val="Emphasis"/>
        </w:rPr>
        <w:t xml:space="preserve"> concept </w:t>
      </w:r>
      <w:r w:rsidRPr="001318BE">
        <w:rPr>
          <w:rStyle w:val="Emphasis"/>
        </w:rPr>
        <w:t>of ‘</w:t>
      </w:r>
      <w:proofErr w:type="spellStart"/>
      <w:r w:rsidRPr="001318BE">
        <w:rPr>
          <w:rStyle w:val="Emphasis"/>
          <w:highlight w:val="cyan"/>
        </w:rPr>
        <w:t>pornotroping</w:t>
      </w:r>
      <w:proofErr w:type="spellEnd"/>
      <w:r w:rsidRPr="001318BE">
        <w:rPr>
          <w:rStyle w:val="Emphasis"/>
          <w:highlight w:val="cyan"/>
        </w:rPr>
        <w:t>’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D24566">
        <w:rPr>
          <w:rStyle w:val="Emphasis"/>
          <w:highlight w:val="cyan"/>
        </w:rPr>
        <w:t>for the captor</w:t>
      </w:r>
      <w:r w:rsidRPr="00B82D2B">
        <w:rPr>
          <w:sz w:val="16"/>
        </w:rPr>
        <w:t xml:space="preserve">” (90). Orlando Patterson also discusses the </w:t>
      </w:r>
      <w:r w:rsidRPr="00D24566">
        <w:rPr>
          <w:rStyle w:val="Emphasis"/>
          <w:highlight w:val="cya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D24566">
        <w:rPr>
          <w:b/>
          <w:highlight w:val="cyan"/>
          <w:u w:val="single"/>
        </w:rPr>
        <w:t>because of</w:t>
      </w:r>
      <w:r w:rsidRPr="00B82D2B">
        <w:rPr>
          <w:b/>
          <w:u w:val="single"/>
        </w:rPr>
        <w:t xml:space="preserve"> his </w:t>
      </w:r>
      <w:proofErr w:type="gramStart"/>
      <w:r w:rsidRPr="00B82D2B">
        <w:rPr>
          <w:b/>
          <w:u w:val="single"/>
        </w:rPr>
        <w:t>actions</w:t>
      </w:r>
      <w:r w:rsidRPr="00B82D2B">
        <w:rPr>
          <w:sz w:val="16"/>
        </w:rPr>
        <w:t>;</w:t>
      </w:r>
      <w:proofErr w:type="gramEnd"/>
      <w:r w:rsidRPr="00B82D2B">
        <w:rPr>
          <w:sz w:val="16"/>
        </w:rPr>
        <w:t xml:space="preserve"> which is assuaged through </w:t>
      </w:r>
      <w:r w:rsidRPr="00B82D2B">
        <w:rPr>
          <w:b/>
          <w:u w:val="single"/>
        </w:rPr>
        <w:t xml:space="preserve">imagining </w:t>
      </w:r>
      <w:r w:rsidRPr="00D24566">
        <w:rPr>
          <w:b/>
          <w:highlight w:val="cyan"/>
          <w:u w:val="single"/>
        </w:rPr>
        <w:t>a ‘benevolent enslavement</w:t>
      </w:r>
      <w:r w:rsidRPr="00D24566">
        <w:rPr>
          <w:b/>
          <w:u w:val="single"/>
        </w:rPr>
        <w:t>,’ thus</w:t>
      </w:r>
      <w:r w:rsidRPr="00B82D2B">
        <w:rPr>
          <w:b/>
          <w:u w:val="single"/>
        </w:rPr>
        <w:t xml:space="preserve"> </w:t>
      </w:r>
      <w:r w:rsidRPr="00D24566">
        <w:rPr>
          <w:rStyle w:val="Emphasis"/>
          <w:highlight w:val="cya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B82D2B">
        <w:rPr>
          <w:sz w:val="16"/>
        </w:rPr>
        <w:t>bodies, and</w:t>
      </w:r>
      <w:proofErr w:type="gramEnd"/>
      <w:r w:rsidRPr="00B82D2B">
        <w:rPr>
          <w:sz w:val="16"/>
        </w:rPr>
        <w:t xml:space="preserve"> connect it to a sexualized and intimate desire for captured dead bodies. How do </w:t>
      </w:r>
      <w:r w:rsidRPr="00D24566">
        <w:rPr>
          <w:rStyle w:val="Emphasis"/>
          <w:highlight w:val="cyan"/>
        </w:rPr>
        <w:t>settlers form</w:t>
      </w:r>
      <w:r w:rsidRPr="00B82D2B">
        <w:rPr>
          <w:sz w:val="16"/>
        </w:rPr>
        <w:t xml:space="preserve"> (imagined) </w:t>
      </w:r>
      <w:r w:rsidRPr="00D24566">
        <w:rPr>
          <w:rStyle w:val="Emphasis"/>
          <w:highlight w:val="cyan"/>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D24566">
        <w:rPr>
          <w:b/>
          <w:highlight w:val="cyan"/>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D24566">
        <w:rPr>
          <w:rStyle w:val="Emphasis"/>
          <w:highlight w:val="cyan"/>
        </w:rPr>
        <w:t>the ruse of consent</w:t>
      </w:r>
      <w:r w:rsidRPr="00B82D2B">
        <w:rPr>
          <w:b/>
          <w:u w:val="single"/>
        </w:rPr>
        <w:t xml:space="preserve"> that </w:t>
      </w:r>
      <w:r w:rsidRPr="00D24566">
        <w:rPr>
          <w:rStyle w:val="Emphasis"/>
          <w:highlight w:val="cyan"/>
        </w:rPr>
        <w:t>settler society depicts in its relations 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w:t>
      </w:r>
      <w:proofErr w:type="gramStart"/>
      <w:r w:rsidRPr="00B82D2B">
        <w:rPr>
          <w:sz w:val="16"/>
        </w:rPr>
        <w:t xml:space="preserve">particular </w:t>
      </w:r>
      <w:r w:rsidRPr="00B82D2B">
        <w:rPr>
          <w:b/>
          <w:u w:val="single"/>
        </w:rPr>
        <w:t>logics</w:t>
      </w:r>
      <w:proofErr w:type="gramEnd"/>
      <w:r w:rsidRPr="00B82D2B">
        <w:rPr>
          <w:b/>
          <w:u w:val="single"/>
        </w:rPr>
        <w:t xml:space="preserve"> of containment projected onto the dead through settler imaginaries.</w:t>
      </w:r>
      <w:r w:rsidRPr="00B82D2B">
        <w:rPr>
          <w:sz w:val="16"/>
        </w:rPr>
        <w:t xml:space="preserve"> I ask how are the bones of the dead consumed </w:t>
      </w:r>
      <w:proofErr w:type="gramStart"/>
      <w:r w:rsidRPr="00B82D2B">
        <w:rPr>
          <w:sz w:val="16"/>
        </w:rPr>
        <w:t>in order to</w:t>
      </w:r>
      <w:proofErr w:type="gramEnd"/>
      <w:r w:rsidRPr="00B82D2B">
        <w:rPr>
          <w:sz w:val="16"/>
        </w:rPr>
        <w:t xml:space="preserve"> enact queer settler belongings imagined to be subversive to the state, yet ultimately naturalizing of, and thus reinforcing to, a settler colonial project? Thinking with the work of Sylvia Wynter and Jodi Byrd, </w:t>
      </w:r>
      <w:r w:rsidRPr="00D24566">
        <w:rPr>
          <w:b/>
          <w:highlight w:val="cyan"/>
          <w:u w:val="single"/>
        </w:rPr>
        <w:t>projects of</w:t>
      </w:r>
      <w:r w:rsidRPr="00B82D2B">
        <w:rPr>
          <w:b/>
          <w:u w:val="single"/>
        </w:rPr>
        <w:t xml:space="preserve"> settler colonial grave </w:t>
      </w:r>
      <w:r w:rsidRPr="00D24566">
        <w:rPr>
          <w:b/>
          <w:highlight w:val="cyan"/>
          <w:u w:val="single"/>
        </w:rPr>
        <w:t xml:space="preserve">excavation </w:t>
      </w:r>
      <w:r w:rsidRPr="00D24566">
        <w:rPr>
          <w:rStyle w:val="Emphasis"/>
          <w:highlight w:val="cyan"/>
        </w:rPr>
        <w:t>reveal an important process in how</w:t>
      </w:r>
      <w:r w:rsidRPr="00B82D2B">
        <w:rPr>
          <w:rStyle w:val="Emphasis"/>
        </w:rPr>
        <w:t xml:space="preserve"> meanings of </w:t>
      </w:r>
      <w:r w:rsidRPr="00D24566">
        <w:rPr>
          <w:rStyle w:val="Emphasis"/>
          <w:highlight w:val="cyan"/>
        </w:rPr>
        <w:t>‘</w:t>
      </w:r>
      <w:r w:rsidRPr="00D24566">
        <w:rPr>
          <w:rStyle w:val="Emphasis"/>
        </w:rPr>
        <w:t xml:space="preserve">symbolic </w:t>
      </w:r>
      <w:r w:rsidRPr="00D24566">
        <w:rPr>
          <w:rStyle w:val="Emphasis"/>
          <w:highlight w:val="cyan"/>
        </w:rPr>
        <w:t>life and death’ are mapped onto landscape</w:t>
      </w:r>
      <w:r w:rsidRPr="00D24566">
        <w:rPr>
          <w:b/>
          <w:highlight w:val="cyan"/>
          <w:u w:val="single"/>
        </w:rPr>
        <w:t xml:space="preserve"> through</w:t>
      </w:r>
      <w:r w:rsidRPr="00B82D2B">
        <w:rPr>
          <w:b/>
          <w:u w:val="single"/>
        </w:rPr>
        <w:t xml:space="preserve"> their centrality in establishing the </w:t>
      </w:r>
      <w:r w:rsidRPr="00D24566">
        <w:rPr>
          <w:b/>
          <w:highlight w:val="cyan"/>
          <w:u w:val="single"/>
        </w:rPr>
        <w:t>normative standards of ‘Western Man’ as ‘human’</w:t>
      </w:r>
      <w:r w:rsidRPr="00B82D2B">
        <w:rPr>
          <w:b/>
          <w:u w:val="single"/>
        </w:rPr>
        <w:t xml:space="preserve"> and as </w:t>
      </w:r>
      <w:r w:rsidRPr="00D24566">
        <w:rPr>
          <w:b/>
          <w:highlight w:val="cyan"/>
          <w:u w:val="single"/>
        </w:rPr>
        <w:t>foundational to</w:t>
      </w:r>
      <w:r w:rsidRPr="00B82D2B">
        <w:rPr>
          <w:b/>
          <w:u w:val="single"/>
        </w:rPr>
        <w:t xml:space="preserve"> the parameters of </w:t>
      </w:r>
      <w:r w:rsidRPr="00D24566">
        <w:rPr>
          <w:b/>
          <w:highlight w:val="cyan"/>
          <w:u w:val="single"/>
        </w:rPr>
        <w:t>US legal personhood</w:t>
      </w:r>
      <w:r w:rsidRPr="00B82D2B">
        <w:rPr>
          <w:sz w:val="16"/>
        </w:rPr>
        <w:t xml:space="preserve">, furthermore, </w:t>
      </w:r>
      <w:r w:rsidRPr="00D24566">
        <w:rPr>
          <w:rStyle w:val="Emphasis"/>
          <w:highlight w:val="cyan"/>
        </w:rPr>
        <w:t xml:space="preserve">genocidal intimacies </w:t>
      </w:r>
      <w:proofErr w:type="gramStart"/>
      <w:r w:rsidRPr="00D24566">
        <w:rPr>
          <w:rStyle w:val="Emphasis"/>
          <w:highlight w:val="cyan"/>
        </w:rPr>
        <w:t>draws</w:t>
      </w:r>
      <w:proofErr w:type="gramEnd"/>
      <w:r w:rsidRPr="00D24566">
        <w:rPr>
          <w:rStyle w:val="Emphasis"/>
          <w:highlight w:val="cyan"/>
        </w:rPr>
        <w:t xml:space="preserve"> attention to</w:t>
      </w:r>
      <w:r w:rsidRPr="00B82D2B">
        <w:rPr>
          <w:rStyle w:val="Emphasis"/>
        </w:rPr>
        <w:t xml:space="preserve"> the </w:t>
      </w:r>
      <w:r w:rsidRPr="00D24566">
        <w:rPr>
          <w:rStyle w:val="Emphasis"/>
          <w:highlight w:val="cyan"/>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D24566">
        <w:rPr>
          <w:rStyle w:val="Emphasis"/>
          <w:highlight w:val="cyan"/>
        </w:rPr>
        <w:t>through</w:t>
      </w:r>
      <w:r w:rsidRPr="00B82D2B">
        <w:rPr>
          <w:rStyle w:val="Emphasis"/>
        </w:rPr>
        <w:t xml:space="preserve"> genocidal </w:t>
      </w:r>
      <w:r w:rsidRPr="00D24566">
        <w:rPr>
          <w:rStyle w:val="Emphasis"/>
          <w:highlight w:val="cyan"/>
        </w:rPr>
        <w:t>intimacies</w:t>
      </w:r>
      <w:r w:rsidRPr="00D24566">
        <w:rPr>
          <w:sz w:val="16"/>
          <w:highlight w:val="cyan"/>
        </w:rPr>
        <w:t>,</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208F4F98" w14:textId="77777777" w:rsidR="00D730A0" w:rsidRPr="003F2416" w:rsidRDefault="00D730A0" w:rsidP="00D730A0">
      <w:pPr>
        <w:keepNext/>
        <w:keepLines/>
        <w:spacing w:before="40" w:after="0"/>
        <w:outlineLvl w:val="3"/>
        <w:rPr>
          <w:rFonts w:asciiTheme="minorHAnsi" w:eastAsiaTheme="majorEastAsia" w:hAnsiTheme="minorHAnsi" w:cstheme="minorHAnsi"/>
          <w:b/>
          <w:iCs/>
          <w:sz w:val="26"/>
        </w:rPr>
      </w:pPr>
      <w:r w:rsidRPr="003F2416">
        <w:rPr>
          <w:rFonts w:asciiTheme="minorHAnsi" w:eastAsiaTheme="majorEastAsia" w:hAnsiTheme="minorHAnsi" w:cstheme="minorHAnsi"/>
          <w:b/>
          <w:iCs/>
          <w:sz w:val="26"/>
        </w:rPr>
        <w:t xml:space="preserve">The specter of extinction is a product of </w:t>
      </w:r>
      <w:r w:rsidRPr="003F2416">
        <w:rPr>
          <w:rFonts w:asciiTheme="minorHAnsi" w:eastAsiaTheme="majorEastAsia" w:hAnsiTheme="minorHAnsi" w:cstheme="minorHAnsi"/>
          <w:b/>
          <w:iCs/>
          <w:sz w:val="26"/>
          <w:u w:val="single"/>
        </w:rPr>
        <w:t>antiqueer, settler anxieties</w:t>
      </w:r>
      <w:r w:rsidRPr="003F2416">
        <w:rPr>
          <w:rFonts w:asciiTheme="minorHAnsi" w:eastAsiaTheme="majorEastAsia" w:hAnsiTheme="minorHAnsi" w:cstheme="minorHAnsi"/>
          <w:b/>
          <w:iCs/>
          <w:sz w:val="26"/>
        </w:rPr>
        <w:t xml:space="preserve"> that arise </w:t>
      </w:r>
      <w:r w:rsidRPr="003F2416">
        <w:rPr>
          <w:rFonts w:asciiTheme="minorHAnsi" w:eastAsiaTheme="majorEastAsia" w:hAnsiTheme="minorHAnsi" w:cstheme="minorHAnsi"/>
          <w:b/>
          <w:iCs/>
          <w:sz w:val="26"/>
          <w:u w:val="single"/>
        </w:rPr>
        <w:t>not only</w:t>
      </w:r>
      <w:r w:rsidRPr="003F2416">
        <w:rPr>
          <w:rFonts w:asciiTheme="minorHAnsi" w:eastAsiaTheme="majorEastAsia" w:hAnsiTheme="minorHAnsi" w:cstheme="minorHAnsi"/>
          <w:b/>
          <w:iCs/>
          <w:sz w:val="26"/>
        </w:rPr>
        <w:t xml:space="preserve"> from </w:t>
      </w:r>
      <w:proofErr w:type="spellStart"/>
      <w:r w:rsidRPr="003F2416">
        <w:rPr>
          <w:rFonts w:asciiTheme="minorHAnsi" w:eastAsiaTheme="majorEastAsia" w:hAnsiTheme="minorHAnsi" w:cstheme="minorHAnsi"/>
          <w:b/>
          <w:iCs/>
          <w:sz w:val="26"/>
        </w:rPr>
        <w:t>settlerism’s</w:t>
      </w:r>
      <w:proofErr w:type="spellEnd"/>
      <w:r w:rsidRPr="003F2416">
        <w:rPr>
          <w:rFonts w:asciiTheme="minorHAnsi" w:eastAsiaTheme="majorEastAsia" w:hAnsiTheme="minorHAnsi" w:cstheme="minorHAnsi"/>
          <w:b/>
          <w:iCs/>
          <w:sz w:val="26"/>
        </w:rPr>
        <w:t xml:space="preserve"> guilt for destroying the planet’s ability to sustain itself, but also from the settler’s need to </w:t>
      </w:r>
      <w:r w:rsidRPr="003F2416">
        <w:rPr>
          <w:rFonts w:asciiTheme="minorHAnsi" w:eastAsiaTheme="majorEastAsia" w:hAnsiTheme="minorHAnsi" w:cstheme="minorHAnsi"/>
          <w:b/>
          <w:iCs/>
          <w:sz w:val="26"/>
          <w:u w:val="single"/>
        </w:rPr>
        <w:t>strengthen solidarity</w:t>
      </w:r>
      <w:r w:rsidRPr="003F2416">
        <w:rPr>
          <w:rFonts w:asciiTheme="minorHAnsi" w:eastAsiaTheme="majorEastAsia" w:hAnsiTheme="minorHAnsi" w:cstheme="minorHAnsi"/>
          <w:b/>
          <w:iCs/>
          <w:sz w:val="26"/>
        </w:rPr>
        <w:t xml:space="preserve"> and </w:t>
      </w:r>
      <w:r w:rsidRPr="003F2416">
        <w:rPr>
          <w:rFonts w:asciiTheme="minorHAnsi" w:eastAsiaTheme="majorEastAsia" w:hAnsiTheme="minorHAnsi" w:cstheme="minorHAnsi"/>
          <w:b/>
          <w:iCs/>
          <w:sz w:val="26"/>
          <w:u w:val="single"/>
        </w:rPr>
        <w:t>defer confrontation</w:t>
      </w:r>
      <w:r w:rsidRPr="003F2416">
        <w:rPr>
          <w:rFonts w:asciiTheme="minorHAnsi" w:eastAsiaTheme="majorEastAsia" w:hAnsiTheme="minorHAnsi" w:cstheme="minorHAnsi"/>
          <w:b/>
          <w:iCs/>
          <w:sz w:val="26"/>
        </w:rPr>
        <w:t xml:space="preserve"> with native genocide</w:t>
      </w:r>
    </w:p>
    <w:p w14:paraId="34ED3DCE" w14:textId="77777777" w:rsidR="00D730A0" w:rsidRPr="003F2416" w:rsidRDefault="00D730A0" w:rsidP="00D730A0">
      <w:pPr>
        <w:rPr>
          <w:rFonts w:asciiTheme="minorHAnsi" w:hAnsiTheme="minorHAnsi" w:cstheme="minorHAnsi"/>
        </w:rPr>
      </w:pPr>
      <w:r w:rsidRPr="003F2416">
        <w:rPr>
          <w:rFonts w:asciiTheme="minorHAnsi" w:hAnsiTheme="minorHAnsi" w:cstheme="minorHAnsi"/>
          <w:b/>
          <w:sz w:val="26"/>
          <w:szCs w:val="26"/>
        </w:rPr>
        <w:t>Dalley 16</w:t>
      </w:r>
      <w:r w:rsidRPr="003F2416">
        <w:rPr>
          <w:rFonts w:asciiTheme="minorHAnsi" w:hAnsiTheme="minorHAnsi" w:cstheme="minorHAnsi"/>
        </w:rPr>
        <w:t xml:space="preserve">. Hamish Dalley is an Assistant professor of English at Daemen College and </w:t>
      </w:r>
      <w:proofErr w:type="spellStart"/>
      <w:r w:rsidRPr="003F2416">
        <w:rPr>
          <w:rFonts w:asciiTheme="minorHAnsi" w:hAnsiTheme="minorHAnsi" w:cstheme="minorHAnsi"/>
        </w:rPr>
        <w:t>techer</w:t>
      </w:r>
      <w:proofErr w:type="spellEnd"/>
      <w:r w:rsidRPr="003F2416">
        <w:rPr>
          <w:rFonts w:asciiTheme="minorHAnsi" w:hAnsiTheme="minorHAnsi" w:cstheme="minorHAnsi"/>
        </w:rPr>
        <w:t xml:space="preserve"> in the areas of ancient and modern world literature [“The deaths of settler colonialism: extinction as a metaphor of decolonization in contemporary settler literature,” </w:t>
      </w:r>
      <w:r w:rsidRPr="003F2416">
        <w:rPr>
          <w:rFonts w:asciiTheme="minorHAnsi" w:hAnsiTheme="minorHAnsi" w:cstheme="minorHAnsi"/>
          <w:i/>
        </w:rPr>
        <w:t>Settler Colonial Studies</w:t>
      </w:r>
      <w:r w:rsidRPr="003F2416">
        <w:rPr>
          <w:rFonts w:asciiTheme="minorHAnsi" w:hAnsiTheme="minorHAnsi" w:cstheme="minorHAnsi"/>
        </w:rPr>
        <w:t>, Issue Number, No. 8]//</w:t>
      </w:r>
      <w:proofErr w:type="spellStart"/>
      <w:r w:rsidRPr="003F2416">
        <w:rPr>
          <w:rFonts w:asciiTheme="minorHAnsi" w:hAnsiTheme="minorHAnsi" w:cstheme="minorHAnsi"/>
        </w:rPr>
        <w:t>vikas</w:t>
      </w:r>
      <w:proofErr w:type="spellEnd"/>
    </w:p>
    <w:p w14:paraId="0C68DB89" w14:textId="77777777" w:rsidR="00D730A0" w:rsidRPr="003F2416" w:rsidRDefault="00D730A0" w:rsidP="00D730A0">
      <w:pPr>
        <w:rPr>
          <w:rFonts w:asciiTheme="minorHAnsi" w:hAnsiTheme="minorHAnsi" w:cstheme="minorHAnsi"/>
          <w:b/>
          <w:sz w:val="24"/>
          <w:u w:val="single"/>
        </w:rPr>
      </w:pPr>
      <w:r w:rsidRPr="003F2416">
        <w:rPr>
          <w:rFonts w:asciiTheme="minorHAnsi" w:eastAsia="Calibri" w:hAnsiTheme="minorHAnsi" w:cstheme="minorHAnsi"/>
          <w:b/>
          <w:u w:val="single"/>
        </w:rPr>
        <w:t>Considering the problem of futurity offers a useful foil to traditional analyses of settler colonial narrative</w:t>
      </w:r>
      <w:r w:rsidRPr="003F2416">
        <w:rPr>
          <w:rFonts w:asciiTheme="minorHAnsi" w:hAnsiTheme="minorHAnsi" w:cstheme="minorHAnsi"/>
          <w:sz w:val="16"/>
          <w:szCs w:val="16"/>
        </w:rPr>
        <w:t xml:space="preserve">, which typically examine settlers’ attitudes towards history </w:t>
      </w:r>
      <w:proofErr w:type="gramStart"/>
      <w:r w:rsidRPr="003F2416">
        <w:rPr>
          <w:rFonts w:asciiTheme="minorHAnsi" w:hAnsiTheme="minorHAnsi" w:cstheme="minorHAnsi"/>
          <w:sz w:val="16"/>
          <w:szCs w:val="16"/>
        </w:rPr>
        <w:t>in order to</w:t>
      </w:r>
      <w:proofErr w:type="gramEnd"/>
      <w:r w:rsidRPr="003F2416">
        <w:rPr>
          <w:rFonts w:asciiTheme="minorHAnsi" w:hAnsiTheme="minorHAnsi" w:cstheme="minorHAnsi"/>
          <w:sz w:val="16"/>
          <w:szCs w:val="16"/>
        </w:rPr>
        <w:t xml:space="preserve"> highlight a constitutive anxiety about the past – about origins. </w:t>
      </w:r>
      <w:r w:rsidRPr="003F2416">
        <w:rPr>
          <w:rFonts w:asciiTheme="minorHAnsi" w:hAnsiTheme="minorHAnsi" w:cstheme="minorHAnsi"/>
          <w:b/>
          <w:highlight w:val="cyan"/>
          <w:u w:val="single"/>
        </w:rPr>
        <w:t>Settler colonialism</w:t>
      </w:r>
      <w:r w:rsidRPr="003F2416">
        <w:rPr>
          <w:rFonts w:asciiTheme="minorHAnsi" w:hAnsiTheme="minorHAnsi" w:cstheme="minorHAnsi"/>
          <w:sz w:val="16"/>
          <w:szCs w:val="16"/>
        </w:rPr>
        <w:t xml:space="preserve">, the argument goes, </w:t>
      </w:r>
      <w:r w:rsidRPr="003F2416">
        <w:rPr>
          <w:rFonts w:asciiTheme="minorHAnsi" w:hAnsiTheme="minorHAnsi" w:cstheme="minorHAnsi"/>
          <w:b/>
          <w:u w:val="single"/>
        </w:rPr>
        <w:t xml:space="preserve">has a problem with historical narration that </w:t>
      </w:r>
      <w:r w:rsidRPr="003F2416">
        <w:rPr>
          <w:rFonts w:asciiTheme="minorHAnsi" w:hAnsiTheme="minorHAnsi" w:cstheme="minorHAnsi"/>
          <w:b/>
          <w:highlight w:val="cyan"/>
          <w:u w:val="single"/>
        </w:rPr>
        <w:t>arises from a contradiction in its</w:t>
      </w:r>
      <w:r w:rsidRPr="003F2416">
        <w:rPr>
          <w:rFonts w:asciiTheme="minorHAnsi" w:hAnsiTheme="minorHAnsi" w:cstheme="minorHAnsi"/>
          <w:b/>
          <w:u w:val="single"/>
        </w:rPr>
        <w:t xml:space="preserve"> founding </w:t>
      </w:r>
      <w:r w:rsidRPr="003F2416">
        <w:rPr>
          <w:rFonts w:asciiTheme="minorHAnsi" w:hAnsiTheme="minorHAnsi" w:cstheme="minorHAnsi"/>
          <w:b/>
          <w:highlight w:val="cyan"/>
          <w:u w:val="single"/>
        </w:rPr>
        <w:t>mythology.</w:t>
      </w:r>
      <w:r w:rsidRPr="003F2416">
        <w:rPr>
          <w:rFonts w:asciiTheme="minorHAnsi" w:hAnsiTheme="minorHAnsi" w:cstheme="minorHAnsi"/>
          <w:sz w:val="16"/>
          <w:szCs w:val="16"/>
        </w:rPr>
        <w:t xml:space="preserve"> In Stephen Turner’s formulation, the settler subject is </w:t>
      </w:r>
      <w:proofErr w:type="gramStart"/>
      <w:r w:rsidRPr="003F2416">
        <w:rPr>
          <w:rFonts w:asciiTheme="minorHAnsi" w:hAnsiTheme="minorHAnsi" w:cstheme="minorHAnsi"/>
          <w:sz w:val="16"/>
          <w:szCs w:val="16"/>
        </w:rPr>
        <w:t>by definition one</w:t>
      </w:r>
      <w:proofErr w:type="gramEnd"/>
      <w:r w:rsidRPr="003F2416">
        <w:rPr>
          <w:rFonts w:asciiTheme="minorHAnsi" w:hAnsiTheme="minorHAnsi" w:cstheme="minorHAnsi"/>
          <w:sz w:val="16"/>
          <w:szCs w:val="16"/>
        </w:rPr>
        <w:t xml:space="preserve"> who comes from elsewhere but who strives to make this place home. </w:t>
      </w:r>
      <w:r w:rsidRPr="003F2416">
        <w:rPr>
          <w:rFonts w:asciiTheme="minorHAnsi" w:eastAsia="Calibri" w:hAnsiTheme="minorHAnsi" w:cstheme="minorHAnsi"/>
          <w:b/>
          <w:u w:val="single"/>
        </w:rPr>
        <w:t xml:space="preserve">The </w:t>
      </w:r>
      <w:r w:rsidRPr="003F2416">
        <w:rPr>
          <w:rFonts w:asciiTheme="minorHAnsi" w:eastAsia="Calibri" w:hAnsiTheme="minorHAnsi" w:cstheme="minorHAnsi"/>
          <w:b/>
          <w:highlight w:val="cyan"/>
          <w:u w:val="single"/>
        </w:rPr>
        <w:t>settlement narrative must explain</w:t>
      </w:r>
      <w:r w:rsidRPr="003F2416">
        <w:rPr>
          <w:rFonts w:asciiTheme="minorHAnsi" w:eastAsia="Calibri" w:hAnsiTheme="minorHAnsi" w:cstheme="minorHAnsi"/>
          <w:b/>
          <w:u w:val="single"/>
        </w:rPr>
        <w:t xml:space="preserve"> how </w:t>
      </w:r>
      <w:r w:rsidRPr="003F2416">
        <w:rPr>
          <w:rFonts w:asciiTheme="minorHAnsi" w:eastAsia="Calibri" w:hAnsiTheme="minorHAnsi" w:cstheme="minorHAnsi"/>
          <w:b/>
          <w:highlight w:val="cyan"/>
          <w:u w:val="single"/>
        </w:rPr>
        <w:t>this gap</w:t>
      </w:r>
      <w:r w:rsidRPr="003F2416">
        <w:rPr>
          <w:rFonts w:asciiTheme="minorHAnsi" w:hAnsiTheme="minorHAnsi" w:cstheme="minorHAnsi"/>
          <w:sz w:val="16"/>
          <w:szCs w:val="16"/>
        </w:rPr>
        <w:t xml:space="preserve"> – which is at once geographical, historical, and existential – </w:t>
      </w:r>
      <w:r w:rsidRPr="003F2416">
        <w:rPr>
          <w:rFonts w:asciiTheme="minorHAnsi" w:hAnsiTheme="minorHAnsi" w:cstheme="minorHAnsi"/>
          <w:b/>
          <w:u w:val="single"/>
        </w:rPr>
        <w:t xml:space="preserve">has been bridged, and </w:t>
      </w:r>
      <w:r w:rsidRPr="003F2416">
        <w:rPr>
          <w:rFonts w:asciiTheme="minorHAnsi" w:eastAsia="Calibri" w:hAnsiTheme="minorHAnsi" w:cstheme="minorHAnsi"/>
          <w:b/>
          <w:highlight w:val="cyan"/>
          <w:u w:val="single"/>
        </w:rPr>
        <w:t>the settler transformed from outsider into indigene.</w:t>
      </w:r>
      <w:r w:rsidRPr="003F2416">
        <w:rPr>
          <w:rFonts w:asciiTheme="minorHAnsi" w:hAnsiTheme="minorHAnsi" w:cstheme="minorHAnsi"/>
          <w:sz w:val="16"/>
          <w:szCs w:val="16"/>
        </w:rPr>
        <w:t xml:space="preserve"> Yet the transformation </w:t>
      </w:r>
      <w:r w:rsidRPr="003F2416">
        <w:rPr>
          <w:rFonts w:asciiTheme="minorHAnsi" w:eastAsia="Calibri" w:hAnsiTheme="minorHAnsi" w:cstheme="minorHAnsi"/>
          <w:b/>
          <w:highlight w:val="cyan"/>
          <w:u w:val="single"/>
        </w:rPr>
        <w:t>must remain</w:t>
      </w:r>
      <w:r w:rsidRPr="003F2416">
        <w:rPr>
          <w:rFonts w:asciiTheme="minorHAnsi" w:hAnsiTheme="minorHAnsi" w:cstheme="minorHAnsi"/>
          <w:b/>
          <w:u w:val="single"/>
        </w:rPr>
        <w:t xml:space="preserve"> constitutively </w:t>
      </w:r>
      <w:proofErr w:type="gramStart"/>
      <w:r w:rsidRPr="003F2416">
        <w:rPr>
          <w:rFonts w:asciiTheme="minorHAnsi" w:eastAsia="Calibri" w:hAnsiTheme="minorHAnsi" w:cstheme="minorHAnsi"/>
          <w:b/>
          <w:highlight w:val="cyan"/>
          <w:u w:val="single"/>
        </w:rPr>
        <w:t>incomplete, because</w:t>
      </w:r>
      <w:proofErr w:type="gramEnd"/>
      <w:r w:rsidRPr="003F2416">
        <w:rPr>
          <w:rFonts w:asciiTheme="minorHAnsi" w:eastAsia="Calibri" w:hAnsiTheme="minorHAnsi" w:cstheme="minorHAnsi"/>
          <w:b/>
          <w:highlight w:val="cyan"/>
          <w:u w:val="single"/>
        </w:rPr>
        <w:t xml:space="preserve"> the desire to be at home</w:t>
      </w:r>
      <w:r w:rsidRPr="003F2416">
        <w:rPr>
          <w:rFonts w:asciiTheme="minorHAnsi" w:hAnsiTheme="minorHAnsi" w:cstheme="minorHAnsi"/>
          <w:b/>
          <w:u w:val="single"/>
        </w:rPr>
        <w:t xml:space="preserve"> necessarily </w:t>
      </w:r>
      <w:r w:rsidRPr="003F2416">
        <w:rPr>
          <w:rFonts w:asciiTheme="minorHAnsi" w:eastAsia="Calibri" w:hAnsiTheme="minorHAnsi" w:cstheme="minorHAnsi"/>
          <w:b/>
          <w:highlight w:val="cyan"/>
          <w:u w:val="single"/>
        </w:rPr>
        <w:t xml:space="preserve">invokes the </w:t>
      </w:r>
      <w:proofErr w:type="spellStart"/>
      <w:r w:rsidRPr="003F2416">
        <w:rPr>
          <w:rFonts w:asciiTheme="minorHAnsi" w:eastAsia="Calibri" w:hAnsiTheme="minorHAnsi" w:cstheme="minorHAnsi"/>
          <w:b/>
          <w:highlight w:val="cyan"/>
          <w:u w:val="single"/>
        </w:rPr>
        <w:t>spectre</w:t>
      </w:r>
      <w:proofErr w:type="spellEnd"/>
      <w:r w:rsidRPr="003F2416">
        <w:rPr>
          <w:rFonts w:asciiTheme="minorHAnsi" w:eastAsia="Calibri" w:hAnsiTheme="minorHAnsi" w:cstheme="minorHAnsi"/>
          <w:b/>
          <w:highlight w:val="cyan"/>
          <w:u w:val="single"/>
        </w:rPr>
        <w:t xml:space="preserve"> of the native, whose existence</w:t>
      </w:r>
      <w:r w:rsidRPr="003F2416">
        <w:rPr>
          <w:rFonts w:asciiTheme="minorHAnsi" w:hAnsiTheme="minorHAnsi" w:cstheme="minorHAnsi"/>
          <w:sz w:val="16"/>
          <w:szCs w:val="16"/>
        </w:rPr>
        <w:t xml:space="preserve"> (which cannot be disavowed completely because it is needed to define the settler’s difference, superiority, and hence claim to the land) </w:t>
      </w:r>
      <w:r w:rsidRPr="003F2416">
        <w:rPr>
          <w:rFonts w:asciiTheme="minorHAnsi" w:eastAsia="Calibri" w:hAnsiTheme="minorHAnsi" w:cstheme="minorHAnsi"/>
          <w:b/>
          <w:highlight w:val="cyan"/>
          <w:u w:val="single"/>
        </w:rPr>
        <w:t>inscribes the settler’s foreignness</w:t>
      </w:r>
      <w:r w:rsidRPr="003F2416">
        <w:rPr>
          <w:rFonts w:asciiTheme="minorHAnsi" w:hAnsiTheme="minorHAnsi" w:cstheme="minorHAnsi"/>
          <w:sz w:val="16"/>
          <w:szCs w:val="16"/>
        </w:rPr>
        <w:t xml:space="preserve">, thus </w:t>
      </w:r>
      <w:r w:rsidRPr="003F2416">
        <w:rPr>
          <w:rFonts w:asciiTheme="minorHAnsi" w:eastAsia="Calibri" w:hAnsiTheme="minorHAnsi" w:cstheme="minorHAnsi"/>
          <w:b/>
          <w:highlight w:val="cyan"/>
          <w:u w:val="single"/>
        </w:rPr>
        <w:t>reinstating the gap between settler and colony that the narrative was meant to efface</w:t>
      </w:r>
      <w:r w:rsidRPr="003F2416">
        <w:rPr>
          <w:rFonts w:asciiTheme="minorHAnsi" w:eastAsia="Calibri" w:hAnsiTheme="minorHAnsi" w:cstheme="minorHAnsi"/>
          <w:b/>
          <w:u w:val="single"/>
        </w:rPr>
        <w:t>.</w:t>
      </w:r>
      <w:r w:rsidRPr="003F2416">
        <w:rPr>
          <w:rFonts w:asciiTheme="minorHAnsi" w:hAnsiTheme="minorHAnsi" w:cstheme="minorHAnsi"/>
          <w:sz w:val="16"/>
          <w:szCs w:val="16"/>
        </w:rPr>
        <w:t xml:space="preserve"> Settler-colonial narrative is thus </w:t>
      </w:r>
      <w:r w:rsidRPr="003F2416">
        <w:rPr>
          <w:rFonts w:asciiTheme="minorHAnsi" w:hAnsiTheme="minorHAnsi" w:cstheme="minorHAnsi"/>
          <w:b/>
          <w:u w:val="single"/>
        </w:rPr>
        <w:t>shaped around its need to erase and evoke the native, to make the indigene both invisible and present in a contradictory pattern that prevents settlers from</w:t>
      </w:r>
      <w:r w:rsidRPr="003F2416">
        <w:rPr>
          <w:rFonts w:asciiTheme="minorHAnsi" w:hAnsiTheme="minorHAnsi" w:cstheme="minorHAnsi"/>
          <w:sz w:val="16"/>
          <w:szCs w:val="16"/>
        </w:rPr>
        <w:t xml:space="preserve"> ever </w:t>
      </w:r>
      <w:r w:rsidRPr="003F2416">
        <w:rPr>
          <w:rFonts w:asciiTheme="minorHAnsi" w:hAnsiTheme="minorHAnsi" w:cstheme="minorHAnsi"/>
          <w:b/>
          <w:u w:val="single"/>
        </w:rPr>
        <w:t>moving on from the moment of colonization.</w:t>
      </w:r>
      <w:r w:rsidRPr="003F2416">
        <w:rPr>
          <w:rFonts w:asciiTheme="minorHAnsi" w:hAnsiTheme="minorHAnsi" w:cstheme="minorHAnsi"/>
          <w:sz w:val="16"/>
          <w:szCs w:val="16"/>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w:t>
      </w:r>
      <w:proofErr w:type="gramStart"/>
      <w:r w:rsidRPr="003F2416">
        <w:rPr>
          <w:rFonts w:asciiTheme="minorHAnsi" w:hAnsiTheme="minorHAnsi" w:cstheme="minorHAnsi"/>
          <w:sz w:val="16"/>
          <w:szCs w:val="16"/>
        </w:rPr>
        <w:t>a number of</w:t>
      </w:r>
      <w:proofErr w:type="gramEnd"/>
      <w:r w:rsidRPr="003F2416">
        <w:rPr>
          <w:rFonts w:asciiTheme="minorHAnsi" w:hAnsiTheme="minorHAnsi" w:cstheme="minorHAnsi"/>
          <w:sz w:val="16"/>
          <w:szCs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3F2416">
        <w:rPr>
          <w:rFonts w:asciiTheme="minorHAnsi" w:hAnsiTheme="minorHAnsi" w:cstheme="minorHAnsi"/>
          <w:b/>
          <w:u w:val="single"/>
        </w:rPr>
        <w:t xml:space="preserve">the </w:t>
      </w:r>
      <w:r w:rsidRPr="003F2416">
        <w:rPr>
          <w:rFonts w:asciiTheme="minorHAnsi" w:hAnsiTheme="minorHAnsi" w:cstheme="minorHAnsi"/>
          <w:b/>
          <w:highlight w:val="cyan"/>
          <w:u w:val="single"/>
        </w:rPr>
        <w:t>narratological paradox</w:t>
      </w:r>
      <w:r w:rsidRPr="003F2416">
        <w:rPr>
          <w:rFonts w:asciiTheme="minorHAnsi" w:hAnsiTheme="minorHAnsi" w:cstheme="minorHAnsi"/>
          <w:b/>
          <w:u w:val="single"/>
        </w:rPr>
        <w:t xml:space="preserve"> that defines settler-colonial narrative does make the </w:t>
      </w:r>
      <w:r w:rsidRPr="003F2416">
        <w:rPr>
          <w:rFonts w:asciiTheme="minorHAnsi" w:hAnsiTheme="minorHAnsi" w:cstheme="minorHAnsi"/>
          <w:b/>
          <w:highlight w:val="cyan"/>
          <w:u w:val="single"/>
        </w:rPr>
        <w:t>future a problematic object of contemplation</w:t>
      </w:r>
      <w:r w:rsidRPr="003F2416">
        <w:rPr>
          <w:rFonts w:asciiTheme="minorHAnsi" w:hAnsiTheme="minorHAnsi" w:cstheme="minorHAnsi"/>
          <w:b/>
          <w:u w:val="single"/>
        </w:rPr>
        <w:t>.</w:t>
      </w:r>
      <w:r w:rsidRPr="003F2416">
        <w:rPr>
          <w:rFonts w:asciiTheme="minorHAnsi" w:hAnsiTheme="minorHAnsi" w:cstheme="minorHAnsi"/>
          <w:sz w:val="16"/>
          <w:szCs w:val="16"/>
        </w:rPr>
        <w:t xml:space="preserve"> But </w:t>
      </w:r>
      <w:r w:rsidRPr="003F2416">
        <w:rPr>
          <w:rFonts w:asciiTheme="minorHAnsi" w:hAnsiTheme="minorHAnsi" w:cstheme="minorHAnsi"/>
          <w:b/>
          <w:u w:val="single"/>
        </w:rPr>
        <w:t>that does not make settler decolonization unthinkable per se</w:t>
      </w:r>
      <w:r w:rsidRPr="003F2416">
        <w:rPr>
          <w:rFonts w:asciiTheme="minorHAnsi" w:hAnsiTheme="minorHAnsi" w:cstheme="minorHAnsi"/>
          <w:sz w:val="16"/>
          <w:szCs w:val="16"/>
        </w:rPr>
        <w:t xml:space="preserve">; as I will show, </w:t>
      </w:r>
      <w:r w:rsidRPr="003F2416">
        <w:rPr>
          <w:rFonts w:asciiTheme="minorHAnsi" w:eastAsia="Calibri" w:hAnsiTheme="minorHAnsi" w:cstheme="minorHAnsi"/>
          <w:b/>
          <w:highlight w:val="cyan"/>
          <w:u w:val="single"/>
        </w:rPr>
        <w:t>settlers</w:t>
      </w:r>
      <w:r w:rsidRPr="003F2416">
        <w:rPr>
          <w:rFonts w:asciiTheme="minorHAnsi" w:eastAsia="Calibri" w:hAnsiTheme="minorHAnsi" w:cstheme="minorHAnsi"/>
          <w:b/>
          <w:u w:val="single"/>
        </w:rPr>
        <w:t xml:space="preserve"> do often </w:t>
      </w:r>
      <w:r w:rsidRPr="003F2416">
        <w:rPr>
          <w:rFonts w:asciiTheme="minorHAnsi" w:eastAsia="Calibri" w:hAnsiTheme="minorHAnsi" w:cstheme="minorHAnsi"/>
          <w:b/>
          <w:highlight w:val="cyan"/>
          <w:u w:val="single"/>
        </w:rPr>
        <w:t>try to imagine</w:t>
      </w:r>
      <w:r w:rsidRPr="003F2416">
        <w:rPr>
          <w:rFonts w:asciiTheme="minorHAnsi" w:eastAsia="Calibri" w:hAnsiTheme="minorHAnsi" w:cstheme="minorHAnsi"/>
          <w:b/>
          <w:u w:val="single"/>
        </w:rPr>
        <w:t xml:space="preserve"> their </w:t>
      </w:r>
      <w:r w:rsidRPr="003F2416">
        <w:rPr>
          <w:rFonts w:asciiTheme="minorHAnsi" w:eastAsia="Calibri" w:hAnsiTheme="minorHAnsi" w:cstheme="minorHAnsi"/>
          <w:b/>
          <w:highlight w:val="cyan"/>
          <w:u w:val="single"/>
        </w:rPr>
        <w:t>demise</w:t>
      </w:r>
      <w:r w:rsidRPr="003F2416">
        <w:rPr>
          <w:rFonts w:asciiTheme="minorHAnsi" w:hAnsiTheme="minorHAnsi" w:cstheme="minorHAnsi"/>
          <w:sz w:val="16"/>
          <w:szCs w:val="16"/>
        </w:rPr>
        <w:t xml:space="preserve"> – but they do so </w:t>
      </w:r>
      <w:r w:rsidRPr="003F2416">
        <w:rPr>
          <w:rFonts w:asciiTheme="minorHAnsi" w:eastAsia="Calibri" w:hAnsiTheme="minorHAnsi" w:cstheme="minorHAnsi"/>
          <w:b/>
          <w:highlight w:val="cyan"/>
          <w:u w:val="single"/>
        </w:rPr>
        <w:t>in a way that reasserts</w:t>
      </w:r>
      <w:r w:rsidRPr="003F2416">
        <w:rPr>
          <w:rFonts w:asciiTheme="minorHAnsi" w:eastAsia="Calibri" w:hAnsiTheme="minorHAnsi" w:cstheme="minorHAnsi"/>
          <w:b/>
          <w:u w:val="single"/>
        </w:rPr>
        <w:t xml:space="preserve"> the </w:t>
      </w:r>
      <w:r w:rsidRPr="003F2416">
        <w:rPr>
          <w:rFonts w:asciiTheme="minorHAnsi" w:eastAsia="Calibri" w:hAnsiTheme="minorHAnsi" w:cstheme="minorHAnsi"/>
          <w:b/>
          <w:highlight w:val="cyan"/>
          <w:u w:val="single"/>
        </w:rPr>
        <w:t>paradoxes of</w:t>
      </w:r>
      <w:r w:rsidRPr="003F2416">
        <w:rPr>
          <w:rFonts w:asciiTheme="minorHAnsi" w:eastAsia="Calibri" w:hAnsiTheme="minorHAnsi" w:cstheme="minorHAnsi"/>
          <w:b/>
          <w:u w:val="single"/>
        </w:rPr>
        <w:t xml:space="preserve"> their </w:t>
      </w:r>
      <w:r w:rsidRPr="003F2416">
        <w:rPr>
          <w:rFonts w:asciiTheme="minorHAnsi" w:eastAsia="Calibri" w:hAnsiTheme="minorHAnsi" w:cstheme="minorHAnsi"/>
          <w:b/>
          <w:highlight w:val="cyan"/>
          <w:u w:val="single"/>
        </w:rPr>
        <w:t>founding ideology</w:t>
      </w:r>
      <w:r w:rsidRPr="003F2416">
        <w:rPr>
          <w:rFonts w:asciiTheme="minorHAnsi" w:eastAsia="Calibri" w:hAnsiTheme="minorHAnsi" w:cstheme="minorHAnsi"/>
          <w:b/>
          <w:u w:val="single"/>
        </w:rPr>
        <w:t xml:space="preserve">, with the result that </w:t>
      </w:r>
      <w:r w:rsidRPr="003F2416">
        <w:rPr>
          <w:rFonts w:asciiTheme="minorHAnsi" w:hAnsiTheme="minorHAnsi" w:cstheme="minorHAnsi"/>
          <w:sz w:val="16"/>
          <w:szCs w:val="16"/>
        </w:rPr>
        <w:t xml:space="preserve">the radical potentiality of decolonization is undone even as it is invoked. I argue that, notwithstanding Veracini’s analysis, there is a metaphor via which the end of settler colonialism unspools – </w:t>
      </w:r>
      <w:r w:rsidRPr="003F2416">
        <w:rPr>
          <w:rFonts w:asciiTheme="minorHAnsi" w:eastAsia="Calibri" w:hAnsiTheme="minorHAnsi" w:cstheme="minorHAnsi"/>
          <w:b/>
          <w:highlight w:val="cyan"/>
          <w:u w:val="single"/>
        </w:rPr>
        <w:t>the</w:t>
      </w:r>
      <w:r w:rsidRPr="003F2416">
        <w:rPr>
          <w:rFonts w:asciiTheme="minorHAnsi" w:hAnsiTheme="minorHAnsi" w:cstheme="minorHAnsi"/>
          <w:sz w:val="16"/>
          <w:szCs w:val="16"/>
        </w:rPr>
        <w:t xml:space="preserve"> quasi-biological </w:t>
      </w:r>
      <w:r w:rsidRPr="003F2416">
        <w:rPr>
          <w:rFonts w:asciiTheme="minorHAnsi" w:eastAsia="Calibri" w:hAnsiTheme="minorHAnsi" w:cstheme="minorHAnsi"/>
          <w:b/>
          <w:highlight w:val="cyan"/>
          <w:u w:val="single"/>
        </w:rPr>
        <w:t>concept of extinction</w:t>
      </w:r>
      <w:r w:rsidRPr="003F2416">
        <w:rPr>
          <w:rFonts w:asciiTheme="minorHAnsi" w:hAnsiTheme="minorHAnsi" w:cstheme="minorHAnsi"/>
          <w:sz w:val="16"/>
          <w:szCs w:val="16"/>
        </w:rPr>
        <w:t xml:space="preserve">, which, when </w:t>
      </w:r>
      <w:r w:rsidRPr="003F2416">
        <w:rPr>
          <w:rFonts w:asciiTheme="minorHAnsi" w:eastAsia="Calibri" w:hAnsiTheme="minorHAnsi" w:cstheme="minorHAnsi"/>
          <w:b/>
          <w:u w:val="single"/>
        </w:rPr>
        <w:t xml:space="preserve">deployed </w:t>
      </w:r>
      <w:r w:rsidRPr="003F2416">
        <w:rPr>
          <w:rFonts w:asciiTheme="minorHAnsi" w:eastAsia="Calibri" w:hAnsiTheme="minorHAnsi" w:cstheme="minorHAnsi"/>
          <w:b/>
          <w:highlight w:val="cyan"/>
          <w:u w:val="single"/>
        </w:rPr>
        <w:t>as a narrative trope, offers settlers a chance to</w:t>
      </w:r>
      <w:r w:rsidRPr="003F2416">
        <w:rPr>
          <w:rFonts w:asciiTheme="minorHAnsi" w:eastAsia="Calibri" w:hAnsiTheme="minorHAnsi" w:cstheme="minorHAnsi"/>
          <w:b/>
          <w:u w:val="single"/>
        </w:rPr>
        <w:t xml:space="preserve"> consider and </w:t>
      </w:r>
      <w:r w:rsidRPr="003F2416">
        <w:rPr>
          <w:rFonts w:asciiTheme="minorHAnsi" w:eastAsia="Calibri" w:hAnsiTheme="minorHAnsi" w:cstheme="minorHAnsi"/>
          <w:b/>
          <w:highlight w:val="cyan"/>
          <w:u w:val="single"/>
        </w:rPr>
        <w:t>disavow their demise</w:t>
      </w:r>
      <w:r w:rsidRPr="003F2416">
        <w:rPr>
          <w:rFonts w:asciiTheme="minorHAnsi" w:hAnsiTheme="minorHAnsi" w:cstheme="minorHAnsi"/>
          <w:sz w:val="16"/>
          <w:szCs w:val="16"/>
        </w:rPr>
        <w:t xml:space="preserv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3F2416">
        <w:rPr>
          <w:rFonts w:asciiTheme="minorHAnsi" w:hAnsiTheme="minorHAnsi" w:cstheme="minorHAnsi"/>
          <w:sz w:val="16"/>
          <w:szCs w:val="16"/>
        </w:rPr>
        <w:t>historio</w:t>
      </w:r>
      <w:proofErr w:type="spellEnd"/>
      <w:r w:rsidRPr="003F2416">
        <w:rPr>
          <w:rFonts w:asciiTheme="minorHAnsi" w:hAnsiTheme="minorHAnsi" w:cstheme="minorHAnsi"/>
          <w:sz w:val="16"/>
          <w:szCs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sidRPr="003F2416">
        <w:rPr>
          <w:rFonts w:asciiTheme="minorHAnsi" w:hAnsiTheme="minorHAnsi" w:cstheme="minorHAnsi"/>
          <w:b/>
          <w:u w:val="single"/>
        </w:rPr>
        <w:t>my analysis is intended to draw the attention of settler colonial studies toward futurity and</w:t>
      </w:r>
      <w:r w:rsidRPr="003F2416">
        <w:rPr>
          <w:rFonts w:asciiTheme="minorHAnsi" w:hAnsiTheme="minorHAnsi" w:cstheme="minorHAnsi"/>
          <w:sz w:val="16"/>
          <w:szCs w:val="16"/>
        </w:rPr>
        <w:t xml:space="preserve"> the </w:t>
      </w:r>
      <w:r w:rsidRPr="003F2416">
        <w:rPr>
          <w:rFonts w:asciiTheme="minorHAnsi" w:hAnsiTheme="minorHAnsi" w:cstheme="minorHAnsi"/>
          <w:b/>
          <w:u w:val="single"/>
        </w:rPr>
        <w:t>ambivalence of settler paranoia</w:t>
      </w:r>
      <w:r w:rsidRPr="003F2416">
        <w:rPr>
          <w:rFonts w:asciiTheme="minorHAnsi" w:hAnsiTheme="minorHAnsi" w:cstheme="minorHAnsi"/>
          <w:sz w:val="16"/>
          <w:szCs w:val="16"/>
        </w:rPr>
        <w:t xml:space="preserve">, while highlighting a potential point of cross-fertilization between settler-colonial and eco-critical approaches to contemporary literature. That ‘extinction’ should be a key word in the settler-colonial lexicon is no surprise. In Patrick Wolfe’s phrase,7 </w:t>
      </w:r>
      <w:r w:rsidRPr="003F2416">
        <w:rPr>
          <w:rFonts w:asciiTheme="minorHAnsi" w:hAnsiTheme="minorHAnsi" w:cstheme="minorHAnsi"/>
          <w:u w:val="single"/>
        </w:rPr>
        <w:t>settler colonialism is predicated on a ‘logic of elimination’ that tends towards the extermination – by one means or another – of indigenous peoples</w:t>
      </w:r>
      <w:r w:rsidRPr="003F2416">
        <w:rPr>
          <w:rFonts w:asciiTheme="minorHAnsi" w:hAnsiTheme="minorHAnsi" w:cstheme="minorHAnsi"/>
          <w:sz w:val="16"/>
          <w:szCs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w:t>
      </w:r>
      <w:r w:rsidRPr="003F2416">
        <w:rPr>
          <w:rFonts w:asciiTheme="minorHAnsi" w:eastAsia="Calibri" w:hAnsiTheme="minorHAnsi" w:cstheme="minorHAnsi"/>
          <w:b/>
          <w:highlight w:val="cyan"/>
          <w:u w:val="single"/>
        </w:rPr>
        <w:t>anxieties draw energy from</w:t>
      </w:r>
      <w:r w:rsidRPr="003F2416">
        <w:rPr>
          <w:rFonts w:asciiTheme="minorHAnsi" w:eastAsia="Calibri" w:hAnsiTheme="minorHAnsi" w:cstheme="minorHAnsi"/>
          <w:b/>
          <w:u w:val="single"/>
        </w:rPr>
        <w:t xml:space="preserve"> a pattern of </w:t>
      </w:r>
      <w:r w:rsidRPr="003F2416">
        <w:rPr>
          <w:rFonts w:asciiTheme="minorHAnsi" w:eastAsia="Calibri" w:hAnsiTheme="minorHAnsi" w:cstheme="minorHAnsi"/>
          <w:b/>
          <w:highlight w:val="cyan"/>
          <w:u w:val="single"/>
        </w:rPr>
        <w:t>settler defensiveness that can be observed across</w:t>
      </w:r>
      <w:r w:rsidRPr="003F2416">
        <w:rPr>
          <w:rFonts w:asciiTheme="minorHAnsi" w:hAnsiTheme="minorHAnsi" w:cstheme="minorHAnsi"/>
          <w:sz w:val="16"/>
          <w:szCs w:val="16"/>
        </w:rPr>
        <w:t xml:space="preserve"> numerous </w:t>
      </w:r>
      <w:r w:rsidRPr="003F2416">
        <w:rPr>
          <w:rFonts w:asciiTheme="minorHAnsi" w:eastAsia="Calibri" w:hAnsiTheme="minorHAnsi" w:cstheme="minorHAnsi"/>
          <w:b/>
          <w:highlight w:val="cyan"/>
          <w:u w:val="single"/>
        </w:rPr>
        <w:t>settler-colonial contexts.</w:t>
      </w:r>
      <w:r w:rsidRPr="003F2416">
        <w:rPr>
          <w:rFonts w:asciiTheme="minorHAnsi" w:hAnsiTheme="minorHAnsi" w:cstheme="minorHAnsi"/>
          <w:sz w:val="16"/>
          <w:szCs w:val="16"/>
        </w:rPr>
        <w:t xml:space="preserve"> Marilyn Lake’s and Henry Reynold’s account of </w:t>
      </w:r>
      <w:r w:rsidRPr="003F2416">
        <w:rPr>
          <w:rFonts w:asciiTheme="minorHAnsi" w:hAnsiTheme="minorHAnsi" w:cstheme="minorHAnsi"/>
          <w:b/>
          <w:u w:val="single"/>
        </w:rPr>
        <w:t xml:space="preserve">the emergence of </w:t>
      </w:r>
      <w:r w:rsidRPr="003F2416">
        <w:rPr>
          <w:rFonts w:asciiTheme="minorHAnsi" w:hAnsiTheme="minorHAnsi" w:cstheme="minorHAnsi"/>
          <w:b/>
          <w:highlight w:val="cyan"/>
          <w:u w:val="single"/>
        </w:rPr>
        <w:t>transnational ‘whiteness’ highlights the paradoxical fact that</w:t>
      </w:r>
      <w:r w:rsidRPr="003F2416">
        <w:rPr>
          <w:rFonts w:asciiTheme="minorHAnsi" w:hAnsiTheme="minorHAnsi" w:cstheme="minorHAnsi"/>
          <w:b/>
          <w:u w:val="single"/>
        </w:rPr>
        <w:t xml:space="preserve"> while white male </w:t>
      </w:r>
      <w:r w:rsidRPr="003F2416">
        <w:rPr>
          <w:rFonts w:asciiTheme="minorHAnsi" w:hAnsiTheme="minorHAnsi" w:cstheme="minorHAnsi"/>
          <w:b/>
          <w:highlight w:val="cyan"/>
          <w:u w:val="single"/>
        </w:rPr>
        <w:t>settlers have been</w:t>
      </w:r>
      <w:r w:rsidRPr="003F2416">
        <w:rPr>
          <w:rFonts w:asciiTheme="minorHAnsi" w:hAnsiTheme="minorHAnsi" w:cstheme="minorHAnsi"/>
          <w:b/>
          <w:u w:val="single"/>
        </w:rPr>
        <w:t xml:space="preserve"> arguably </w:t>
      </w:r>
      <w:r w:rsidRPr="003F2416">
        <w:rPr>
          <w:rFonts w:asciiTheme="minorHAnsi" w:hAnsiTheme="minorHAnsi" w:cstheme="minorHAnsi"/>
          <w:b/>
          <w:highlight w:val="cyan"/>
          <w:u w:val="single"/>
        </w:rPr>
        <w:t>the most privileged</w:t>
      </w:r>
      <w:r w:rsidRPr="003F2416">
        <w:rPr>
          <w:rFonts w:asciiTheme="minorHAnsi" w:hAnsiTheme="minorHAnsi" w:cstheme="minorHAnsi"/>
          <w:b/>
          <w:u w:val="single"/>
        </w:rPr>
        <w:t xml:space="preserve"> class in history,</w:t>
      </w:r>
      <w:r w:rsidRPr="003F2416">
        <w:rPr>
          <w:rFonts w:asciiTheme="minorHAnsi" w:hAnsiTheme="minorHAnsi" w:cstheme="minorHAnsi"/>
          <w:sz w:val="16"/>
          <w:szCs w:val="16"/>
        </w:rPr>
        <w:t xml:space="preserve"> they have </w:t>
      </w:r>
      <w:r w:rsidRPr="003F2416">
        <w:rPr>
          <w:rFonts w:asciiTheme="minorHAnsi" w:eastAsia="Calibri" w:hAnsiTheme="minorHAnsi" w:cstheme="minorHAnsi"/>
          <w:b/>
          <w:highlight w:val="cyan"/>
          <w:u w:val="single"/>
        </w:rPr>
        <w:t>routinely perceived</w:t>
      </w:r>
      <w:r w:rsidRPr="003F2416">
        <w:rPr>
          <w:rFonts w:asciiTheme="minorHAnsi" w:eastAsia="Calibri" w:hAnsiTheme="minorHAnsi" w:cstheme="minorHAnsi"/>
          <w:b/>
          <w:u w:val="single"/>
        </w:rPr>
        <w:t xml:space="preserve"> themselves </w:t>
      </w:r>
      <w:r w:rsidRPr="003F2416">
        <w:rPr>
          <w:rFonts w:asciiTheme="minorHAnsi" w:eastAsia="Calibri" w:hAnsiTheme="minorHAnsi" w:cstheme="minorHAnsi"/>
          <w:b/>
          <w:highlight w:val="cyan"/>
          <w:u w:val="single"/>
        </w:rPr>
        <w:t>to be ‘under siege’</w:t>
      </w:r>
      <w:r w:rsidRPr="003F2416">
        <w:rPr>
          <w:rFonts w:asciiTheme="minorHAnsi" w:eastAsia="Calibri" w:hAnsiTheme="minorHAnsi" w:cstheme="minorHAnsi"/>
          <w:b/>
          <w:u w:val="single"/>
        </w:rPr>
        <w:t>, threatened with destruction</w:t>
      </w:r>
      <w:r w:rsidRPr="003F2416">
        <w:rPr>
          <w:rFonts w:asciiTheme="minorHAnsi" w:hAnsiTheme="minorHAnsi" w:cstheme="minorHAnsi"/>
          <w:sz w:val="16"/>
          <w:szCs w:val="16"/>
        </w:rPr>
        <w:t xml:space="preserve"> to the extent </w:t>
      </w:r>
      <w:r w:rsidRPr="003F2416">
        <w:rPr>
          <w:rFonts w:asciiTheme="minorHAnsi" w:eastAsia="Calibri" w:hAnsiTheme="minorHAnsi" w:cstheme="minorHAnsi"/>
          <w:b/>
          <w:u w:val="single"/>
        </w:rPr>
        <w:t>that their very identity of</w:t>
      </w:r>
      <w:r w:rsidRPr="003F2416">
        <w:rPr>
          <w:rFonts w:asciiTheme="minorHAnsi" w:hAnsiTheme="minorHAnsi" w:cstheme="minorHAnsi"/>
          <w:sz w:val="16"/>
          <w:szCs w:val="16"/>
        </w:rPr>
        <w:t xml:space="preserve"> ‘</w:t>
      </w:r>
      <w:r w:rsidRPr="003F2416">
        <w:rPr>
          <w:rFonts w:asciiTheme="minorHAnsi" w:eastAsia="Calibri" w:hAnsiTheme="minorHAnsi" w:cstheme="minorHAnsi"/>
          <w:b/>
          <w:highlight w:val="cyan"/>
          <w:u w:val="single"/>
        </w:rPr>
        <w:t>whiteness was born in</w:t>
      </w:r>
      <w:r w:rsidRPr="003F2416">
        <w:rPr>
          <w:rFonts w:asciiTheme="minorHAnsi" w:eastAsia="Calibri" w:hAnsiTheme="minorHAnsi" w:cstheme="minorHAnsi"/>
          <w:b/>
          <w:u w:val="single"/>
        </w:rPr>
        <w:t xml:space="preserve"> the </w:t>
      </w:r>
      <w:r w:rsidRPr="003F2416">
        <w:rPr>
          <w:rFonts w:asciiTheme="minorHAnsi" w:eastAsia="Calibri" w:hAnsiTheme="minorHAnsi" w:cstheme="minorHAnsi"/>
          <w:b/>
          <w:highlight w:val="cyan"/>
          <w:u w:val="single"/>
        </w:rPr>
        <w:t>apprehension of imminent loss</w:t>
      </w:r>
      <w:r w:rsidRPr="003F2416">
        <w:rPr>
          <w:rFonts w:asciiTheme="minorHAnsi" w:hAnsiTheme="minorHAnsi" w:cstheme="minorHAnsi"/>
          <w:sz w:val="16"/>
          <w:szCs w:val="16"/>
          <w:highlight w:val="cyan"/>
        </w:rPr>
        <w:t>’</w:t>
      </w:r>
      <w:r w:rsidRPr="003F2416">
        <w:rPr>
          <w:rFonts w:asciiTheme="minorHAnsi" w:hAnsiTheme="minorHAnsi" w:cstheme="minorHAnsi"/>
          <w:sz w:val="16"/>
          <w:szCs w:val="16"/>
        </w:rPr>
        <w:t xml:space="preserve">. 11 The </w:t>
      </w:r>
      <w:r w:rsidRPr="003F2416">
        <w:rPr>
          <w:rFonts w:asciiTheme="minorHAnsi" w:eastAsia="Calibri" w:hAnsiTheme="minorHAnsi" w:cstheme="minorHAnsi"/>
          <w:b/>
          <w:highlight w:val="cyan"/>
          <w:u w:val="single"/>
        </w:rPr>
        <w:t>fear of looming annihilation</w:t>
      </w:r>
      <w:r w:rsidRPr="003F2416">
        <w:rPr>
          <w:rFonts w:asciiTheme="minorHAnsi" w:eastAsia="Calibri" w:hAnsiTheme="minorHAnsi" w:cstheme="minorHAnsi"/>
          <w:b/>
          <w:u w:val="single"/>
        </w:rPr>
        <w:t xml:space="preserve"> serves</w:t>
      </w:r>
      <w:r w:rsidRPr="003F2416">
        <w:rPr>
          <w:rFonts w:asciiTheme="minorHAnsi" w:hAnsiTheme="minorHAnsi" w:cstheme="minorHAnsi"/>
          <w:b/>
          <w:u w:val="single"/>
        </w:rPr>
        <w:t xml:space="preserve"> a powerful ideological function in settler communities, working </w:t>
      </w:r>
      <w:r w:rsidRPr="003F2416">
        <w:rPr>
          <w:rFonts w:asciiTheme="minorHAnsi" w:eastAsia="Calibri" w:hAnsiTheme="minorHAnsi" w:cstheme="minorHAnsi"/>
          <w:b/>
          <w:highlight w:val="cyan"/>
          <w:u w:val="single"/>
        </w:rPr>
        <w:t xml:space="preserve">to foster racial solidarity, </w:t>
      </w:r>
      <w:r w:rsidRPr="003F2416">
        <w:rPr>
          <w:rFonts w:asciiTheme="minorHAnsi" w:eastAsia="Calibri" w:hAnsiTheme="minorHAnsi" w:cstheme="minorHAnsi"/>
          <w:b/>
          <w:u w:val="single"/>
        </w:rPr>
        <w:t xml:space="preserve">suppress dissent, and legitimate violence </w:t>
      </w:r>
      <w:r w:rsidRPr="003F2416">
        <w:rPr>
          <w:rFonts w:asciiTheme="minorHAnsi" w:eastAsia="Calibri" w:hAnsiTheme="minorHAnsi" w:cstheme="minorHAnsi"/>
          <w:b/>
          <w:highlight w:val="cyan"/>
          <w:u w:val="single"/>
        </w:rPr>
        <w:t>against indigenous populations</w:t>
      </w:r>
      <w:r w:rsidRPr="003F2416">
        <w:rPr>
          <w:rFonts w:asciiTheme="minorHAnsi" w:hAnsiTheme="minorHAnsi" w:cstheme="minorHAnsi"/>
          <w:b/>
          <w:u w:val="single"/>
        </w:rPr>
        <w:t xml:space="preserve"> who</w:t>
      </w:r>
      <w:r w:rsidRPr="003F2416">
        <w:rPr>
          <w:rFonts w:asciiTheme="minorHAnsi" w:hAnsiTheme="minorHAnsi" w:cstheme="minorHAnsi"/>
          <w:sz w:val="16"/>
          <w:szCs w:val="16"/>
        </w:rPr>
        <w:t xml:space="preserve">, by any objective measure, </w:t>
      </w:r>
      <w:r w:rsidRPr="003F2416">
        <w:rPr>
          <w:rFonts w:asciiTheme="minorHAnsi" w:hAnsiTheme="minorHAnsi" w:cstheme="minorHAnsi"/>
          <w:b/>
          <w:u w:val="single"/>
        </w:rPr>
        <w:t>are far more at risk of extermination than the settlers who fear them.</w:t>
      </w:r>
      <w:r w:rsidRPr="003F2416">
        <w:rPr>
          <w:rFonts w:asciiTheme="minorHAnsi" w:hAnsiTheme="minorHAnsi" w:cstheme="minorHAnsi"/>
          <w:sz w:val="16"/>
          <w:szCs w:val="16"/>
        </w:rPr>
        <w:t xml:space="preserve"> Ann </w:t>
      </w:r>
      <w:proofErr w:type="spellStart"/>
      <w:r w:rsidRPr="003F2416">
        <w:rPr>
          <w:rFonts w:asciiTheme="minorHAnsi" w:hAnsiTheme="minorHAnsi" w:cstheme="minorHAnsi"/>
          <w:sz w:val="16"/>
          <w:szCs w:val="16"/>
        </w:rPr>
        <w:t>Curthoys</w:t>
      </w:r>
      <w:proofErr w:type="spellEnd"/>
      <w:r w:rsidRPr="003F2416">
        <w:rPr>
          <w:rFonts w:asciiTheme="minorHAnsi" w:hAnsiTheme="minorHAnsi" w:cstheme="minorHAnsi"/>
          <w:sz w:val="16"/>
          <w:szCs w:val="16"/>
        </w:rPr>
        <w:t xml:space="preserve"> and Dirk Moses have traced this pattern in Australia and Israel-Palestine, respectively.12 This scholarship suggests that </w:t>
      </w:r>
      <w:r w:rsidRPr="003F2416">
        <w:rPr>
          <w:rFonts w:asciiTheme="minorHAnsi" w:eastAsia="Calibri" w:hAnsiTheme="minorHAnsi" w:cstheme="minorHAnsi"/>
          <w:b/>
          <w:highlight w:val="cyan"/>
          <w:u w:val="single"/>
        </w:rPr>
        <w:t xml:space="preserve">narratives of settler extinction are acts of ideological mystification, </w:t>
      </w:r>
      <w:r w:rsidRPr="003F2416">
        <w:rPr>
          <w:rFonts w:asciiTheme="minorHAnsi" w:eastAsia="Calibri" w:hAnsiTheme="minorHAnsi" w:cstheme="minorHAnsi"/>
          <w:b/>
          <w:u w:val="single"/>
        </w:rPr>
        <w:t>obscuring the brutal inequalities of the frontier behind a mask of white vulnerability</w:t>
      </w:r>
      <w:r w:rsidRPr="003F2416">
        <w:rPr>
          <w:rFonts w:asciiTheme="minorHAnsi" w:hAnsiTheme="minorHAnsi" w:cstheme="minorHAnsi"/>
          <w:sz w:val="16"/>
          <w:szCs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3F2416">
        <w:rPr>
          <w:rFonts w:asciiTheme="minorHAnsi" w:hAnsiTheme="minorHAnsi" w:cstheme="minorHAnsi"/>
          <w:sz w:val="16"/>
          <w:szCs w:val="16"/>
        </w:rPr>
        <w:t>paper</w:t>
      </w:r>
      <w:proofErr w:type="gramEnd"/>
      <w:r w:rsidRPr="003F2416">
        <w:rPr>
          <w:rFonts w:asciiTheme="minorHAnsi" w:hAnsiTheme="minorHAnsi" w:cstheme="minorHAnsi"/>
          <w:sz w:val="16"/>
          <w:szCs w:val="16"/>
        </w:rPr>
        <w:t xml:space="preserve"> I consider extinction’s function as a metaphor of decolonization. I use this phrase to invoke, without completely endorsing, Tuck and Yang’s argument that to treat decolonization figuratively, as I argue </w:t>
      </w:r>
      <w:r w:rsidRPr="003F2416">
        <w:rPr>
          <w:rFonts w:asciiTheme="minorHAnsi" w:eastAsia="Calibri" w:hAnsiTheme="minorHAnsi" w:cstheme="minorHAnsi"/>
          <w:b/>
          <w:highlight w:val="cyan"/>
          <w:u w:val="single"/>
        </w:rPr>
        <w:t>extinction narratives</w:t>
      </w:r>
      <w:r w:rsidRPr="003F2416">
        <w:rPr>
          <w:rFonts w:asciiTheme="minorHAnsi" w:hAnsiTheme="minorHAnsi" w:cstheme="minorHAnsi"/>
          <w:sz w:val="16"/>
          <w:szCs w:val="16"/>
        </w:rPr>
        <w:t xml:space="preserve"> do, is necessarily to </w:t>
      </w:r>
      <w:r w:rsidRPr="003F2416">
        <w:rPr>
          <w:rFonts w:asciiTheme="minorHAnsi" w:eastAsia="Calibri" w:hAnsiTheme="minorHAnsi" w:cstheme="minorHAnsi"/>
          <w:b/>
          <w:highlight w:val="cyan"/>
          <w:u w:val="single"/>
        </w:rPr>
        <w:t>preclude radical change</w:t>
      </w:r>
      <w:r w:rsidRPr="003F2416">
        <w:rPr>
          <w:rFonts w:asciiTheme="minorHAnsi" w:eastAsia="Calibri" w:hAnsiTheme="minorHAnsi" w:cstheme="minorHAnsi"/>
          <w:b/>
          <w:u w:val="single"/>
        </w:rPr>
        <w:t>,</w:t>
      </w:r>
      <w:r w:rsidRPr="003F2416">
        <w:rPr>
          <w:rFonts w:asciiTheme="minorHAnsi" w:eastAsia="Calibri" w:hAnsiTheme="minorHAnsi" w:cstheme="minorHAnsi"/>
          <w:b/>
          <w:highlight w:val="cyan"/>
          <w:u w:val="single"/>
        </w:rPr>
        <w:t xml:space="preserve"> creating opportunities for settler ‘moves to innocence’ </w:t>
      </w:r>
      <w:r w:rsidRPr="003F2416">
        <w:rPr>
          <w:rFonts w:asciiTheme="minorHAnsi" w:eastAsia="Calibri" w:hAnsiTheme="minorHAnsi" w:cstheme="minorHAnsi"/>
          <w:b/>
          <w:u w:val="single"/>
        </w:rPr>
        <w:t>that re-legitimate racial inequality.</w:t>
      </w:r>
      <w:r w:rsidRPr="003F2416">
        <w:rPr>
          <w:rFonts w:asciiTheme="minorHAnsi" w:hAnsiTheme="minorHAnsi" w:cstheme="minorHAnsi"/>
          <w:sz w:val="16"/>
          <w:szCs w:val="16"/>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F2416">
        <w:rPr>
          <w:rFonts w:asciiTheme="minorHAnsi" w:hAnsiTheme="minorHAnsi" w:cstheme="minorHAnsi"/>
          <w:sz w:val="16"/>
          <w:szCs w:val="16"/>
        </w:rPr>
        <w:t>Maddaddam</w:t>
      </w:r>
      <w:proofErr w:type="spellEnd"/>
      <w:r w:rsidRPr="003F2416">
        <w:rPr>
          <w:rFonts w:asciiTheme="minorHAnsi" w:hAnsiTheme="minorHAnsi" w:cstheme="minorHAnsi"/>
          <w:sz w:val="16"/>
          <w:szCs w:val="16"/>
        </w:rPr>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F2416">
        <w:rPr>
          <w:rFonts w:asciiTheme="minorHAnsi" w:hAnsiTheme="minorHAnsi" w:cstheme="minorHAnsi"/>
          <w:sz w:val="16"/>
          <w:szCs w:val="16"/>
        </w:rPr>
        <w:t>more or less conscious</w:t>
      </w:r>
      <w:proofErr w:type="gramEnd"/>
      <w:r w:rsidRPr="003F2416">
        <w:rPr>
          <w:rFonts w:asciiTheme="minorHAnsi" w:hAnsiTheme="minorHAnsi" w:cstheme="minorHAnsi"/>
          <w:sz w:val="16"/>
          <w:szCs w:val="16"/>
        </w:rPr>
        <w:t xml:space="preserve">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w:t>
      </w:r>
      <w:r w:rsidRPr="003F2416">
        <w:rPr>
          <w:rFonts w:asciiTheme="minorHAnsi" w:hAnsiTheme="minorHAnsi" w:cstheme="minorHAnsi"/>
          <w:b/>
          <w:u w:val="single"/>
        </w:rPr>
        <w:t>these ideological effects are mediated by gender</w:t>
      </w:r>
      <w:r w:rsidRPr="003F2416">
        <w:rPr>
          <w:rFonts w:asciiTheme="minorHAnsi" w:hAnsiTheme="minorHAnsi" w:cstheme="minorHAnsi"/>
          <w:sz w:val="16"/>
          <w:szCs w:val="16"/>
        </w:rPr>
        <w:t xml:space="preserve">, insofar as </w:t>
      </w:r>
      <w:r w:rsidRPr="003F2416">
        <w:rPr>
          <w:rFonts w:asciiTheme="minorHAnsi" w:eastAsia="Calibri" w:hAnsiTheme="minorHAnsi" w:cstheme="minorHAnsi"/>
          <w:b/>
          <w:highlight w:val="cyan"/>
          <w:u w:val="single"/>
        </w:rPr>
        <w:t>extinction narratives invoke issues</w:t>
      </w:r>
      <w:r w:rsidRPr="003F2416">
        <w:rPr>
          <w:rFonts w:asciiTheme="minorHAnsi" w:eastAsia="Calibri" w:hAnsiTheme="minorHAnsi" w:cstheme="minorHAnsi"/>
          <w:b/>
          <w:u w:val="single"/>
        </w:rPr>
        <w:t xml:space="preserve"> </w:t>
      </w:r>
      <w:r w:rsidRPr="003F2416">
        <w:rPr>
          <w:rFonts w:asciiTheme="minorHAnsi" w:eastAsia="Calibri" w:hAnsiTheme="minorHAnsi" w:cstheme="minorHAnsi"/>
          <w:b/>
          <w:highlight w:val="cyan"/>
          <w:u w:val="single"/>
        </w:rPr>
        <w:t>of</w:t>
      </w:r>
      <w:r w:rsidRPr="003F2416">
        <w:rPr>
          <w:rFonts w:asciiTheme="minorHAnsi" w:eastAsia="Calibri" w:hAnsiTheme="minorHAnsi" w:cstheme="minorHAnsi"/>
          <w:b/>
          <w:u w:val="single"/>
        </w:rPr>
        <w:t xml:space="preserve"> biological r</w:t>
      </w:r>
      <w:r w:rsidRPr="003F2416">
        <w:rPr>
          <w:rFonts w:asciiTheme="minorHAnsi" w:eastAsia="Calibri" w:hAnsiTheme="minorHAnsi" w:cstheme="minorHAnsi"/>
          <w:b/>
          <w:highlight w:val="cyan"/>
          <w:u w:val="single"/>
        </w:rPr>
        <w:t>eproductio</w:t>
      </w:r>
      <w:r w:rsidRPr="003F2416">
        <w:rPr>
          <w:rFonts w:asciiTheme="minorHAnsi" w:eastAsia="Calibri" w:hAnsiTheme="minorHAnsi" w:cstheme="minorHAnsi"/>
          <w:b/>
          <w:u w:val="single"/>
        </w:rPr>
        <w:t>n, community protection, and violence that function to differentiate and reify masculine and feminine roles</w:t>
      </w:r>
      <w:r w:rsidRPr="003F2416">
        <w:rPr>
          <w:rFonts w:asciiTheme="minorHAnsi" w:hAnsiTheme="minorHAnsi" w:cstheme="minorHAnsi"/>
          <w:sz w:val="16"/>
          <w:szCs w:val="16"/>
        </w:rPr>
        <w:t xml:space="preserve"> in the putative de-colonial future. Overall, my central claim is that extinction is a core trope through which settler futurity emerges, one </w:t>
      </w:r>
      <w:r w:rsidRPr="003F2416">
        <w:rPr>
          <w:rFonts w:asciiTheme="minorHAnsi" w:eastAsia="Calibri" w:hAnsiTheme="minorHAnsi" w:cstheme="minorHAnsi"/>
          <w:b/>
          <w:u w:val="single"/>
        </w:rPr>
        <w:t>with crucial narrative and ideological effects that shape</w:t>
      </w:r>
      <w:r w:rsidRPr="003F2416">
        <w:rPr>
          <w:rFonts w:asciiTheme="minorHAnsi" w:hAnsiTheme="minorHAnsi" w:cstheme="minorHAnsi"/>
          <w:sz w:val="16"/>
          <w:szCs w:val="16"/>
        </w:rPr>
        <w:t xml:space="preserve"> much of the contemporary </w:t>
      </w:r>
      <w:r w:rsidRPr="003F2416">
        <w:rPr>
          <w:rFonts w:asciiTheme="minorHAnsi" w:eastAsia="Calibri" w:hAnsiTheme="minorHAnsi" w:cstheme="minorHAnsi"/>
          <w:b/>
          <w:u w:val="single"/>
        </w:rPr>
        <w:t>literature emerging from white colonial settings.</w:t>
      </w:r>
    </w:p>
    <w:p w14:paraId="24565F36" w14:textId="77777777" w:rsidR="00D730A0" w:rsidRPr="00B82D2B" w:rsidRDefault="00D730A0" w:rsidP="00D730A0">
      <w:pPr>
        <w:rPr>
          <w:rStyle w:val="Emphasis"/>
        </w:rPr>
      </w:pPr>
    </w:p>
    <w:p w14:paraId="10A11199" w14:textId="77777777" w:rsidR="00D730A0" w:rsidRDefault="00D730A0" w:rsidP="00D730A0">
      <w:pPr>
        <w:pStyle w:val="Heading4"/>
      </w:pPr>
      <w:r>
        <w:t xml:space="preserve">Settler Colonialism constitutes the processes of </w:t>
      </w:r>
      <w:r w:rsidRPr="00794038">
        <w:rPr>
          <w:u w:val="single"/>
        </w:rPr>
        <w:t>unequal</w:t>
      </w:r>
      <w:r>
        <w:t xml:space="preserve"> health care and medicine for indigenous bodies – their use of the state to “solve global health inequality” ignores the disparities natives face in health care and legitimatizes the </w:t>
      </w:r>
      <w:proofErr w:type="spellStart"/>
      <w:r>
        <w:t>states</w:t>
      </w:r>
      <w:proofErr w:type="spellEnd"/>
      <w:r>
        <w:t xml:space="preserve"> power over health care</w:t>
      </w:r>
    </w:p>
    <w:p w14:paraId="0E2CD2C8" w14:textId="77777777" w:rsidR="00D730A0" w:rsidRDefault="00D730A0" w:rsidP="00D730A0">
      <w:r w:rsidRPr="00794038">
        <w:rPr>
          <w:rStyle w:val="Style13ptBold"/>
        </w:rPr>
        <w:t>Burnett et al 20</w:t>
      </w:r>
      <w:r>
        <w:t xml:space="preserve"> [Kristin Burnett is part of the Department of Indigenous Studies, Lakehead University, 955 Oliver Road, Thunder Bay, Ontario, P7B 5E1, Canada, Chris Sanders is part of the Department of Sociology, Lakehead University, 955 Oliver Road, Thunder Bay, Ontario, P7B 5E1, Canada, Donna Halperin Is part of the Elizabeth &amp; Thomas Rankin School of Nursing, St. Francis Xavier University, Antigonish, Nova Scotia, Canada Scott Halperin is part of the Division of Infectious Diseases, IWK Health Centre PO Box 9700 5850-5980 University Ave, Halifax, NS B3K 6R8, Canada. “Indigenous Peoples, settler colonialism, and access to health care in rural and northern Ontario” November 2020 </w:t>
      </w:r>
      <w:hyperlink r:id="rId6" w:history="1">
        <w:r w:rsidRPr="00237799">
          <w:rPr>
            <w:rStyle w:val="Hyperlink"/>
          </w:rPr>
          <w:t>https://www.sciencedirect.com/science/article/pii/S1353829220300952#</w:t>
        </w:r>
      </w:hyperlink>
      <w:r>
        <w:t>! //</w:t>
      </w:r>
      <w:proofErr w:type="spellStart"/>
      <w:r>
        <w:t>aaditg</w:t>
      </w:r>
      <w:proofErr w:type="spellEnd"/>
    </w:p>
    <w:p w14:paraId="689EFEF9" w14:textId="77777777" w:rsidR="00D730A0" w:rsidRPr="00B27BA9" w:rsidRDefault="00D730A0" w:rsidP="00D730A0">
      <w:pPr>
        <w:rPr>
          <w:rStyle w:val="Emphasis"/>
        </w:rPr>
      </w:pPr>
      <w:r w:rsidRPr="00D13D74">
        <w:rPr>
          <w:sz w:val="16"/>
        </w:rPr>
        <w:t xml:space="preserve">  1. Introduction Rural and northern communities often face challenges disproportionate to their urban counterparts in accessing health care services (Ontario, 2011, p. 9). This situation is further complicated by social identities related to Indigeneity, race, gender, settler colonialism, age, ability, and sexual identity. Northwestern Ontario is located within the Robinson Superior Treaty and Treaties 3, 5, and 9. There are more than 49 First Nations in this region, 32 of which are only accessible by plane or briefly during the winter by seasonal ice roads, depending upon the duration and temperature of the winter months (Burnett et al., 2015). Looking at northwestern Ontario, we explore how space and place shape the health access and outcomes of Indigenous Peoples as both a function of historical and ongoing relations with the settler state and geography. Northwestern Ontario is a geographic region comprised of multiple rural spaces with important similarities and differences. In this paper, we consider the complicated ways in which notions of rural space operate alongside jurisdictional service boundaries that are rooted in settler colonialism. While elsewhere we have looked at the importance of trust and rapport in vaccination attitudes, in this paper our findings suggest that rural space is a more nuanced concept that requires further </w:t>
      </w:r>
      <w:proofErr w:type="gramStart"/>
      <w:r w:rsidRPr="00D13D74">
        <w:rPr>
          <w:sz w:val="16"/>
        </w:rPr>
        <w:t>exploration.(</w:t>
      </w:r>
      <w:proofErr w:type="gramEnd"/>
      <w:r w:rsidRPr="00D13D74">
        <w:rPr>
          <w:sz w:val="16"/>
        </w:rPr>
        <w:t xml:space="preserve">See Map 1) Map 1 Download : Download high-res image (2MB)Download : Download full-size image Map 1. First Nations in Northern Ontario. The size of northern Ontario, particularly the provincial far north, presents unique challenges </w:t>
      </w:r>
      <w:proofErr w:type="gramStart"/>
      <w:r w:rsidRPr="00D13D74">
        <w:rPr>
          <w:sz w:val="16"/>
        </w:rPr>
        <w:t>in regards to</w:t>
      </w:r>
      <w:proofErr w:type="gramEnd"/>
      <w:r w:rsidRPr="00D13D74">
        <w:rPr>
          <w:sz w:val="16"/>
        </w:rPr>
        <w:t xml:space="preserve"> service delivery and complicates the notion of the urban/rural divide (Northern Policy Institute, 2017; Speer and Jivani, 2017). In northern Ontario, for example</w:t>
      </w:r>
      <w:r w:rsidRPr="00B27BA9">
        <w:rPr>
          <w:rStyle w:val="StyleUnderline"/>
        </w:rPr>
        <w:t xml:space="preserve">, </w:t>
      </w:r>
      <w:r w:rsidRPr="00D13D74">
        <w:rPr>
          <w:rStyle w:val="StyleUnderline"/>
          <w:highlight w:val="cyan"/>
        </w:rPr>
        <w:t>Indigenous Peoples transverse</w:t>
      </w:r>
      <w:r w:rsidRPr="00B27BA9">
        <w:rPr>
          <w:rStyle w:val="StyleUnderline"/>
        </w:rPr>
        <w:t xml:space="preserve"> multiple </w:t>
      </w:r>
      <w:r w:rsidRPr="00D13D74">
        <w:rPr>
          <w:rStyle w:val="StyleUnderline"/>
          <w:highlight w:val="cyan"/>
        </w:rPr>
        <w:t xml:space="preserve">spaces </w:t>
      </w:r>
      <w:r w:rsidRPr="00905DC8">
        <w:rPr>
          <w:rStyle w:val="StyleUnderline"/>
        </w:rPr>
        <w:t>and</w:t>
      </w:r>
      <w:r w:rsidRPr="00B27BA9">
        <w:rPr>
          <w:rStyle w:val="StyleUnderline"/>
        </w:rPr>
        <w:t xml:space="preserve"> boundaries </w:t>
      </w:r>
      <w:r w:rsidRPr="00D13D74">
        <w:rPr>
          <w:rStyle w:val="StyleUnderline"/>
          <w:highlight w:val="cyan"/>
        </w:rPr>
        <w:t>when accessing health care services</w:t>
      </w:r>
      <w:r w:rsidRPr="00B27BA9">
        <w:rPr>
          <w:rStyle w:val="StyleUnderline"/>
        </w:rPr>
        <w:t xml:space="preserve">. </w:t>
      </w:r>
      <w:r w:rsidRPr="00D13D74">
        <w:rPr>
          <w:sz w:val="16"/>
        </w:rPr>
        <w:t xml:space="preserve">Many Indigenous Peoples residing in northern Ontario live on-reserve and off-reserve and often somewhere in-between. In other words, they may live in the city and regularly travel to their home community to visit family, participate in cultural activities, or to pursue land and </w:t>
      </w:r>
      <w:proofErr w:type="gramStart"/>
      <w:r w:rsidRPr="00D13D74">
        <w:rPr>
          <w:sz w:val="16"/>
        </w:rPr>
        <w:t>water based</w:t>
      </w:r>
      <w:proofErr w:type="gramEnd"/>
      <w:r w:rsidRPr="00D13D74">
        <w:rPr>
          <w:sz w:val="16"/>
        </w:rPr>
        <w:t xml:space="preserve"> food procurement activities. Some reserves/First Nations1 are located adjacent to or nearby cities or small municipalities that are scattered throughout northern Ontario. </w:t>
      </w:r>
      <w:r w:rsidRPr="00905DC8">
        <w:rPr>
          <w:rStyle w:val="StyleUnderline"/>
        </w:rPr>
        <w:t xml:space="preserve">Other </w:t>
      </w:r>
      <w:r w:rsidRPr="00D13D74">
        <w:rPr>
          <w:rStyle w:val="StyleUnderline"/>
          <w:highlight w:val="cyan"/>
        </w:rPr>
        <w:t xml:space="preserve">reserves </w:t>
      </w:r>
      <w:r w:rsidRPr="00905DC8">
        <w:rPr>
          <w:rStyle w:val="StyleUnderline"/>
        </w:rPr>
        <w:t xml:space="preserve">are </w:t>
      </w:r>
      <w:r w:rsidRPr="00D13D74">
        <w:rPr>
          <w:rStyle w:val="StyleUnderline"/>
          <w:highlight w:val="cyan"/>
        </w:rPr>
        <w:t>located further from urban spaces</w:t>
      </w:r>
      <w:r w:rsidRPr="00B27BA9">
        <w:rPr>
          <w:rStyle w:val="StyleUnderline"/>
        </w:rPr>
        <w:t xml:space="preserve"> but are still connected by all-season roads. For some community members, these distances pose insurmountable barriers because they do not have regular and reliable access to transportation. This is increasingly true, for instance, with the cessation of Greyhound Lines bus services to rural and northern areas in Canada (Lambert and </w:t>
      </w:r>
      <w:proofErr w:type="spellStart"/>
      <w:r w:rsidRPr="00B27BA9">
        <w:rPr>
          <w:rStyle w:val="StyleUnderline"/>
        </w:rPr>
        <w:t>Graveland</w:t>
      </w:r>
      <w:proofErr w:type="spellEnd"/>
      <w:r w:rsidRPr="00B27BA9">
        <w:rPr>
          <w:rStyle w:val="StyleUnderline"/>
        </w:rPr>
        <w:t>, 2018).</w:t>
      </w:r>
      <w:r>
        <w:rPr>
          <w:rStyle w:val="StyleUnderline"/>
        </w:rPr>
        <w:t xml:space="preserve"> </w:t>
      </w:r>
      <w:r w:rsidRPr="00D13D74">
        <w:rPr>
          <w:rStyle w:val="Emphasis"/>
        </w:rPr>
        <w:t>Understa</w:t>
      </w:r>
      <w:r w:rsidRPr="00B27BA9">
        <w:rPr>
          <w:rStyle w:val="Emphasis"/>
        </w:rPr>
        <w:t xml:space="preserve">nding the </w:t>
      </w:r>
      <w:r w:rsidRPr="00D13D74">
        <w:rPr>
          <w:rStyle w:val="Emphasis"/>
          <w:highlight w:val="cyan"/>
        </w:rPr>
        <w:t>complicated intersection of structural barriers, space, and settler colonialism is essential to identifying the ways in which systems of oppression operate</w:t>
      </w:r>
      <w:r w:rsidRPr="00B27BA9">
        <w:rPr>
          <w:rStyle w:val="Emphasis"/>
        </w:rPr>
        <w:t xml:space="preserve">, specifically </w:t>
      </w:r>
      <w:r w:rsidRPr="00D13D74">
        <w:rPr>
          <w:rStyle w:val="Emphasis"/>
          <w:highlight w:val="cyan"/>
        </w:rPr>
        <w:t>through health care provision</w:t>
      </w:r>
      <w:r w:rsidRPr="00D13D74">
        <w:rPr>
          <w:sz w:val="16"/>
          <w:highlight w:val="cyan"/>
        </w:rPr>
        <w:t>.</w:t>
      </w:r>
      <w:r w:rsidRPr="00D13D74">
        <w:rPr>
          <w:sz w:val="16"/>
        </w:rPr>
        <w:t xml:space="preserve"> This paper explores three notions of rural space (urban-rural spaces, fly-in/remote spaces, and mid-range spaces) and argue that living in a mid-range First Nation that lies in relative close proximity (within 20–30 min' drive) to a northern urban area and its health services complicates notions of “rurality” and has implications regarding access to health care generally, and relationships with health care practitioners and continuity of care specifically. </w:t>
      </w:r>
      <w:r w:rsidRPr="00B27BA9">
        <w:rPr>
          <w:rStyle w:val="Emphasis"/>
        </w:rPr>
        <w:t xml:space="preserve">Drawing on research into Indigenous People's beliefs regarding vaccination, we explore understandings of rurality to illuminate the ways in which space and </w:t>
      </w:r>
      <w:r w:rsidRPr="00D13D74">
        <w:rPr>
          <w:rStyle w:val="Emphasis"/>
          <w:highlight w:val="cyan"/>
        </w:rPr>
        <w:t>settler colonialism both shape and limit choices around health care</w:t>
      </w:r>
      <w:r w:rsidRPr="00B27BA9">
        <w:rPr>
          <w:rStyle w:val="Emphasis"/>
        </w:rPr>
        <w:t xml:space="preserve"> access and attitudes toward vaccines and immunization. Significantly, given the ways in which anti-Indigenous racism and settler colonialism operate in northern urban spaces</w:t>
      </w:r>
      <w:r w:rsidRPr="00D13D74">
        <w:rPr>
          <w:sz w:val="16"/>
        </w:rPr>
        <w:t xml:space="preserve">, First Nations (reserves) communities situated in a uniquely rural space (mid-range) with proximity to urban space have the potential to provide security, safety, and continuity of care that is frequently unavailable in either urban-rural spaces or remote/fly-in locales. As white settler2 scholars, </w:t>
      </w:r>
      <w:r w:rsidRPr="00B27BA9">
        <w:rPr>
          <w:rStyle w:val="Emphasis"/>
        </w:rPr>
        <w:t>we feel it is imperative that we actively engage in the ‘unsettling’ and uncomfortable work of decolonization by identifying those structures and systems of power that privilege non-Indigenous peoples by making visible the “</w:t>
      </w:r>
      <w:proofErr w:type="spellStart"/>
      <w:r w:rsidRPr="00B27BA9">
        <w:rPr>
          <w:rStyle w:val="Emphasis"/>
        </w:rPr>
        <w:t>invisibilized</w:t>
      </w:r>
      <w:proofErr w:type="spellEnd"/>
      <w:r w:rsidRPr="00B27BA9">
        <w:rPr>
          <w:rStyle w:val="Emphasis"/>
        </w:rPr>
        <w:t xml:space="preserve"> dynamics of settler colonialism</w:t>
      </w:r>
      <w:r w:rsidRPr="00D13D74">
        <w:rPr>
          <w:sz w:val="16"/>
        </w:rPr>
        <w:t xml:space="preserve">” (Tuck and Yang, 2012) </w:t>
      </w:r>
      <w:r w:rsidRPr="00B27BA9">
        <w:rPr>
          <w:rStyle w:val="Emphasis"/>
        </w:rPr>
        <w:t>that maintain the current status quo</w:t>
      </w:r>
      <w:r w:rsidRPr="00D13D74">
        <w:rPr>
          <w:sz w:val="16"/>
        </w:rPr>
        <w:t xml:space="preserve">. </w:t>
      </w:r>
      <w:proofErr w:type="gramStart"/>
      <w:r w:rsidRPr="00D13D74">
        <w:rPr>
          <w:sz w:val="16"/>
        </w:rPr>
        <w:t>In order to</w:t>
      </w:r>
      <w:proofErr w:type="gramEnd"/>
      <w:r w:rsidRPr="00D13D74">
        <w:rPr>
          <w:sz w:val="16"/>
        </w:rPr>
        <w:t xml:space="preserve"> undertake this work, we need to know and understand local contexts and histories so that we can recognize the unique ways in which space and colonialism operate in northern Ontario. 1.1. Defining rural and the Northern Ontario Context There is no one accepted definition of what constitutes “rural</w:t>
      </w:r>
      <w:proofErr w:type="gramStart"/>
      <w:r w:rsidRPr="00D13D74">
        <w:rPr>
          <w:sz w:val="16"/>
        </w:rPr>
        <w:t>”</w:t>
      </w:r>
      <w:proofErr w:type="gramEnd"/>
      <w:r w:rsidRPr="00D13D74">
        <w:rPr>
          <w:sz w:val="16"/>
        </w:rPr>
        <w:t xml:space="preserve"> and it shifts from region to region and dramatically within countries as well. For instance, the United States' government currently employs more than 15 different definitions across various federal programs due to state and federal jurisdictional policies (Coburn et al., 2007). While there is no definitive definition of rural especially within the health literature, most definitions locate notions of rural within two interrelated categories: proximity to an urban area of a certain population size and the distance required to travel to access necessary services and resources like health care (e.g., Bourke et al., 2013; Burns et al., 2007; Gessert et al., 2015; Kulig and Williams, 2012). Statistics Canada employs an extremely broad definition of rural noting that it includes “all territory [</w:t>
      </w:r>
      <w:proofErr w:type="spellStart"/>
      <w:r w:rsidRPr="00D13D74">
        <w:rPr>
          <w:sz w:val="16"/>
        </w:rPr>
        <w:t>ies</w:t>
      </w:r>
      <w:proofErr w:type="spellEnd"/>
      <w:r w:rsidRPr="00D13D74">
        <w:rPr>
          <w:sz w:val="16"/>
        </w:rPr>
        <w:t xml:space="preserve">] lying outside population centers” (Statistics Canada, 2017), with populations centers varying enormously in size with the smallest no less than 1000 people. A definition of rural and community more specific to northern Ontario and relevant to the ways in which health care services are organized and understood was generated by Ontario's Ministry of Health and Long-term Care in 2011 describing rural communities as those “with a population of less than 30,000 that are greater than 30 min away in travel time from a community with a population of more than 30,000 (Ontario, 2011, p. 8). In other words, understandings of rurality rely on a relational definition that constitutes place in connection to urban space (broadly defined) and what kinds of services are available. It should be noted that these definitions, while demonstrably affecting the lives and well-being of Indigenous Peoples, do not consider Anishinaabe understandings of and relationships to land, place, and community. More conventional definitions of urban include high population densities, multiple lane highways, and tall buildings (Jacquin and Gay, 2008). The urban north would not meet these expectations. For instance, Thunder Bay (pop. 110,000), the largest city in northern Ontario, does not fall within those understandings, and the regular presence of wildlife like bears and moose in the middle of the city is unfathomable for many individuals living in more southern and urban regions of the country. Nevertheless, Thunder Bay operates as a service </w:t>
      </w:r>
      <w:proofErr w:type="spellStart"/>
      <w:r w:rsidRPr="00D13D74">
        <w:rPr>
          <w:sz w:val="16"/>
        </w:rPr>
        <w:t>centre</w:t>
      </w:r>
      <w:proofErr w:type="spellEnd"/>
      <w:r w:rsidRPr="00D13D74">
        <w:rPr>
          <w:sz w:val="16"/>
        </w:rPr>
        <w:t xml:space="preserve"> for more than 49 First Nations in northwestern Ontario where people regularly travel to access health care, education, and goods and services unavailable elsewhere in the region. Further complicating these understandings of space is the history of the region and relations, both formal and informal, between Indigenous Peoples and the state. </w:t>
      </w:r>
      <w:r w:rsidRPr="00D13D74">
        <w:rPr>
          <w:rStyle w:val="StyleUnderline"/>
        </w:rPr>
        <w:t xml:space="preserve">For example, the ways in which, and spaces that </w:t>
      </w:r>
      <w:r w:rsidRPr="00D13D74">
        <w:rPr>
          <w:rStyle w:val="StyleUnderline"/>
          <w:highlight w:val="cyan"/>
        </w:rPr>
        <w:t>Indigenous Peoples, especially</w:t>
      </w:r>
      <w:r w:rsidRPr="00D13D74">
        <w:rPr>
          <w:rStyle w:val="StyleUnderline"/>
        </w:rPr>
        <w:t xml:space="preserve"> status </w:t>
      </w:r>
      <w:r w:rsidRPr="00D13D74">
        <w:rPr>
          <w:rStyle w:val="StyleUnderline"/>
          <w:highlight w:val="cyan"/>
        </w:rPr>
        <w:t xml:space="preserve">Indians, can access health care is determined by </w:t>
      </w:r>
      <w:r w:rsidRPr="00D13D74">
        <w:rPr>
          <w:rStyle w:val="StyleUnderline"/>
        </w:rPr>
        <w:t xml:space="preserve">jurisdictional boundaries rooted in the British North American Act (BNA) of 1867. According to Sections 91 and 92 of the 1867 BNA Act, “Indians and all lands reserved for Indians” lie under the exclusive jurisdiction of </w:t>
      </w:r>
      <w:r w:rsidRPr="00D13D74">
        <w:rPr>
          <w:rStyle w:val="StyleUnderline"/>
          <w:highlight w:val="cyan"/>
        </w:rPr>
        <w:t>the federal government</w:t>
      </w:r>
      <w:r w:rsidRPr="00D13D74">
        <w:rPr>
          <w:rStyle w:val="StyleUnderline"/>
        </w:rPr>
        <w:t xml:space="preserve"> while health care, infrastructure (roads, bridges, drinking water, sewage facilities, schools, airports), education, and child welfare all fall under provincial jurisdiction. Thus, provinces are responsible for the day-to-day provision of health services and infrastructure except </w:t>
      </w:r>
      <w:proofErr w:type="gramStart"/>
      <w:r w:rsidRPr="00D13D74">
        <w:rPr>
          <w:rStyle w:val="StyleUnderline"/>
        </w:rPr>
        <w:t>in regards to</w:t>
      </w:r>
      <w:proofErr w:type="gramEnd"/>
      <w:r w:rsidRPr="00D13D74">
        <w:rPr>
          <w:rStyle w:val="StyleUnderline"/>
        </w:rPr>
        <w:t xml:space="preserve"> Indigenous People</w:t>
      </w:r>
      <w:r w:rsidRPr="00D13D74">
        <w:rPr>
          <w:sz w:val="16"/>
        </w:rPr>
        <w:t xml:space="preserve">, and more specifically “status Indians” (as per the legal definition). According to the federal government of Canada (Government of Canada, 2017), “Indian status is the legal status of a person who is registered as an Indian under the Indian Act.” Indian status is defined under section 6 of the Indian Act. Therefore, according to the BNA Act, ‘Indians’ are the responsibility of the federal government and thus not entitled to health care services from provincial governments. </w:t>
      </w:r>
      <w:r w:rsidRPr="00D13D74">
        <w:rPr>
          <w:rStyle w:val="Emphasis"/>
          <w:highlight w:val="cyan"/>
        </w:rPr>
        <w:t>While the 1960s witnessed the federal government negotiate</w:t>
      </w:r>
      <w:r w:rsidRPr="00D13D74">
        <w:rPr>
          <w:rStyle w:val="Emphasis"/>
        </w:rPr>
        <w:t xml:space="preserve"> access for Indigenous Peoples to provincial health care and social services through a series of inter-governmental funding agreements</w:t>
      </w:r>
      <w:r w:rsidRPr="00D13D74">
        <w:rPr>
          <w:rStyle w:val="Emphasis"/>
          <w:highlight w:val="cyan"/>
        </w:rPr>
        <w:t>, this process remains flawed</w:t>
      </w:r>
      <w:r w:rsidRPr="00D13D74">
        <w:rPr>
          <w:rStyle w:val="Emphasis"/>
        </w:rPr>
        <w:t>. In spite of human rights challenges, court rulings, the passage of Jordan's Principle obligating the state to provide the same level of health care available to non-Indigenous children in Canada, and Article 24 of the United Nations Declaration on the Rights of Indigenous Peoples, which states “Indigenous individuals have the right to access without any discrimination, to all social and health services” (UNDRIP</w:t>
      </w:r>
      <w:r w:rsidRPr="00D13D74">
        <w:rPr>
          <w:rStyle w:val="Emphasis"/>
          <w:highlight w:val="cyan"/>
        </w:rPr>
        <w:t>), health care on reserve remains a patchwork of systems</w:t>
      </w:r>
      <w:r w:rsidRPr="00D13D74">
        <w:rPr>
          <w:rStyle w:val="Emphasis"/>
        </w:rPr>
        <w:t xml:space="preserve"> pieced together by the First Nation and Health Canada in combination with provincial health services</w:t>
      </w:r>
      <w:r w:rsidRPr="00D13D74">
        <w:rPr>
          <w:sz w:val="16"/>
        </w:rPr>
        <w:t xml:space="preserve">. Co-existing alongside the provincial hospital systems </w:t>
      </w:r>
      <w:proofErr w:type="gramStart"/>
      <w:r w:rsidRPr="00D13D74">
        <w:rPr>
          <w:sz w:val="16"/>
        </w:rPr>
        <w:t>in regards to</w:t>
      </w:r>
      <w:proofErr w:type="gramEnd"/>
      <w:r w:rsidRPr="00D13D74">
        <w:rPr>
          <w:sz w:val="16"/>
        </w:rPr>
        <w:t xml:space="preserve"> the delivery of health care are federally funded on-reserve nursing stations/health centers, nurses, community health representatives, and itinerant doctors. Increasingly, especially for northern fly-in communities, frequent evacuations for extended periods of time to provincially run hospitals in more southern and urban locales have become the norm for a growing list of health services. </w:t>
      </w:r>
      <w:r w:rsidRPr="00B27BA9">
        <w:rPr>
          <w:rStyle w:val="StyleUnderline"/>
        </w:rPr>
        <w:t>The health disparities that exist in Canada between Indigenous and non-Indigenous populations are well documented</w:t>
      </w:r>
      <w:r w:rsidRPr="00D13D74">
        <w:rPr>
          <w:sz w:val="16"/>
        </w:rPr>
        <w:t xml:space="preserve"> (see, for example, Allan and Smylie, 2015; Mitrou et al., 2014; </w:t>
      </w:r>
      <w:proofErr w:type="spellStart"/>
      <w:r w:rsidRPr="00D13D74">
        <w:rPr>
          <w:sz w:val="16"/>
        </w:rPr>
        <w:t>Palmater</w:t>
      </w:r>
      <w:proofErr w:type="spellEnd"/>
      <w:r w:rsidRPr="00D13D74">
        <w:rPr>
          <w:sz w:val="16"/>
        </w:rPr>
        <w:t xml:space="preserve">, 2011; Patrick, 2011). More recently </w:t>
      </w:r>
      <w:r w:rsidRPr="00B27BA9">
        <w:rPr>
          <w:rStyle w:val="StyleUnderline"/>
        </w:rPr>
        <w:t>these disparities were highlighted in a report issued by the Auditor General of Canada in Spring (2015) which noted Indigenous People living in remote communities in northern Ontario did not have “comparable access to clinical and client care services as other provincial residents living in similar geographic locations</w:t>
      </w:r>
      <w:r w:rsidRPr="00D13D74">
        <w:rPr>
          <w:sz w:val="16"/>
        </w:rPr>
        <w:t xml:space="preserve">” (Auditor General, 2015, 27). </w:t>
      </w:r>
      <w:r w:rsidRPr="00B27BA9">
        <w:rPr>
          <w:rStyle w:val="Emphasis"/>
        </w:rPr>
        <w:t xml:space="preserve">Those First Nations that face the greatest challenges accessing services are reserves located in the far provincial north that do not have all-season road access. In short, the </w:t>
      </w:r>
      <w:r w:rsidRPr="00D13D74">
        <w:rPr>
          <w:rStyle w:val="Emphasis"/>
          <w:highlight w:val="cyan"/>
        </w:rPr>
        <w:t>notion of rural space is complicated by federal/provincial jurisdictions regarding the governance of health</w:t>
      </w:r>
      <w:r w:rsidRPr="00B27BA9">
        <w:rPr>
          <w:rStyle w:val="Emphasis"/>
        </w:rPr>
        <w:t xml:space="preserve"> care and of “Indian status</w:t>
      </w:r>
      <w:r w:rsidRPr="00D13D74">
        <w:rPr>
          <w:sz w:val="16"/>
        </w:rPr>
        <w:t xml:space="preserve">.” As a result of all these factors, contemporary on-reserve health care lacks uniformity and consistency in provision and quality. The geographic spaces that these communities occupy, compounded by jurisdictional responsibilities for health care, demonstrably affects the access of Indigenous Peoples to services. In the findings below, we further explore the nuanced meanings of rurality in northern Ontario with respect to urban-rural, fly-in/remote, and mid-ranges spaces and in turn the ways in which those spaces shape access to health care, relationships with health care practitioners, and continuity of care. 2. Methods The data used for this paper are part of a larger project exploring attitudes and beliefs about vaccination in general and </w:t>
      </w:r>
      <w:proofErr w:type="spellStart"/>
      <w:r w:rsidRPr="00D13D74">
        <w:rPr>
          <w:sz w:val="16"/>
        </w:rPr>
        <w:t>Haemophilus</w:t>
      </w:r>
      <w:proofErr w:type="spellEnd"/>
      <w:r w:rsidRPr="00D13D74">
        <w:rPr>
          <w:sz w:val="16"/>
        </w:rPr>
        <w:t xml:space="preserve"> influenzae type a (</w:t>
      </w:r>
      <w:proofErr w:type="spellStart"/>
      <w:r w:rsidRPr="00D13D74">
        <w:rPr>
          <w:sz w:val="16"/>
        </w:rPr>
        <w:t>Hia</w:t>
      </w:r>
      <w:proofErr w:type="spellEnd"/>
      <w:r w:rsidRPr="00D13D74">
        <w:rPr>
          <w:sz w:val="16"/>
        </w:rPr>
        <w:t xml:space="preserve">) infection and </w:t>
      </w:r>
      <w:proofErr w:type="gramStart"/>
      <w:r w:rsidRPr="00D13D74">
        <w:rPr>
          <w:sz w:val="16"/>
        </w:rPr>
        <w:t>vaccine in particular</w:t>
      </w:r>
      <w:proofErr w:type="gramEnd"/>
      <w:r w:rsidRPr="00D13D74">
        <w:rPr>
          <w:sz w:val="16"/>
        </w:rPr>
        <w:t xml:space="preserve">. Over the last decade, invasive </w:t>
      </w:r>
      <w:proofErr w:type="spellStart"/>
      <w:r w:rsidRPr="00D13D74">
        <w:rPr>
          <w:sz w:val="16"/>
        </w:rPr>
        <w:t>Haemophilus</w:t>
      </w:r>
      <w:proofErr w:type="spellEnd"/>
      <w:r w:rsidRPr="00D13D74">
        <w:rPr>
          <w:sz w:val="16"/>
        </w:rPr>
        <w:t xml:space="preserve"> influenzae type a (</w:t>
      </w:r>
      <w:proofErr w:type="spellStart"/>
      <w:r w:rsidRPr="00D13D74">
        <w:rPr>
          <w:sz w:val="16"/>
        </w:rPr>
        <w:t>Hia</w:t>
      </w:r>
      <w:proofErr w:type="spellEnd"/>
      <w:r w:rsidRPr="00D13D74">
        <w:rPr>
          <w:sz w:val="16"/>
        </w:rPr>
        <w:t xml:space="preserve">) infection has emerged as a leading cause of morbidity and mortality in Indigenous communities in northern Canada. </w:t>
      </w:r>
      <w:proofErr w:type="spellStart"/>
      <w:r w:rsidRPr="00D13D74">
        <w:rPr>
          <w:sz w:val="16"/>
        </w:rPr>
        <w:t>Hia</w:t>
      </w:r>
      <w:proofErr w:type="spellEnd"/>
      <w:r w:rsidRPr="00D13D74">
        <w:rPr>
          <w:sz w:val="16"/>
        </w:rPr>
        <w:t xml:space="preserve"> is a particularly pernicious disease with most cases occurring in young children, with manifestations including meningitis, septicemia, septic arthritis, and </w:t>
      </w:r>
      <w:proofErr w:type="spellStart"/>
      <w:r w:rsidRPr="00D13D74">
        <w:rPr>
          <w:sz w:val="16"/>
        </w:rPr>
        <w:t>bacteremic</w:t>
      </w:r>
      <w:proofErr w:type="spellEnd"/>
      <w:r w:rsidRPr="00D13D74">
        <w:rPr>
          <w:sz w:val="16"/>
        </w:rPr>
        <w:t xml:space="preserve"> pneumonia (Boisvert and Moore, 2015; </w:t>
      </w:r>
      <w:proofErr w:type="spellStart"/>
      <w:r w:rsidRPr="00D13D74">
        <w:rPr>
          <w:sz w:val="16"/>
        </w:rPr>
        <w:t>Jin</w:t>
      </w:r>
      <w:proofErr w:type="spellEnd"/>
      <w:r w:rsidRPr="00D13D74">
        <w:rPr>
          <w:sz w:val="16"/>
        </w:rPr>
        <w:t xml:space="preserve"> et al., 2007). The data set reported on here come from individual interviews with healthcare service providers (N = 14), ten focus group interviews with community members (N = 72), and field notes taken by the lead researchers (KB, CS) following all individual interviews and focus groups. Data were collected between February 2017 and July 2019 in Thunder Bay, Sioux Lookout, 4 road-access communities within a 6-h drive of both cities, and 5 fly-in communities that use Sioux Lookout as a service hub. 2.1. Community engagement and recruitment We began this project by engaging with Indigenous health organizations and service providers, as well as community leaders and members in the region so that the questions we </w:t>
      </w:r>
      <w:r w:rsidRPr="00B27BA9">
        <w:rPr>
          <w:rStyle w:val="Emphasis"/>
        </w:rPr>
        <w:t xml:space="preserve">asked gathered information that was useful to Indigenous </w:t>
      </w:r>
      <w:proofErr w:type="gramStart"/>
      <w:r w:rsidRPr="00B27BA9">
        <w:rPr>
          <w:rStyle w:val="Emphasis"/>
        </w:rPr>
        <w:t>Peoples, and</w:t>
      </w:r>
      <w:proofErr w:type="gramEnd"/>
      <w:r w:rsidRPr="00B27BA9">
        <w:rPr>
          <w:rStyle w:val="Emphasis"/>
        </w:rPr>
        <w:t xml:space="preserve"> did not continue to perpetuate colonial relationships devoid of reciprocity and respect (Smith, 2012). </w:t>
      </w:r>
      <w:r w:rsidRPr="00D13D74">
        <w:rPr>
          <w:sz w:val="16"/>
        </w:rPr>
        <w:t xml:space="preserve">These conversations quickly revealed that despite being an important health issue in the region, </w:t>
      </w:r>
      <w:r w:rsidRPr="00B27BA9">
        <w:rPr>
          <w:rStyle w:val="Emphasis"/>
        </w:rPr>
        <w:t xml:space="preserve">there was little to no knowledge about </w:t>
      </w:r>
      <w:proofErr w:type="spellStart"/>
      <w:r w:rsidRPr="00B27BA9">
        <w:rPr>
          <w:rStyle w:val="Emphasis"/>
        </w:rPr>
        <w:t>Hia</w:t>
      </w:r>
      <w:proofErr w:type="spellEnd"/>
      <w:r w:rsidRPr="00B27BA9">
        <w:rPr>
          <w:rStyle w:val="Emphasis"/>
        </w:rPr>
        <w:t xml:space="preserve"> except among select health care provider participants</w:t>
      </w:r>
      <w:r w:rsidRPr="00D13D74">
        <w:rPr>
          <w:sz w:val="16"/>
        </w:rPr>
        <w:t xml:space="preserve">. Significantly, attitudes towards vaccines and immunization practices were more complicated than acceptance or </w:t>
      </w:r>
      <w:proofErr w:type="gramStart"/>
      <w:r w:rsidRPr="00D13D74">
        <w:rPr>
          <w:sz w:val="16"/>
        </w:rPr>
        <w:t>refusal, and</w:t>
      </w:r>
      <w:proofErr w:type="gramEnd"/>
      <w:r w:rsidRPr="00D13D74">
        <w:rPr>
          <w:sz w:val="16"/>
        </w:rPr>
        <w:t xml:space="preserve"> needed to be considered within a complex web of historical and ongoing structural violence and settler colonialism. </w:t>
      </w:r>
      <w:r w:rsidRPr="00B27BA9">
        <w:rPr>
          <w:rStyle w:val="Emphasis"/>
        </w:rPr>
        <w:t>As a result, questions that initially focused on knowledge about and attitudes towards vaccines and vaccine schedules, shifted to include broader conversations about trust and respect</w:t>
      </w:r>
      <w:r w:rsidRPr="00D13D74">
        <w:rPr>
          <w:sz w:val="16"/>
        </w:rPr>
        <w:t>. Conversations with community members centered on the importance of strong relationships of accountability in both the research process and in health care systems, more broadly (Wilson, 2008). As settler scholars, and to ensure we approached this work from an ethical research space, it was most appropriate for us to draw on a two-eyed seeing framework to avoid appropriating or claiming to speak from an Ingenious perspective. Using a two-eyed seeing framework allowed us to explore how multiple and diverse perspectives could work together to “answer [the most] pressing questions about the health of Indigenous peoples and communities,” (Martin, 2012, 22). Our objective was to privilege the knowledge and perspectives of Indigenous Peoples and avoid an extractive research process that removed Indigenous experiences from their immediate contexts (Gaudry, 2011). We held sharing circles (</w:t>
      </w:r>
      <w:proofErr w:type="gramStart"/>
      <w:r w:rsidRPr="00D13D74">
        <w:rPr>
          <w:sz w:val="16"/>
        </w:rPr>
        <w:t>similar to</w:t>
      </w:r>
      <w:proofErr w:type="gramEnd"/>
      <w:r w:rsidRPr="00D13D74">
        <w:rPr>
          <w:sz w:val="16"/>
        </w:rPr>
        <w:t xml:space="preserve"> focus groups) and open one-on-one conversations with community members. Community members guided the conversations so that they determined what was most relevant and important to them. Listening to and centering the stories that were shared with us, inverted the extractive processes of research. This approach is consistent with the Two-eyed seeing methodological framework (Kovach, 2009; Smith, 2012). Two community research assistants with previous experience assisted with recruitment, data collection, and analysis worked with us. Multiple recruitment strategies were used </w:t>
      </w:r>
      <w:proofErr w:type="gramStart"/>
      <w:r w:rsidRPr="00D13D74">
        <w:rPr>
          <w:sz w:val="16"/>
        </w:rPr>
        <w:t>in order to</w:t>
      </w:r>
      <w:proofErr w:type="gramEnd"/>
      <w:r w:rsidRPr="00D13D74">
        <w:rPr>
          <w:sz w:val="16"/>
        </w:rPr>
        <w:t xml:space="preserve"> access a range of perspectives on vaccines and immunization. First, the researchers used a snowball sampling approach to recruit healthcare service providers in the region with relevant expertise but who were not limited to our professional network (Patton, 2015). We began by reaching out to our professional network to seek participants for individual interviews and then asked those who participated in individual interviews to notify other healthcare providers with relevant expertise in northwestern Ontario to contact us if they were interested in participating in an interview. Second, community research assistants used a variety of strategies to recruit Indigenous community members living in northwestern Ontario for focus group interviews. These strategies included advertising on social media, approaching Chief and Council, and reaching out to friendship networks and service users. Additionally, a purposive sampling strategy was used to recruit parents with young children and people who had lived on reserve at some point in their lives. We sought to recruit these individuals </w:t>
      </w:r>
      <w:proofErr w:type="gramStart"/>
      <w:r w:rsidRPr="00D13D74">
        <w:rPr>
          <w:sz w:val="16"/>
        </w:rPr>
        <w:t>in particular for</w:t>
      </w:r>
      <w:proofErr w:type="gramEnd"/>
      <w:r w:rsidRPr="00D13D74">
        <w:rPr>
          <w:sz w:val="16"/>
        </w:rPr>
        <w:t xml:space="preserve"> their perspectives on and experiences accessing healthcare services on and off reserve and because people with young children were likely to have recently been approached about vaccines and immunizations from a variety of sources (Patton, 2015). 2.2. Individual and focus group interview procedures Similar interview guides were created for individual interviews and focus group interviews; both guides were semi-structured. For individual interviews with healthcare service providers, questions were organized around knowledge, beliefs, and values as well as provider expertise and practices regarding </w:t>
      </w:r>
      <w:proofErr w:type="spellStart"/>
      <w:r w:rsidRPr="00D13D74">
        <w:rPr>
          <w:sz w:val="16"/>
        </w:rPr>
        <w:t>Hia</w:t>
      </w:r>
      <w:proofErr w:type="spellEnd"/>
      <w:r w:rsidRPr="00D13D74">
        <w:rPr>
          <w:sz w:val="16"/>
        </w:rPr>
        <w:t xml:space="preserve">, vaccines in general, and experiences providing immunizations with northern and rural communities. For focus groups, we developed an initial interview guide in consultation with our community researchers who aided us in the phrasing and to ensure the questions were culturally sensitive (Krueger and Casey, 2014). The research assistants attended focus groups and the individual interviews were conducted in pairs. Following focus groups and interviews, we met with the research assistants to share insights and observations so that we learned from each other. Questions initially focused on knowledge and beliefs about and attitudes toward vaccines, vaccine schedules, and experiences with healthcare institutions and providers. Participants were encouraged to speak from experience and share illustrative examples. Some questions developed organically in response to the concerns, knowledge, and interests of the participants. Accordingly, our interview guides underwent an early revision. For example, we had to readjust our focus regarding </w:t>
      </w:r>
      <w:proofErr w:type="spellStart"/>
      <w:r w:rsidRPr="00D13D74">
        <w:rPr>
          <w:sz w:val="16"/>
        </w:rPr>
        <w:t>Hia</w:t>
      </w:r>
      <w:proofErr w:type="spellEnd"/>
      <w:r w:rsidRPr="00D13D74">
        <w:rPr>
          <w:sz w:val="16"/>
        </w:rPr>
        <w:t xml:space="preserve"> to speak to vaccines more generally because participants had no knowledge, including some health practitioners, of this disease. Furthermore, after the first focus group it became clear that participants also wanted to talk about trust and respect, and we included questions to reflect this community interest. Individual interviews with healthcare service providers were carried out by two researchers (KB, CS). Providers included physicians, nurses working at community health centers and public health units, and community health educators. Individual interviews took place in community settings and workplace offices; some practitioners in remote communities were interviewed by phone. Focus group interviews were conducted by two researchers (KB, CS) with the assistance of community research assistants, who facilitated discussions and encouraged participation. Focus groups ranged in size from 3 to 11 participants were held in community settings (e.g., coffee shops, health centers including hospitals and nursing stations, schools, community centers, and band offices). Focus group participants completed an anonymous demographic questionnaire that asked general questions including age, gender, and whether participants identified as Indigenous and, if so, did they have Indian status. A similar informed consent process was performed for both individual interviews and focus group interviews (e.g., purpose of study, review of risks and benefits, volunteerism, answering questions). Individual interviews with healthcare service providers lasted between 45 to 60 min while focus group interviews with community members lasted between 90 to 120 min. All individual interviews and focus group interviews were audio-recorded and transcribed verbatim. 2.3. Data analysis Transcripts were not returned to focus group participants due to confidentiality concerns; none of the individual interview participants were interested in reviewing their transcripts, instead preferring to receive the </w:t>
      </w:r>
      <w:proofErr w:type="gramStart"/>
      <w:r w:rsidRPr="00D13D74">
        <w:rPr>
          <w:sz w:val="16"/>
        </w:rPr>
        <w:t>final results</w:t>
      </w:r>
      <w:proofErr w:type="gramEnd"/>
      <w:r w:rsidRPr="00D13D74">
        <w:rPr>
          <w:sz w:val="16"/>
        </w:rPr>
        <w:t xml:space="preserve">. We used thematic qualitative analysis to identify key codes or points of interest, interpret them as broader themes, review the themes and organize the analysis, and then report on the findings (Braun and Clarke, 2008; Nowell et al., 2017). We also used MAXQDA qualitative software analysis to code and assist with analyzing transcripts. The software allowed us to organize and manage the data thematically as we had </w:t>
      </w:r>
      <w:proofErr w:type="gramStart"/>
      <w:r w:rsidRPr="00D13D74">
        <w:rPr>
          <w:sz w:val="16"/>
        </w:rPr>
        <w:t>a large number of</w:t>
      </w:r>
      <w:proofErr w:type="gramEnd"/>
      <w:r w:rsidRPr="00D13D74">
        <w:rPr>
          <w:sz w:val="16"/>
        </w:rPr>
        <w:t xml:space="preserve"> participants (over 70). The software also enabled us to compare and ensure that the excerpts we highlighted were consistent with what participants were sharing with us across focus groups. We further confirmed these findings through conversations with </w:t>
      </w:r>
      <w:proofErr w:type="gramStart"/>
      <w:r w:rsidRPr="00D13D74">
        <w:rPr>
          <w:sz w:val="16"/>
        </w:rPr>
        <w:t>our</w:t>
      </w:r>
      <w:proofErr w:type="gramEnd"/>
      <w:r w:rsidRPr="00D13D74">
        <w:rPr>
          <w:sz w:val="16"/>
        </w:rPr>
        <w:t xml:space="preserve"> with community researchers and partners. This was consistent with the two-eyed seeing framework that we used. 2.4. Ethics The direction of the project was guided by conversations with community members and Elders to ensure that our research and research questions responded to concerns identified by Indigenous Peoples and that our relationship was ethical and non-exploitive (Smith, 2012). </w:t>
      </w:r>
      <w:proofErr w:type="gramStart"/>
      <w:r w:rsidRPr="00D13D74">
        <w:rPr>
          <w:sz w:val="16"/>
        </w:rPr>
        <w:t>During the course of</w:t>
      </w:r>
      <w:proofErr w:type="gramEnd"/>
      <w:r w:rsidRPr="00D13D74">
        <w:rPr>
          <w:sz w:val="16"/>
        </w:rPr>
        <w:t xml:space="preserve"> our project, it became clear that community members were much more concerned with identifying structural issues that affected access to health services, and we shifted the focus of data collection to reflect this. It was clear vaccines are important, but understandings about their value and role are nested within a host of other structural concerns that are rooted in historical and ongoing settler colonialism. Thus, data that identified systemic problems and produced data in forms that made sense to individual </w:t>
      </w:r>
      <w:proofErr w:type="gramStart"/>
      <w:r w:rsidRPr="00D13D74">
        <w:rPr>
          <w:sz w:val="16"/>
        </w:rPr>
        <w:t>communities</w:t>
      </w:r>
      <w:proofErr w:type="gramEnd"/>
      <w:r w:rsidRPr="00D13D74">
        <w:rPr>
          <w:sz w:val="16"/>
        </w:rPr>
        <w:t xml:space="preserve"> members as well as Indigenous Peoples more broadly was our goal (OCAP, 2014). However, we also needed to maintain the anonymity of individual participants who often shared information that may be perceived as critical of community leadership and/or local service providers. As a result, data returned/shared was anonymized and aggregated. Translation service was offered to participants. Participants gave informed consent prior to taking part in the study; the consulting process included information about the researchers and the purpose and the rationale of the study. This study received ethics approval from the Lakehead University's REB #1465416. 3. Findings Focus group participants ranged in age from 24 to 69 years, 49 (68%) were female, 21 (29%) were parents with children who were minors, and 15 (21%) were elders (aged 55+). One focus group withdrew from the study because their community was revising their research protocols and, until completed, halted all research. Conversations with community members revealed that rural space/location, access to health care, and relationships with health care providers and the state more generally (contemporary and historical) were the most significant factors that informed people's decisions regarding vaccinations. Indeed, relationships between people/community and their health care provider figured most significantly in these conversations and the context within which decisions about health care were made. We explore the ways in which these themes are operationalized in three notions of rural space, mid-range, urban-rural and fly-in/remote spaces, identified by the researchers as relevant. Notably, many communities talked about their experiences with health care providers as negative and frequently affected by racism (Browne, 2005, 2007; Levin and Herbert, 2004). As a result, we identified two important themes about these spaces </w:t>
      </w:r>
      <w:proofErr w:type="gramStart"/>
      <w:r w:rsidRPr="00D13D74">
        <w:rPr>
          <w:sz w:val="16"/>
        </w:rPr>
        <w:t>in regards to</w:t>
      </w:r>
      <w:proofErr w:type="gramEnd"/>
      <w:r w:rsidRPr="00D13D74">
        <w:rPr>
          <w:sz w:val="16"/>
        </w:rPr>
        <w:t xml:space="preserve"> state and health practitioners: 1) suspicion and distrust of the state and, by extension, its health care providers, and 2) a lack of choice in healthcare and negative relationships with providers more specifically. 3.1. Urban-rural spaces “Urban-rural” spaces, like typical urban spaces, present a contradictory space for Indigenous People. Thunder Bay, for example, operates as a service center for Indigenous People living across northwestern Ontario. People regularly visit and relocate to the city to obtain services or to access educational or employment opportunities unavailable elsewhere in the region. Although Thunder Bay is not a large city by southern Ontario standards, at 110K people it is the largest city in northern Ontario and the de facto urban center for the region (the closest Canadian cities of comparable size are Winnipeg, MB to the west and Sudbury, ON to the east). Although the potential to access a more diverse range of health care services and providers exists in an urban-rural space, the majority of Indigenous People we interviewed in Thunder Bay did not have a long-term health provider and most often used walk-in clinics or visited the Emergency Room for their care. </w:t>
      </w:r>
      <w:r w:rsidRPr="00B27BA9">
        <w:rPr>
          <w:rStyle w:val="Emphasis"/>
        </w:rPr>
        <w:t xml:space="preserve">The </w:t>
      </w:r>
      <w:r w:rsidRPr="00D13D74">
        <w:rPr>
          <w:rStyle w:val="Emphasis"/>
          <w:highlight w:val="cyan"/>
        </w:rPr>
        <w:t>people</w:t>
      </w:r>
      <w:r w:rsidRPr="00B27BA9">
        <w:rPr>
          <w:rStyle w:val="Emphasis"/>
        </w:rPr>
        <w:t xml:space="preserve"> we spoke with </w:t>
      </w:r>
      <w:r w:rsidRPr="00D13D74">
        <w:rPr>
          <w:rStyle w:val="Emphasis"/>
          <w:highlight w:val="cyan"/>
        </w:rPr>
        <w:t>reported access to fewer services (e.g., family physician, relied on public health and emergency rooms) and had poorer relationships with providers</w:t>
      </w:r>
      <w:r w:rsidRPr="00B27BA9">
        <w:rPr>
          <w:rStyle w:val="Emphasis"/>
        </w:rPr>
        <w:t>. Compounded by racism and colonialism, many participants indicated that they had not developed long-term and trusting relationships with health care providers. Without continuity of care or the time necessary to develop a relationship with health providers, people, expressed a lack of trust or comfortability:</w:t>
      </w:r>
      <w:r>
        <w:rPr>
          <w:rStyle w:val="Emphasis"/>
        </w:rPr>
        <w:t xml:space="preserve"> </w:t>
      </w:r>
      <w:r w:rsidRPr="00D13D74">
        <w:rPr>
          <w:sz w:val="16"/>
        </w:rPr>
        <w:t xml:space="preserve">I moved to this community [Thunder Bay] about eight years ago, and I don't have a regular family doctor. I usually just go to a walk-in clinic. I've had to use the emergency department for my healthcare. Not ideal, obviously, </w:t>
      </w:r>
      <w:proofErr w:type="gramStart"/>
      <w:r w:rsidRPr="00D13D74">
        <w:rPr>
          <w:sz w:val="16"/>
        </w:rPr>
        <w:t>but,</w:t>
      </w:r>
      <w:proofErr w:type="gramEnd"/>
      <w:r w:rsidRPr="00D13D74">
        <w:rPr>
          <w:sz w:val="16"/>
        </w:rPr>
        <w:t xml:space="preserve"> yeah. I come from a smaller community, and I had a health practitioner there that I was comfortable with, who I knew in the community, and felt that trust factor, and I feel like, moving to a larger city, I never quite got there. (FG 3). </w:t>
      </w:r>
      <w:r w:rsidRPr="00D13D74">
        <w:rPr>
          <w:rStyle w:val="Emphasis"/>
          <w:highlight w:val="cyan"/>
        </w:rPr>
        <w:t>Participants also identified lack of personal identification as another barrier to health access</w:t>
      </w:r>
      <w:r w:rsidRPr="00B27BA9">
        <w:rPr>
          <w:rStyle w:val="Emphasis"/>
        </w:rPr>
        <w:t>. One participant, who was both a health care practitioner and community member, noted that in the course of her work she frequently encounters Indigenous clients who are without either a birth certificate or Indian status card:</w:t>
      </w:r>
      <w:r>
        <w:rPr>
          <w:rStyle w:val="Emphasis"/>
        </w:rPr>
        <w:t xml:space="preserve"> </w:t>
      </w:r>
      <w:r w:rsidRPr="00D13D74">
        <w:rPr>
          <w:sz w:val="16"/>
        </w:rPr>
        <w:t xml:space="preserve">I find a lot of people that come in to see a doctor don't have the proper identification. They don't have their birth certificates or Status Card. ‘Oh, man, you're 40-something, you don't have your Status Card? Like, how have you been getting through life?’ (Practitioner 4). Lack of a regular provider or appropriate personal identification was also compounded by perceptions of health care providers who were aggressive with children when giving vaccinations and were “cold” or appeared distant with parents by failing to establish a rapport: Some are </w:t>
      </w:r>
      <w:proofErr w:type="gramStart"/>
      <w:r w:rsidRPr="00D13D74">
        <w:rPr>
          <w:sz w:val="16"/>
        </w:rPr>
        <w:t>really rough</w:t>
      </w:r>
      <w:proofErr w:type="gramEnd"/>
      <w:r w:rsidRPr="00D13D74">
        <w:rPr>
          <w:sz w:val="16"/>
        </w:rPr>
        <w:t xml:space="preserve"> and then others are just, I don't know they don't even show anything, they are just boom, boom, done and go. It's very unpleasant. (FG 1). The importance of trust and relationship-building were echoed in the comments of an Indigenous health care provider working at an Indigenous organization: I try to prepare them in a nice way to get their babies vaccinated. See, if they feel someone was rough at the two-month visit, and they feel that someone was kind of being rough, they will avoid coming back for the four-month visit. (Practitioner 7). Further compounding perceptions of rough treatment were the enforcement of inflexible clinic rules that ignored people's circumstances. One mother shared with us that, after a multi-hour bus ride in the rain with her three young children, she was refused service at the clinic for her infant: I was 10 min late, and I was still there but they made me reschedule. Yes, and that was at the [public] health unit! (FG 1). For Indigenous People, developing trust relationships was particularly important because of historical and ongoing relationships with the state. Fear of the state and school authorities using vaccines as means to prove neglect were prominent in many of these conversations: </w:t>
      </w:r>
      <w:r w:rsidRPr="00B27BA9">
        <w:rPr>
          <w:rStyle w:val="StyleUnderline"/>
        </w:rPr>
        <w:t xml:space="preserve">So sometimes schools are problematic to our people. There's a lot of judgment toward us that goes on there. It's supposed to be a place of learning but often you feel like it's a place of punishment when you don't do as you're told. Seeing a school nurse and her telling you what to do is part of that. Vaccines are one more way, </w:t>
      </w:r>
      <w:r w:rsidRPr="00D13D74">
        <w:rPr>
          <w:rStyle w:val="StyleUnderline"/>
          <w:highlight w:val="cyan"/>
        </w:rPr>
        <w:t>it feels like, that we are monitored by the government</w:t>
      </w:r>
      <w:r w:rsidRPr="00D13D74">
        <w:rPr>
          <w:sz w:val="16"/>
        </w:rPr>
        <w:t xml:space="preserve">. </w:t>
      </w:r>
      <w:proofErr w:type="gramStart"/>
      <w:r w:rsidRPr="00D13D74">
        <w:rPr>
          <w:sz w:val="16"/>
        </w:rPr>
        <w:t>So</w:t>
      </w:r>
      <w:proofErr w:type="gramEnd"/>
      <w:r w:rsidRPr="00D13D74">
        <w:rPr>
          <w:sz w:val="16"/>
        </w:rPr>
        <w:t xml:space="preserve"> a lot of times you won't see people taking the shots, or taking their vaccines, or whatever … you have to trust your providers, and a lot of times our – like, what she's saying [referring to another focus group participant] about, like, our parents, they all come from Residential School, so they don't have no trust, you know? And that kind of puts a barrier on things that are coming down to the community. I just think it's mostly trust, after what's been done. Lack of trust. (Focus Group 4). Indeed, schools have become sites of conflict in the effort to vaccinate children. Largely the perception among participants was that </w:t>
      </w:r>
      <w:proofErr w:type="gramStart"/>
      <w:r w:rsidRPr="00D13D74">
        <w:rPr>
          <w:sz w:val="16"/>
        </w:rPr>
        <w:t>in order to</w:t>
      </w:r>
      <w:proofErr w:type="gramEnd"/>
      <w:r w:rsidRPr="00D13D74">
        <w:rPr>
          <w:sz w:val="16"/>
        </w:rPr>
        <w:t xml:space="preserve"> attend school their children had to be up to date on their vaccinations. One participant described a negative experience, which happened after moving from the reserve to Thunder Bay as a child that has always remained with her: I was seven years old. I didn't have no vaccinations. I remember going to the place on Victoria Ave, there's an </w:t>
      </w:r>
      <w:proofErr w:type="gramStart"/>
      <w:r w:rsidRPr="00D13D74">
        <w:rPr>
          <w:sz w:val="16"/>
        </w:rPr>
        <w:t>old arts</w:t>
      </w:r>
      <w:proofErr w:type="gramEnd"/>
      <w:r w:rsidRPr="00D13D74">
        <w:rPr>
          <w:sz w:val="16"/>
        </w:rPr>
        <w:t xml:space="preserve"> building there. Me and my brother were just constantly poked – and we had no idea why. My mom had to sign, or her kids can't go to school. They'd called the truant officer or somebody on us instead of talking to her (FG 4). The importance of building trust and taking the time to listen and answer questions was also highlighted: You go in feeling forced. You don't really understand what's going on. And then if you don't comply – because, you know, you might be scared, you might have issues with authority, or wanting to talk to somebody because you've had bad experiences – then Children's Aid gets called on you. </w:t>
      </w:r>
      <w:proofErr w:type="gramStart"/>
      <w:r w:rsidRPr="00D13D74">
        <w:rPr>
          <w:sz w:val="16"/>
        </w:rPr>
        <w:t>So</w:t>
      </w:r>
      <w:proofErr w:type="gramEnd"/>
      <w:r w:rsidRPr="00D13D74">
        <w:rPr>
          <w:sz w:val="16"/>
        </w:rPr>
        <w:t xml:space="preserve"> it's like, I think that there's a lot more that needs to be done around education pieces. (FG 4). </w:t>
      </w:r>
      <w:r w:rsidRPr="00D13D74">
        <w:rPr>
          <w:rStyle w:val="Emphasis"/>
          <w:highlight w:val="cyan"/>
        </w:rPr>
        <w:t>Thus, the role played by settler colonialism</w:t>
      </w:r>
      <w:r w:rsidRPr="00B27BA9">
        <w:rPr>
          <w:rStyle w:val="Emphasis"/>
        </w:rPr>
        <w:t xml:space="preserve"> in urban spaces and the histories and ongoing experiences of violence and racism </w:t>
      </w:r>
      <w:r w:rsidRPr="00D13D74">
        <w:rPr>
          <w:rStyle w:val="Emphasis"/>
          <w:highlight w:val="cyan"/>
        </w:rPr>
        <w:t>cannot be overlooked in this context</w:t>
      </w:r>
      <w:r w:rsidRPr="00B27BA9">
        <w:rPr>
          <w:rStyle w:val="Emphasis"/>
        </w:rPr>
        <w:t>.</w:t>
      </w:r>
    </w:p>
    <w:p w14:paraId="36A878C4" w14:textId="77777777" w:rsidR="00D730A0" w:rsidRPr="00397C05" w:rsidRDefault="00D730A0" w:rsidP="00D730A0"/>
    <w:p w14:paraId="5195DAB0" w14:textId="77777777" w:rsidR="00D730A0" w:rsidRPr="0097575D" w:rsidRDefault="00D730A0" w:rsidP="00D730A0">
      <w:pPr>
        <w:pStyle w:val="Heading4"/>
        <w:rPr>
          <w:rStyle w:val="Hyperlink"/>
          <w:sz w:val="24"/>
          <w:szCs w:val="24"/>
        </w:rPr>
      </w:pPr>
      <w:r w:rsidRPr="0097575D">
        <w:rPr>
          <w:rStyle w:val="Hyperlink"/>
          <w:sz w:val="24"/>
          <w:szCs w:val="24"/>
        </w:rPr>
        <w:t xml:space="preserve">The 1AC’s </w:t>
      </w:r>
      <w:r w:rsidRPr="0097575D">
        <w:rPr>
          <w:rStyle w:val="StyleUnderline"/>
          <w:sz w:val="24"/>
          <w:szCs w:val="24"/>
        </w:rPr>
        <w:t>appeal</w:t>
      </w:r>
      <w:r w:rsidRPr="0097575D">
        <w:rPr>
          <w:rStyle w:val="Hyperlink"/>
          <w:sz w:val="24"/>
          <w:szCs w:val="24"/>
        </w:rPr>
        <w:t xml:space="preserve"> to innovation and western imperial science</w:t>
      </w:r>
      <w:r>
        <w:rPr>
          <w:rStyle w:val="Hyperlink"/>
          <w:sz w:val="24"/>
          <w:szCs w:val="24"/>
        </w:rPr>
        <w:t xml:space="preserve"> under the justification of </w:t>
      </w:r>
      <w:proofErr w:type="gramStart"/>
      <w:r>
        <w:rPr>
          <w:rStyle w:val="Hyperlink"/>
          <w:sz w:val="24"/>
          <w:szCs w:val="24"/>
        </w:rPr>
        <w:t xml:space="preserve">inequality </w:t>
      </w:r>
      <w:r w:rsidRPr="0097575D">
        <w:rPr>
          <w:rStyle w:val="Hyperlink"/>
          <w:sz w:val="24"/>
          <w:szCs w:val="24"/>
        </w:rPr>
        <w:t xml:space="preserve"> is</w:t>
      </w:r>
      <w:proofErr w:type="gramEnd"/>
      <w:r w:rsidRPr="0097575D">
        <w:rPr>
          <w:rStyle w:val="Hyperlink"/>
          <w:sz w:val="24"/>
          <w:szCs w:val="24"/>
        </w:rPr>
        <w:t xml:space="preserve"> grounded in the “</w:t>
      </w:r>
      <w:r w:rsidRPr="0097575D">
        <w:rPr>
          <w:rStyle w:val="StyleUnderline"/>
          <w:sz w:val="24"/>
          <w:szCs w:val="24"/>
        </w:rPr>
        <w:t>jungle”</w:t>
      </w:r>
      <w:r w:rsidRPr="0097575D">
        <w:rPr>
          <w:rStyle w:val="Hyperlink"/>
          <w:sz w:val="24"/>
          <w:szCs w:val="24"/>
        </w:rPr>
        <w:t xml:space="preserve"> functioning through a </w:t>
      </w:r>
      <w:r w:rsidRPr="0097575D">
        <w:rPr>
          <w:rStyle w:val="StyleUnderline"/>
          <w:sz w:val="24"/>
          <w:szCs w:val="24"/>
        </w:rPr>
        <w:t>logic</w:t>
      </w:r>
      <w:r w:rsidRPr="0097575D">
        <w:rPr>
          <w:rStyle w:val="Hyperlink"/>
          <w:sz w:val="24"/>
          <w:szCs w:val="24"/>
        </w:rPr>
        <w:t xml:space="preserve"> of</w:t>
      </w:r>
      <w:r w:rsidRPr="0097575D">
        <w:rPr>
          <w:rStyle w:val="StyleUnderline"/>
        </w:rPr>
        <w:t xml:space="preserve"> </w:t>
      </w:r>
      <w:proofErr w:type="spellStart"/>
      <w:r w:rsidRPr="0097575D">
        <w:rPr>
          <w:rStyle w:val="StyleUnderline"/>
        </w:rPr>
        <w:t>biocolonialism</w:t>
      </w:r>
      <w:proofErr w:type="spellEnd"/>
    </w:p>
    <w:p w14:paraId="7CF3792F" w14:textId="77777777" w:rsidR="00D730A0" w:rsidRDefault="00D730A0" w:rsidP="00D730A0">
      <w:pPr>
        <w:rPr>
          <w:rStyle w:val="Hyperlink"/>
        </w:rPr>
      </w:pPr>
      <w:r w:rsidRPr="004138B6">
        <w:rPr>
          <w:rStyle w:val="Style13ptBold"/>
        </w:rPr>
        <w:t xml:space="preserve">Barker </w:t>
      </w:r>
      <w:proofErr w:type="gramStart"/>
      <w:r w:rsidRPr="004138B6">
        <w:rPr>
          <w:rStyle w:val="Style13ptBold"/>
        </w:rPr>
        <w:t>19</w:t>
      </w:r>
      <w:r>
        <w:rPr>
          <w:rStyle w:val="Hyperlink"/>
        </w:rPr>
        <w:t xml:space="preserve">  [</w:t>
      </w:r>
      <w:proofErr w:type="gramEnd"/>
      <w:r>
        <w:rPr>
          <w:rStyle w:val="Hyperlink"/>
        </w:rPr>
        <w:t>Clare Barker is a  an Associate Professor in English Literature (Medical Humanities) Their Areas of expertise : postcolonial literature; indigenous literature; disability studies; medical humanities. “</w:t>
      </w:r>
      <w:proofErr w:type="spellStart"/>
      <w:r>
        <w:rPr>
          <w:rStyle w:val="Hyperlink"/>
        </w:rPr>
        <w:t>Biocolonial</w:t>
      </w:r>
      <w:proofErr w:type="spellEnd"/>
      <w:r>
        <w:rPr>
          <w:rStyle w:val="Hyperlink"/>
        </w:rPr>
        <w:t xml:space="preserve"> Fictions: Medical Ethics and New Extinction</w:t>
      </w:r>
    </w:p>
    <w:p w14:paraId="237D0BD1" w14:textId="77777777" w:rsidR="00D730A0" w:rsidRDefault="00D730A0" w:rsidP="00D730A0">
      <w:pPr>
        <w:rPr>
          <w:rStyle w:val="Hyperlink"/>
        </w:rPr>
      </w:pPr>
      <w:r>
        <w:rPr>
          <w:rStyle w:val="Hyperlink"/>
        </w:rPr>
        <w:t xml:space="preserve">Discourse in Contemporary Biopiracy </w:t>
      </w:r>
      <w:proofErr w:type="gramStart"/>
      <w:r>
        <w:rPr>
          <w:rStyle w:val="Hyperlink"/>
        </w:rPr>
        <w:t>Narratives”https://www.ncbi.nlm.nih.gov/pmc/articles/PMC7116577/pdf/EMS109293.pdf</w:t>
      </w:r>
      <w:proofErr w:type="gramEnd"/>
      <w:r>
        <w:rPr>
          <w:rStyle w:val="Hyperlink"/>
        </w:rPr>
        <w:t>] //</w:t>
      </w:r>
      <w:proofErr w:type="spellStart"/>
      <w:r>
        <w:rPr>
          <w:rStyle w:val="Hyperlink"/>
        </w:rPr>
        <w:t>aaditg</w:t>
      </w:r>
      <w:proofErr w:type="spellEnd"/>
    </w:p>
    <w:p w14:paraId="0F3B21A0" w14:textId="77777777" w:rsidR="00D730A0" w:rsidRDefault="00D730A0" w:rsidP="00D730A0">
      <w:pPr>
        <w:rPr>
          <w:rStyle w:val="StyleUnderline"/>
        </w:rPr>
      </w:pPr>
      <w:r w:rsidRPr="00334CE2">
        <w:rPr>
          <w:rStyle w:val="StyleUnderline"/>
        </w:rPr>
        <w:t xml:space="preserve">The </w:t>
      </w:r>
      <w:r w:rsidRPr="00B37EDE">
        <w:rPr>
          <w:rStyle w:val="StyleUnderline"/>
          <w:highlight w:val="cyan"/>
        </w:rPr>
        <w:t>age of big pharma</w:t>
      </w:r>
      <w:r w:rsidRPr="00334CE2">
        <w:rPr>
          <w:rStyle w:val="StyleUnderline"/>
        </w:rPr>
        <w:t>, population genetics, and global health initiatives that transcend</w:t>
      </w:r>
      <w:r>
        <w:rPr>
          <w:rStyle w:val="StyleUnderline"/>
        </w:rPr>
        <w:t xml:space="preserve"> </w:t>
      </w:r>
      <w:r w:rsidRPr="00334CE2">
        <w:rPr>
          <w:rStyle w:val="StyleUnderline"/>
        </w:rPr>
        <w:t xml:space="preserve">national borders has ushered in new forms of </w:t>
      </w:r>
      <w:proofErr w:type="spellStart"/>
      <w:r w:rsidRPr="00334CE2">
        <w:rPr>
          <w:rStyle w:val="StyleUnderline"/>
        </w:rPr>
        <w:t>extractivism</w:t>
      </w:r>
      <w:proofErr w:type="spellEnd"/>
      <w:r w:rsidRPr="00334CE2">
        <w:rPr>
          <w:rStyle w:val="StyleUnderline"/>
        </w:rPr>
        <w:t xml:space="preserve"> that </w:t>
      </w:r>
      <w:r w:rsidRPr="00B37EDE">
        <w:rPr>
          <w:rStyle w:val="StyleUnderline"/>
          <w:highlight w:val="cyan"/>
        </w:rPr>
        <w:t>consist of mining</w:t>
      </w:r>
      <w:r w:rsidRPr="00334CE2">
        <w:rPr>
          <w:rStyle w:val="StyleUnderline"/>
        </w:rPr>
        <w:t xml:space="preserve"> the bodies</w:t>
      </w:r>
      <w:r>
        <w:rPr>
          <w:rStyle w:val="StyleUnderline"/>
        </w:rPr>
        <w:t xml:space="preserve"> </w:t>
      </w:r>
      <w:r w:rsidRPr="00334CE2">
        <w:rPr>
          <w:rStyle w:val="StyleUnderline"/>
        </w:rPr>
        <w:t xml:space="preserve">of </w:t>
      </w:r>
      <w:r w:rsidRPr="00B37EDE">
        <w:rPr>
          <w:rStyle w:val="StyleUnderline"/>
          <w:highlight w:val="cyan"/>
        </w:rPr>
        <w:t>Indigenous people</w:t>
      </w:r>
      <w:r w:rsidRPr="00334CE2">
        <w:rPr>
          <w:rStyle w:val="StyleUnderline"/>
        </w:rPr>
        <w:t>, their medicinal plants, and their traditional ecological knowledge</w:t>
      </w:r>
      <w:r>
        <w:rPr>
          <w:rStyle w:val="StyleUnderline"/>
        </w:rPr>
        <w:t xml:space="preserve"> </w:t>
      </w:r>
      <w:r w:rsidRPr="00334CE2">
        <w:rPr>
          <w:rStyle w:val="StyleUnderline"/>
        </w:rPr>
        <w:t>(TEK) for their pharmacological potential.</w:t>
      </w:r>
      <w:r>
        <w:t xml:space="preserve"> </w:t>
      </w:r>
      <w:r w:rsidRPr="00334CE2">
        <w:rPr>
          <w:rStyle w:val="StyleUnderline"/>
        </w:rPr>
        <w:t xml:space="preserve">These </w:t>
      </w:r>
      <w:r>
        <w:t xml:space="preserve">new </w:t>
      </w:r>
      <w:r w:rsidRPr="00334CE2">
        <w:rPr>
          <w:rStyle w:val="Emphasis"/>
        </w:rPr>
        <w:t xml:space="preserve">forms of scientific </w:t>
      </w:r>
      <w:proofErr w:type="spellStart"/>
      <w:r w:rsidRPr="00334CE2">
        <w:rPr>
          <w:rStyle w:val="Emphasis"/>
        </w:rPr>
        <w:t>endeavour</w:t>
      </w:r>
      <w:proofErr w:type="spellEnd"/>
      <w:r w:rsidRPr="00334CE2">
        <w:rPr>
          <w:rStyle w:val="Emphasis"/>
        </w:rPr>
        <w:t xml:space="preserve"> echo</w:t>
      </w:r>
      <w:r>
        <w:rPr>
          <w:rStyle w:val="Emphasis"/>
        </w:rPr>
        <w:t xml:space="preserve"> </w:t>
      </w:r>
      <w:r w:rsidRPr="00334CE2">
        <w:rPr>
          <w:rStyle w:val="Emphasis"/>
        </w:rPr>
        <w:t>and reconfigure the colonialist appropriations of the past.</w:t>
      </w:r>
      <w:r>
        <w:t xml:space="preserve"> As scholar and activist, Vandana Shiva, writes, ‘[t]he </w:t>
      </w:r>
      <w:r w:rsidRPr="00334CE2">
        <w:rPr>
          <w:rStyle w:val="Emphasis"/>
        </w:rPr>
        <w:t>colonies have now been extended to the interior spaces, the “genetic</w:t>
      </w:r>
      <w:r>
        <w:rPr>
          <w:rStyle w:val="Emphasis"/>
        </w:rPr>
        <w:t xml:space="preserve"> </w:t>
      </w:r>
      <w:r w:rsidRPr="00334CE2">
        <w:rPr>
          <w:rStyle w:val="Emphasis"/>
        </w:rPr>
        <w:t>codes” of life-forms from microbes and plants to animals, including humans’</w:t>
      </w:r>
      <w:r>
        <w:t xml:space="preserve">.1 Shiva terms the expropriation of Indigenous biological resources ‘biopiracy’, while other activists and critics apply the broader term </w:t>
      </w:r>
      <w:r w:rsidRPr="00334CE2">
        <w:rPr>
          <w:rStyle w:val="Emphasis"/>
        </w:rPr>
        <w:t>‘</w:t>
      </w:r>
      <w:proofErr w:type="spellStart"/>
      <w:r w:rsidRPr="00B37EDE">
        <w:rPr>
          <w:rStyle w:val="Emphasis"/>
          <w:highlight w:val="cyan"/>
        </w:rPr>
        <w:t>biocolonialism</w:t>
      </w:r>
      <w:proofErr w:type="spellEnd"/>
      <w:r w:rsidRPr="00B37EDE">
        <w:rPr>
          <w:rStyle w:val="Emphasis"/>
          <w:highlight w:val="cyan"/>
        </w:rPr>
        <w:t>’ to the range of practices that extend colonialist logic to the acquisition of human and plant</w:t>
      </w:r>
      <w:r w:rsidRPr="00334CE2">
        <w:rPr>
          <w:rStyle w:val="Emphasis"/>
        </w:rPr>
        <w:t xml:space="preserve"> organic </w:t>
      </w:r>
      <w:r w:rsidRPr="00B37EDE">
        <w:rPr>
          <w:rStyle w:val="Emphasis"/>
          <w:highlight w:val="cyan"/>
        </w:rPr>
        <w:t>materials,</w:t>
      </w:r>
      <w:r w:rsidRPr="00334CE2">
        <w:rPr>
          <w:rStyle w:val="Emphasis"/>
        </w:rPr>
        <w:t xml:space="preserve"> genetic ‘data’</w:t>
      </w:r>
      <w:r w:rsidRPr="00B37EDE">
        <w:rPr>
          <w:rStyle w:val="Emphasis"/>
          <w:highlight w:val="cyan"/>
        </w:rPr>
        <w:t>, and</w:t>
      </w:r>
      <w:r>
        <w:rPr>
          <w:rStyle w:val="Emphasis"/>
        </w:rPr>
        <w:t xml:space="preserve"> </w:t>
      </w:r>
      <w:r w:rsidRPr="00334CE2">
        <w:rPr>
          <w:rStyle w:val="Emphasis"/>
        </w:rPr>
        <w:t xml:space="preserve">medicinal </w:t>
      </w:r>
      <w:r w:rsidRPr="00B37EDE">
        <w:rPr>
          <w:rStyle w:val="Emphasis"/>
          <w:highlight w:val="cyan"/>
        </w:rPr>
        <w:t>knowledge</w:t>
      </w:r>
      <w:r w:rsidRPr="00334CE2">
        <w:rPr>
          <w:rStyle w:val="Emphasis"/>
        </w:rPr>
        <w:t xml:space="preserve">. </w:t>
      </w:r>
      <w:r>
        <w:t>This term in particular highlights the marked continuities between European colonialist practices of land and resource appropriation and the research practices within what Laurelyn Whitt calls the</w:t>
      </w:r>
      <w:r w:rsidRPr="00334CE2">
        <w:rPr>
          <w:rStyle w:val="Emphasis"/>
        </w:rPr>
        <w:t xml:space="preserve"> ‘</w:t>
      </w:r>
      <w:r w:rsidRPr="00B37EDE">
        <w:rPr>
          <w:rStyle w:val="Emphasis"/>
          <w:highlight w:val="cyan"/>
        </w:rPr>
        <w:t>new imperial science’</w:t>
      </w:r>
      <w:r>
        <w:t>, which, ‘</w:t>
      </w:r>
      <w:r w:rsidRPr="00B37EDE">
        <w:rPr>
          <w:rStyle w:val="Emphasis"/>
          <w:highlight w:val="cyan"/>
        </w:rPr>
        <w:t>marked by the confluence of science with capitalism</w:t>
      </w:r>
      <w:r w:rsidRPr="00334CE2">
        <w:rPr>
          <w:rStyle w:val="Emphasis"/>
        </w:rPr>
        <w:t>’ and acting ‘</w:t>
      </w:r>
      <w:r w:rsidRPr="00B37EDE">
        <w:rPr>
          <w:rStyle w:val="Emphasis"/>
          <w:highlight w:val="cyan"/>
        </w:rPr>
        <w:t>in the service of western pharmaceutical … industries’</w:t>
      </w:r>
      <w:r w:rsidRPr="00334CE2">
        <w:rPr>
          <w:rStyle w:val="Emphasis"/>
        </w:rPr>
        <w:t xml:space="preserve"> (among others), ‘</w:t>
      </w:r>
      <w:proofErr w:type="spellStart"/>
      <w:r w:rsidRPr="00334CE2">
        <w:rPr>
          <w:rStyle w:val="Emphasis"/>
        </w:rPr>
        <w:t>enabl</w:t>
      </w:r>
      <w:proofErr w:type="spellEnd"/>
      <w:r w:rsidRPr="00334CE2">
        <w:rPr>
          <w:rStyle w:val="Emphasis"/>
        </w:rPr>
        <w:t>[es] the appropriation of indigenous knowledge and</w:t>
      </w:r>
      <w:r>
        <w:rPr>
          <w:rStyle w:val="Emphasis"/>
        </w:rPr>
        <w:t xml:space="preserve"> </w:t>
      </w:r>
      <w:r w:rsidRPr="00334CE2">
        <w:rPr>
          <w:rStyle w:val="Emphasis"/>
        </w:rPr>
        <w:t>resources at a prodigious and escalating rate’</w:t>
      </w:r>
      <w:r>
        <w:t xml:space="preserve">.2 The </w:t>
      </w:r>
      <w:r w:rsidRPr="00334CE2">
        <w:rPr>
          <w:rStyle w:val="Emphasis"/>
        </w:rPr>
        <w:t xml:space="preserve">logic of </w:t>
      </w:r>
      <w:proofErr w:type="spellStart"/>
      <w:r w:rsidRPr="00B37EDE">
        <w:rPr>
          <w:rStyle w:val="Emphasis"/>
          <w:highlight w:val="cyan"/>
        </w:rPr>
        <w:t>biocolonial</w:t>
      </w:r>
      <w:proofErr w:type="spellEnd"/>
      <w:r w:rsidRPr="00B37EDE">
        <w:rPr>
          <w:rStyle w:val="Emphasis"/>
          <w:highlight w:val="cyan"/>
        </w:rPr>
        <w:t xml:space="preserve"> </w:t>
      </w:r>
      <w:proofErr w:type="spellStart"/>
      <w:r w:rsidRPr="00B37EDE">
        <w:rPr>
          <w:rStyle w:val="Emphasis"/>
          <w:highlight w:val="cyan"/>
        </w:rPr>
        <w:t>extractivism</w:t>
      </w:r>
      <w:proofErr w:type="spellEnd"/>
      <w:r w:rsidRPr="00B37EDE">
        <w:rPr>
          <w:rStyle w:val="Emphasis"/>
          <w:highlight w:val="cyan"/>
        </w:rPr>
        <w:t xml:space="preserve"> operates through</w:t>
      </w:r>
      <w:r w:rsidRPr="00334CE2">
        <w:rPr>
          <w:rStyle w:val="Emphasis"/>
        </w:rPr>
        <w:t xml:space="preserve"> a </w:t>
      </w:r>
      <w:r w:rsidRPr="00B37EDE">
        <w:rPr>
          <w:rStyle w:val="Emphasis"/>
          <w:highlight w:val="cyan"/>
        </w:rPr>
        <w:t>reorientation of</w:t>
      </w:r>
      <w:r w:rsidRPr="00334CE2">
        <w:rPr>
          <w:rStyle w:val="Emphasis"/>
        </w:rPr>
        <w:t xml:space="preserve"> the temporal</w:t>
      </w:r>
      <w:r>
        <w:rPr>
          <w:rStyle w:val="Emphasis"/>
        </w:rPr>
        <w:t xml:space="preserve"> </w:t>
      </w:r>
      <w:r w:rsidRPr="00334CE2">
        <w:rPr>
          <w:rStyle w:val="Emphasis"/>
        </w:rPr>
        <w:t xml:space="preserve">formations </w:t>
      </w:r>
      <w:r w:rsidRPr="00B37EDE">
        <w:rPr>
          <w:rStyle w:val="Emphasis"/>
          <w:highlight w:val="cyan"/>
        </w:rPr>
        <w:t>of settler colonialism</w:t>
      </w:r>
      <w:r w:rsidRPr="00334CE2">
        <w:rPr>
          <w:rStyle w:val="Emphasis"/>
        </w:rPr>
        <w:t>, which equate settler practices with development and</w:t>
      </w:r>
      <w:r>
        <w:rPr>
          <w:rStyle w:val="Emphasis"/>
        </w:rPr>
        <w:t xml:space="preserve"> </w:t>
      </w:r>
      <w:r w:rsidRPr="00334CE2">
        <w:rPr>
          <w:rStyle w:val="Emphasis"/>
        </w:rPr>
        <w:t>consign Indigenous peoples to the past.</w:t>
      </w:r>
      <w:r>
        <w:t xml:space="preserve"> The land dispossessions of the colonial era were facilitated by powerful narratives of inevitable Indigenous extinction: ‘vanishing Indians’, </w:t>
      </w:r>
      <w:proofErr w:type="spellStart"/>
      <w:r>
        <w:t>Maori</w:t>
      </w:r>
      <w:proofErr w:type="spellEnd"/>
      <w:r>
        <w:t xml:space="preserve"> and Aboriginal ‘dying </w:t>
      </w:r>
      <w:proofErr w:type="gramStart"/>
      <w:r>
        <w:t>races’</w:t>
      </w:r>
      <w:proofErr w:type="gramEnd"/>
      <w:r>
        <w:t xml:space="preserve">. As critics have shown, </w:t>
      </w:r>
      <w:r w:rsidRPr="00334CE2">
        <w:rPr>
          <w:rStyle w:val="StyleUnderline"/>
        </w:rPr>
        <w:t xml:space="preserve">contemporary </w:t>
      </w:r>
      <w:proofErr w:type="spellStart"/>
      <w:r w:rsidRPr="00B37EDE">
        <w:rPr>
          <w:rStyle w:val="StyleUnderline"/>
          <w:highlight w:val="cyan"/>
        </w:rPr>
        <w:t>biocolonialist</w:t>
      </w:r>
      <w:proofErr w:type="spellEnd"/>
      <w:r w:rsidRPr="00B37EDE">
        <w:rPr>
          <w:rStyle w:val="StyleUnderline"/>
          <w:highlight w:val="cyan"/>
        </w:rPr>
        <w:t xml:space="preserve"> initiatives operate on similar assumptions</w:t>
      </w:r>
      <w:r w:rsidRPr="00334CE2">
        <w:rPr>
          <w:rStyle w:val="StyleUnderline"/>
        </w:rPr>
        <w:t>, under which indigenous biospecimens must be</w:t>
      </w:r>
      <w:r>
        <w:rPr>
          <w:rStyle w:val="StyleUnderline"/>
        </w:rPr>
        <w:t xml:space="preserve"> </w:t>
      </w:r>
      <w:r w:rsidRPr="00334CE2">
        <w:rPr>
          <w:rStyle w:val="StyleUnderline"/>
        </w:rPr>
        <w:t>preserved and biological data acquired before they vanish forever.</w:t>
      </w:r>
      <w: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explore the intertwined relationship between medical research ethics and the logic and ideology of </w:t>
      </w:r>
      <w:proofErr w:type="spellStart"/>
      <w:r>
        <w:t>biocolonialism</w:t>
      </w:r>
      <w:proofErr w:type="spellEnd"/>
      <w:r>
        <w:t xml:space="preserve"> as it is represented in two contemporary American novels, Ann Patchett’s State of Wonder (2011) and Hanya Yanagihara’s The People in the Trees (2013). These novels depict ‘medical adventurer[s]’4 undertaking </w:t>
      </w:r>
      <w:proofErr w:type="spellStart"/>
      <w:r>
        <w:t>biocolonialist</w:t>
      </w:r>
      <w:proofErr w:type="spellEnd"/>
      <w:r>
        <w:t xml:space="preserve"> excursions into the remote jungles of, respectively, the Amazon and the Pacific, and are centrally concerned with the methods and infrastructure of biomedical and pharmaceutical research. In both cases, the fictional scientists’ ethically problematic research practices implicate them in what Pauline Wakeford calls ‘two entangled narratives of death and disappearance: the grand </w:t>
      </w:r>
      <w:proofErr w:type="spellStart"/>
      <w:r>
        <w:t>récits</w:t>
      </w:r>
      <w:proofErr w:type="spellEnd"/>
      <w:r>
        <w:t xml:space="preserve"> of wildlife extinction and the vanishing Indian’.5 I focus </w:t>
      </w:r>
      <w:proofErr w:type="gramStart"/>
      <w:r>
        <w:t>in particular on</w:t>
      </w:r>
      <w:proofErr w:type="gramEnd"/>
      <w:r>
        <w:t xml:space="preserve"> how these texts, by presenting us with </w:t>
      </w:r>
      <w:r w:rsidRPr="00334CE2">
        <w:rPr>
          <w:rStyle w:val="StyleUnderline"/>
        </w:rPr>
        <w:t>fictional bioethical quandaries related to</w:t>
      </w:r>
      <w:r>
        <w:rPr>
          <w:rStyle w:val="StyleUnderline"/>
        </w:rPr>
        <w:t xml:space="preserve"> </w:t>
      </w:r>
      <w:r w:rsidRPr="00334CE2">
        <w:rPr>
          <w:rStyle w:val="StyleUnderline"/>
        </w:rPr>
        <w:t>human longevity and reproduction, engage with the new formulations of extinction</w:t>
      </w:r>
      <w:r>
        <w:rPr>
          <w:rStyle w:val="StyleUnderline"/>
        </w:rPr>
        <w:t xml:space="preserve"> </w:t>
      </w:r>
      <w:r w:rsidRPr="00334CE2">
        <w:rPr>
          <w:rStyle w:val="StyleUnderline"/>
        </w:rPr>
        <w:t>discourse produced by the life sciences.</w:t>
      </w:r>
      <w:r>
        <w:t xml:space="preserve"> Patrick </w:t>
      </w:r>
      <w:proofErr w:type="spellStart"/>
      <w:r>
        <w:t>Brantlinger</w:t>
      </w:r>
      <w:proofErr w:type="spellEnd"/>
      <w:r>
        <w:t xml:space="preserve"> asserts that </w:t>
      </w:r>
      <w:r w:rsidRPr="00B37EDE">
        <w:rPr>
          <w:rStyle w:val="StyleUnderline"/>
          <w:highlight w:val="cyan"/>
        </w:rPr>
        <w:t>colonial ‘extinction discourse was performative</w:t>
      </w:r>
      <w:r w:rsidRPr="00334CE2">
        <w:rPr>
          <w:rStyle w:val="StyleUnderline"/>
        </w:rPr>
        <w:t xml:space="preserve"> in the sense that </w:t>
      </w:r>
      <w:r w:rsidRPr="00B37EDE">
        <w:rPr>
          <w:rStyle w:val="StyleUnderline"/>
          <w:highlight w:val="cyan"/>
        </w:rPr>
        <w:t>it acted on the world as well as described</w:t>
      </w:r>
      <w:r w:rsidRPr="00334CE2">
        <w:rPr>
          <w:rStyle w:val="StyleUnderline"/>
        </w:rPr>
        <w:t xml:space="preserve"> it’</w:t>
      </w:r>
      <w:r>
        <w:t xml:space="preserve">.6 State of Wonder and The People in the Trees both imagine biological discoveries with the potential to extend human lifecycles, but these research </w:t>
      </w:r>
      <w:proofErr w:type="spellStart"/>
      <w:r>
        <w:t>endeavours</w:t>
      </w:r>
      <w:proofErr w:type="spellEnd"/>
      <w:r>
        <w:t xml:space="preserve"> are steeped in </w:t>
      </w:r>
      <w:proofErr w:type="spellStart"/>
      <w:r>
        <w:t>extinctionist</w:t>
      </w:r>
      <w:proofErr w:type="spellEnd"/>
      <w:r>
        <w:t xml:space="preserve"> ideology and themselves set in motion the decimation of previously thriving Indigenous communities. </w:t>
      </w:r>
      <w:r w:rsidRPr="00334CE2">
        <w:rPr>
          <w:rStyle w:val="StyleUnderline"/>
        </w:rPr>
        <w:t xml:space="preserve">Aspirational </w:t>
      </w:r>
      <w:r w:rsidRPr="001A7A96">
        <w:rPr>
          <w:rStyle w:val="StyleUnderline"/>
          <w:highlight w:val="cyan"/>
        </w:rPr>
        <w:t>narratives of ‘eternal life’</w:t>
      </w:r>
      <w:r>
        <w:t xml:space="preserve"> (in Yanagihara) and ‘world health’ (in Patchett) are </w:t>
      </w:r>
      <w:r w:rsidRPr="001A7A96">
        <w:rPr>
          <w:rStyle w:val="StyleUnderline"/>
          <w:highlight w:val="cyan"/>
        </w:rPr>
        <w:t>underpinned by</w:t>
      </w:r>
      <w:r w:rsidRPr="00334CE2">
        <w:rPr>
          <w:rStyle w:val="StyleUnderline"/>
        </w:rPr>
        <w:t xml:space="preserve"> the </w:t>
      </w:r>
      <w:r w:rsidRPr="001A7A96">
        <w:rPr>
          <w:rStyle w:val="StyleUnderline"/>
          <w:highlight w:val="cyan"/>
        </w:rPr>
        <w:t>knowledge that these communities</w:t>
      </w:r>
      <w:r w:rsidRPr="00334CE2">
        <w:rPr>
          <w:rStyle w:val="StyleUnderline"/>
        </w:rPr>
        <w:t>, reframed as</w:t>
      </w:r>
      <w:r>
        <w:rPr>
          <w:rStyle w:val="StyleUnderline"/>
        </w:rPr>
        <w:t xml:space="preserve"> </w:t>
      </w:r>
      <w:r w:rsidRPr="00334CE2">
        <w:rPr>
          <w:rStyle w:val="StyleUnderline"/>
        </w:rPr>
        <w:t xml:space="preserve">research subjects, are likely to vanish </w:t>
      </w:r>
      <w:r w:rsidRPr="001A7A96">
        <w:rPr>
          <w:rStyle w:val="StyleUnderline"/>
          <w:highlight w:val="cyan"/>
        </w:rPr>
        <w:t>in t</w:t>
      </w:r>
      <w:r w:rsidRPr="00334CE2">
        <w:rPr>
          <w:rStyle w:val="StyleUnderline"/>
        </w:rPr>
        <w:t>he wake of what Warwick Anderson calls</w:t>
      </w:r>
      <w:r>
        <w:rPr>
          <w:rStyle w:val="StyleUnderline"/>
        </w:rPr>
        <w:t xml:space="preserve"> </w:t>
      </w:r>
      <w:r w:rsidRPr="00334CE2">
        <w:rPr>
          <w:rStyle w:val="StyleUnderline"/>
        </w:rPr>
        <w:t>‘</w:t>
      </w:r>
      <w:r w:rsidRPr="001A7A96">
        <w:rPr>
          <w:rStyle w:val="StyleUnderline"/>
          <w:highlight w:val="cyan"/>
        </w:rPr>
        <w:t>scientific colonialism’</w:t>
      </w:r>
      <w:r w:rsidRPr="00334CE2">
        <w:rPr>
          <w:rStyle w:val="StyleUnderline"/>
        </w:rPr>
        <w:t>, along with their unique ecosystems.</w:t>
      </w:r>
      <w: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w:t>
      </w:r>
      <w:r w:rsidRPr="00334CE2">
        <w:rPr>
          <w:rStyle w:val="StyleUnderline"/>
        </w:rPr>
        <w:t xml:space="preserve">engagements with </w:t>
      </w:r>
      <w:proofErr w:type="spellStart"/>
      <w:r w:rsidRPr="00334CE2">
        <w:rPr>
          <w:rStyle w:val="StyleUnderline"/>
        </w:rPr>
        <w:t>biocolonial</w:t>
      </w:r>
      <w:proofErr w:type="spellEnd"/>
      <w:r w:rsidRPr="00334CE2">
        <w:rPr>
          <w:rStyle w:val="StyleUnderline"/>
        </w:rPr>
        <w:t xml:space="preserve"> science illuminate the continuities between colonial-era</w:t>
      </w:r>
      <w:r>
        <w:rPr>
          <w:rStyle w:val="StyleUnderline"/>
        </w:rPr>
        <w:t xml:space="preserve"> </w:t>
      </w:r>
      <w:proofErr w:type="spellStart"/>
      <w:r w:rsidRPr="00334CE2">
        <w:rPr>
          <w:rStyle w:val="StyleUnderline"/>
        </w:rPr>
        <w:t>extractivism</w:t>
      </w:r>
      <w:proofErr w:type="spellEnd"/>
      <w:r w:rsidRPr="00334CE2">
        <w:rPr>
          <w:rStyle w:val="StyleUnderline"/>
        </w:rPr>
        <w:t xml:space="preserve"> and contemporary research practices.</w:t>
      </w:r>
      <w:r>
        <w:t xml:space="preserve"> In their temporal reorientations and their ability to imagine actual and potential acts of extinction, these texts resituate extinction discourse squarely within the context of twentieth- and twenty-</w:t>
      </w:r>
      <w:proofErr w:type="gramStart"/>
      <w:r>
        <w:t>first-century</w:t>
      </w:r>
      <w:proofErr w:type="gramEnd"/>
      <w:r>
        <w:t xml:space="preserve"> bioscientific experimentation.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logic tied up with numerous contemporary research initiatives, particularly the Human Genome Diversity Project</w:t>
      </w:r>
      <w:r w:rsidRPr="00B37EDE">
        <w:rPr>
          <w:rStyle w:val="Emphasis"/>
        </w:rPr>
        <w:t>. See, for example,</w:t>
      </w:r>
      <w:r>
        <w:rPr>
          <w:rStyle w:val="Emphasis"/>
        </w:rPr>
        <w:t xml:space="preserve"> </w:t>
      </w:r>
      <w:r w:rsidRPr="001A7A96">
        <w:rPr>
          <w:rStyle w:val="Emphasis"/>
          <w:highlight w:val="cyan"/>
        </w:rPr>
        <w:t>to</w:t>
      </w:r>
      <w:r w:rsidRPr="00B37EDE">
        <w:rPr>
          <w:rStyle w:val="Emphasis"/>
        </w:rPr>
        <w:t xml:space="preserve"> company </w:t>
      </w:r>
      <w:r w:rsidRPr="001A7A96">
        <w:rPr>
          <w:rStyle w:val="Emphasis"/>
          <w:highlight w:val="cyan"/>
        </w:rPr>
        <w:t>shareholders even though it ‘will have enormous benefits</w:t>
      </w:r>
      <w:r w:rsidRPr="00B37EDE">
        <w:rPr>
          <w:rStyle w:val="Emphasis"/>
        </w:rPr>
        <w:t xml:space="preserve"> to world health’, since</w:t>
      </w:r>
      <w:r>
        <w:rPr>
          <w:rStyle w:val="Emphasis"/>
        </w:rPr>
        <w:t xml:space="preserve"> </w:t>
      </w:r>
      <w:r w:rsidRPr="00B37EDE">
        <w:rPr>
          <w:rStyle w:val="Emphasis"/>
        </w:rPr>
        <w:t>‘[t]</w:t>
      </w:r>
      <w:r w:rsidRPr="001A7A96">
        <w:rPr>
          <w:rStyle w:val="Emphasis"/>
          <w:highlight w:val="cyan"/>
        </w:rPr>
        <w:t>he people who need a malarial vaccine will never</w:t>
      </w:r>
      <w:r w:rsidRPr="00B37EDE">
        <w:rPr>
          <w:rStyle w:val="Emphasis"/>
        </w:rPr>
        <w:t xml:space="preserve"> have the means </w:t>
      </w:r>
      <w:r w:rsidRPr="001A7A96">
        <w:rPr>
          <w:rStyle w:val="Emphasis"/>
          <w:highlight w:val="cyan"/>
        </w:rPr>
        <w:t>to pay for it’</w:t>
      </w:r>
      <w:r>
        <w:t xml:space="preserve">.8 As the narrative unfolds, the protection of the Lakashi, their lifeways, and </w:t>
      </w:r>
      <w:r w:rsidRPr="001A7A96">
        <w:rPr>
          <w:rStyle w:val="Emphasis"/>
          <w:highlight w:val="cyan"/>
        </w:rPr>
        <w:t>their environment is pitted against this</w:t>
      </w:r>
      <w:r w:rsidRPr="00B37EDE">
        <w:rPr>
          <w:rStyle w:val="Emphasis"/>
        </w:rPr>
        <w:t xml:space="preserve"> urgent global </w:t>
      </w:r>
      <w:r w:rsidRPr="001A7A96">
        <w:rPr>
          <w:rStyle w:val="Emphasis"/>
          <w:highlight w:val="cyan"/>
        </w:rPr>
        <w:t>health imperative to save the lives</w:t>
      </w:r>
      <w:r w:rsidRPr="00B37EDE">
        <w:rPr>
          <w:rStyle w:val="Emphasis"/>
        </w:rPr>
        <w:t xml:space="preserve"> of the ‘[e]</w:t>
      </w:r>
      <w:proofErr w:type="spellStart"/>
      <w:r w:rsidRPr="00B37EDE">
        <w:rPr>
          <w:rStyle w:val="Emphasis"/>
        </w:rPr>
        <w:t>ight</w:t>
      </w:r>
      <w:proofErr w:type="spellEnd"/>
      <w:r w:rsidRPr="00B37EDE">
        <w:rPr>
          <w:rStyle w:val="Emphasis"/>
        </w:rPr>
        <w:t xml:space="preserve"> hundred</w:t>
      </w:r>
      <w:r>
        <w:rPr>
          <w:rStyle w:val="Emphasis"/>
        </w:rPr>
        <w:t xml:space="preserve"> </w:t>
      </w:r>
      <w:r w:rsidRPr="00B37EDE">
        <w:rPr>
          <w:rStyle w:val="Emphasis"/>
        </w:rPr>
        <w:t>thousand children’ who, as Swenson tells Marina, ‘die every year of malaria’ in the so-called</w:t>
      </w:r>
      <w:r>
        <w:rPr>
          <w:rStyle w:val="Emphasis"/>
        </w:rPr>
        <w:t xml:space="preserve"> </w:t>
      </w:r>
      <w:r>
        <w:t xml:space="preserve">‘Third World’.9 The People in the Trees is framed as the memoirs of Norton Perina, a ‘renowned immunologist’ who, as a young doctor in 1950, joins an anthropological expedition to </w:t>
      </w:r>
      <w:proofErr w:type="spellStart"/>
      <w:r>
        <w:t>U’ivu</w:t>
      </w:r>
      <w:proofErr w:type="spellEnd"/>
      <w:r>
        <w:t xml:space="preserve">, a fictional Micronesian state.10 Along with his anthropologist colleagues, he ‘discovers’ a ‘lost tribe’ living on the island of </w:t>
      </w:r>
      <w:proofErr w:type="spellStart"/>
      <w:r>
        <w:t>Ivu’ivu</w:t>
      </w:r>
      <w:proofErr w:type="spellEnd"/>
      <w:r>
        <w:t xml:space="preserve"> whose ritual ingestion of a sacred turtle endemic to the island, the </w:t>
      </w:r>
      <w:proofErr w:type="spellStart"/>
      <w:r>
        <w:t>opa’ivu’eke</w:t>
      </w:r>
      <w:proofErr w:type="spellEnd"/>
      <w:r>
        <w:t xml:space="preserve">, causes extended longevity, with some tribe members apparently living for several hundred years. </w:t>
      </w:r>
      <w:r w:rsidRPr="00B37EDE">
        <w:rPr>
          <w:rStyle w:val="Emphasis"/>
        </w:rPr>
        <w:t>Perina’s research on this phenomenon earns him a Nobel</w:t>
      </w:r>
      <w:r>
        <w:rPr>
          <w:rStyle w:val="Emphasis"/>
        </w:rPr>
        <w:t xml:space="preserve"> </w:t>
      </w:r>
      <w:r w:rsidRPr="00B37EDE">
        <w:rPr>
          <w:rStyle w:val="Emphasis"/>
        </w:rPr>
        <w:t xml:space="preserve">Prize for Medicine, but also kickstarts a rapid process of </w:t>
      </w:r>
      <w:proofErr w:type="spellStart"/>
      <w:r w:rsidRPr="00B37EDE">
        <w:rPr>
          <w:rStyle w:val="Emphasis"/>
        </w:rPr>
        <w:t>biocolonial</w:t>
      </w:r>
      <w:proofErr w:type="spellEnd"/>
      <w:r w:rsidRPr="00B37EDE">
        <w:rPr>
          <w:rStyle w:val="Emphasis"/>
        </w:rPr>
        <w:t xml:space="preserve"> incursion on this island</w:t>
      </w:r>
      <w:r>
        <w:rPr>
          <w:rStyle w:val="Emphasis"/>
        </w:rPr>
        <w:t xml:space="preserve"> </w:t>
      </w:r>
      <w:r w:rsidRPr="00B37EDE">
        <w:rPr>
          <w:rStyle w:val="Emphasis"/>
        </w:rPr>
        <w:t>that has ‘never [before] been colonized’, beginning with pharmaceutical companies, seeking</w:t>
      </w:r>
      <w:r>
        <w:rPr>
          <w:rStyle w:val="Emphasis"/>
        </w:rPr>
        <w:t xml:space="preserve"> </w:t>
      </w:r>
      <w:r w:rsidRPr="00B37EDE">
        <w:rPr>
          <w:rStyle w:val="Emphasis"/>
        </w:rPr>
        <w:t>to develop ‘age-retarding drugs, … anti-aging skin creams, [and] elixirs to restore male</w:t>
      </w:r>
      <w:r>
        <w:rPr>
          <w:rStyle w:val="Emphasis"/>
        </w:rPr>
        <w:t xml:space="preserve"> </w:t>
      </w:r>
      <w:r w:rsidRPr="00B37EDE">
        <w:rPr>
          <w:rStyle w:val="Emphasis"/>
        </w:rPr>
        <w:t xml:space="preserve">potency’, ‘swarming throughout </w:t>
      </w:r>
      <w:proofErr w:type="spellStart"/>
      <w:r w:rsidRPr="00B37EDE">
        <w:rPr>
          <w:rStyle w:val="Emphasis"/>
        </w:rPr>
        <w:t>Ivu’ivu</w:t>
      </w:r>
      <w:proofErr w:type="spellEnd"/>
      <w:r w:rsidRPr="00B37EDE">
        <w:rPr>
          <w:rStyle w:val="Emphasis"/>
        </w:rPr>
        <w:t xml:space="preserve"> on the hunt for the opa’ivu’eke’.11 It results in the</w:t>
      </w:r>
      <w:r>
        <w:rPr>
          <w:rStyle w:val="Emphasis"/>
        </w:rPr>
        <w:t xml:space="preserve"> </w:t>
      </w:r>
      <w:r w:rsidRPr="00B37EDE">
        <w:rPr>
          <w:rStyle w:val="Emphasis"/>
        </w:rPr>
        <w:t xml:space="preserve">extinction of the turtle, the razing of the island, and the decimation of the </w:t>
      </w:r>
      <w:proofErr w:type="spellStart"/>
      <w:r w:rsidRPr="00B37EDE">
        <w:rPr>
          <w:rStyle w:val="Emphasis"/>
        </w:rPr>
        <w:t>Ivu’ivuan</w:t>
      </w:r>
      <w:proofErr w:type="spellEnd"/>
      <w:r>
        <w:rPr>
          <w:rStyle w:val="Emphasis"/>
        </w:rPr>
        <w:t xml:space="preserve"> </w:t>
      </w:r>
      <w:r w:rsidRPr="00B37EDE">
        <w:rPr>
          <w:rStyle w:val="Emphasis"/>
        </w:rPr>
        <w:t>community through an accelerated experience of the impacts of colonization, including</w:t>
      </w:r>
      <w:r>
        <w:rPr>
          <w:rStyle w:val="Emphasis"/>
        </w:rPr>
        <w:t xml:space="preserve"> </w:t>
      </w:r>
      <w:r w:rsidRPr="00B37EDE">
        <w:rPr>
          <w:rStyle w:val="Emphasis"/>
        </w:rPr>
        <w:t>forced displacement, alcoholism, and disease.</w:t>
      </w:r>
      <w:r>
        <w:rPr>
          <w:rStyle w:val="Emphasis"/>
        </w:rPr>
        <w:t xml:space="preserve"> </w:t>
      </w:r>
      <w:r>
        <w:t xml:space="preserve">Both texts emphasize the overdetermination of their respective jungle environments by longstanding colonialist tropes of exotic difference that are inflected by bioscientific discourse. The Pacific island, as Elizabeth </w:t>
      </w:r>
      <w:proofErr w:type="spellStart"/>
      <w:r>
        <w:t>DeLoughrey</w:t>
      </w:r>
      <w:proofErr w:type="spellEnd"/>
      <w:r>
        <w:t xml:space="preserve"> has demonstrated, has long been figured as a remote, ‘hermetically sealed laboratory’, ‘deemed ahistorical and isolated’ from modernity and therefore ideal for experimentation in anthropology, ecology, and nuclear science.12 </w:t>
      </w:r>
      <w:r w:rsidRPr="001A7A96">
        <w:rPr>
          <w:rStyle w:val="Emphasis"/>
          <w:highlight w:val="cyan"/>
        </w:rPr>
        <w:t>The Amazon</w:t>
      </w:r>
      <w:r w:rsidRPr="00B37EDE">
        <w:rPr>
          <w:rStyle w:val="StyleUnderline"/>
        </w:rPr>
        <w:t>,</w:t>
      </w:r>
      <w:r>
        <w:t xml:space="preserve"> meanwhile, </w:t>
      </w:r>
      <w:r w:rsidRPr="001A7A96">
        <w:rPr>
          <w:rStyle w:val="Emphasis"/>
          <w:highlight w:val="cyan"/>
        </w:rPr>
        <w:t>is imagined</w:t>
      </w:r>
      <w:r w:rsidRPr="00B37EDE">
        <w:rPr>
          <w:rStyle w:val="Emphasis"/>
        </w:rPr>
        <w:t xml:space="preserve"> as what Veronica Davidov terms a</w:t>
      </w:r>
      <w:r>
        <w:rPr>
          <w:rStyle w:val="Emphasis"/>
        </w:rPr>
        <w:t xml:space="preserve"> </w:t>
      </w:r>
      <w:r w:rsidRPr="001A7A96">
        <w:rPr>
          <w:rStyle w:val="Emphasis"/>
          <w:highlight w:val="cyan"/>
        </w:rPr>
        <w:t>‘</w:t>
      </w:r>
      <w:proofErr w:type="spellStart"/>
      <w:r w:rsidRPr="001A7A96">
        <w:rPr>
          <w:rStyle w:val="Emphasis"/>
          <w:highlight w:val="cyan"/>
        </w:rPr>
        <w:t>pharmacopia</w:t>
      </w:r>
      <w:proofErr w:type="spellEnd"/>
      <w:r w:rsidRPr="001A7A96">
        <w:rPr>
          <w:rStyle w:val="Emphasis"/>
          <w:highlight w:val="cyan"/>
        </w:rPr>
        <w:t>’ that holds</w:t>
      </w:r>
      <w:r w:rsidRPr="00B37EDE">
        <w:rPr>
          <w:rStyle w:val="Emphasis"/>
        </w:rPr>
        <w:t xml:space="preserve"> within its rich ecosystems ‘</w:t>
      </w:r>
      <w:r w:rsidRPr="001A7A96">
        <w:rPr>
          <w:rStyle w:val="Emphasis"/>
          <w:highlight w:val="cyan"/>
        </w:rPr>
        <w:t>fantastic cures for illnesses</w:t>
      </w:r>
      <w:r w:rsidRPr="00B37EDE">
        <w:rPr>
          <w:rStyle w:val="Emphasis"/>
        </w:rPr>
        <w:t xml:space="preserve"> that defy</w:t>
      </w:r>
      <w:r>
        <w:rPr>
          <w:rStyle w:val="Emphasis"/>
        </w:rPr>
        <w:t xml:space="preserve"> </w:t>
      </w:r>
      <w:r w:rsidRPr="00B37EDE">
        <w:rPr>
          <w:rStyle w:val="Emphasis"/>
        </w:rPr>
        <w:t>the capacities of the Western pharmaceutical industry’</w:t>
      </w:r>
      <w:r>
        <w:t xml:space="preserve">, or, as Dr Swenson puts it in State of Wonder, ‘some sort of magical medicine chest’.13 Under the globalized conditions of the biomedical and pharmaceutical industries, the jungle spaces outside the West are vulnerable to exploitation due to their construction as ‘global commons’ or ‘global resource frontier[s]’ available to be harvested for their medical riches.14 As Swenson asserts in an unapologetic utilization of </w:t>
      </w:r>
      <w:proofErr w:type="spellStart"/>
      <w:r>
        <w:t>extractivist</w:t>
      </w:r>
      <w:proofErr w:type="spellEnd"/>
      <w:r>
        <w:t xml:space="preserve"> rhetoric: ‘</w:t>
      </w:r>
      <w:r w:rsidRPr="001A7A96">
        <w:rPr>
          <w:rStyle w:val="Emphasis"/>
          <w:highlight w:val="cyan"/>
        </w:rPr>
        <w:t>there is much to be taken from the jungle’</w:t>
      </w:r>
      <w:r>
        <w:t xml:space="preserve">.15 Through their focus on the activities of life scientists in the interconnected fields of big pharma and global health, both novels appear to offer a critique of the impacts of </w:t>
      </w:r>
      <w:proofErr w:type="spellStart"/>
      <w:r>
        <w:t>biocolonialism</w:t>
      </w:r>
      <w:proofErr w:type="spellEnd"/>
      <w:r>
        <w:t xml:space="preserve"> on Indigenous people and the ecosystems in which they exist. But, as I will show, Perina’s retrospective narration in The People in the Trees </w:t>
      </w:r>
      <w:r w:rsidRPr="00B37EDE">
        <w:rPr>
          <w:rStyle w:val="StyleUnderline"/>
        </w:rPr>
        <w:t xml:space="preserve">brings into critical focus the </w:t>
      </w:r>
      <w:proofErr w:type="spellStart"/>
      <w:r w:rsidRPr="00B37EDE">
        <w:rPr>
          <w:rStyle w:val="StyleUnderline"/>
        </w:rPr>
        <w:t>extinctionist</w:t>
      </w:r>
      <w:proofErr w:type="spellEnd"/>
      <w:r>
        <w:rPr>
          <w:rStyle w:val="StyleUnderline"/>
        </w:rPr>
        <w:t xml:space="preserve"> </w:t>
      </w:r>
      <w:r w:rsidRPr="00B37EDE">
        <w:rPr>
          <w:rStyle w:val="StyleUnderline"/>
        </w:rPr>
        <w:t xml:space="preserve">logic of </w:t>
      </w:r>
      <w:proofErr w:type="spellStart"/>
      <w:r w:rsidRPr="00B37EDE">
        <w:rPr>
          <w:rStyle w:val="StyleUnderline"/>
        </w:rPr>
        <w:t>biocolonial</w:t>
      </w:r>
      <w:proofErr w:type="spellEnd"/>
      <w:r w:rsidRPr="00B37EDE">
        <w:rPr>
          <w:rStyle w:val="StyleUnderline"/>
        </w:rPr>
        <w:t xml:space="preserve"> science</w:t>
      </w:r>
      <w:r>
        <w:t xml:space="preserve">, while State of Wonder’s anticipatory positioning </w:t>
      </w:r>
      <w:r w:rsidRPr="00B37EDE">
        <w:rPr>
          <w:rStyle w:val="StyleUnderline"/>
        </w:rPr>
        <w:t>is ultimately</w:t>
      </w:r>
      <w:r>
        <w:rPr>
          <w:rStyle w:val="StyleUnderline"/>
        </w:rPr>
        <w:t xml:space="preserve"> </w:t>
      </w:r>
      <w:r w:rsidRPr="00B37EDE">
        <w:rPr>
          <w:rStyle w:val="StyleUnderline"/>
        </w:rPr>
        <w:t>bound up with the future-oriented rhetoric used to justify much exploitative and damaging</w:t>
      </w:r>
      <w:r>
        <w:rPr>
          <w:rStyle w:val="StyleUnderline"/>
        </w:rPr>
        <w:t xml:space="preserve"> </w:t>
      </w:r>
      <w:r w:rsidRPr="00B37EDE">
        <w:rPr>
          <w:rStyle w:val="StyleUnderline"/>
        </w:rPr>
        <w:t>scientific research.</w:t>
      </w:r>
    </w:p>
    <w:p w14:paraId="3CAE23CA" w14:textId="77777777" w:rsidR="00D730A0" w:rsidRPr="009D0172" w:rsidRDefault="00D730A0" w:rsidP="00D730A0">
      <w:pPr>
        <w:rPr>
          <w:rFonts w:asciiTheme="minorHAnsi" w:hAnsiTheme="minorHAnsi" w:cstheme="minorHAnsi"/>
          <w:sz w:val="14"/>
          <w:szCs w:val="14"/>
        </w:rPr>
      </w:pPr>
    </w:p>
    <w:p w14:paraId="7F9FDD09" w14:textId="77777777" w:rsidR="00D730A0" w:rsidRPr="009449C2" w:rsidRDefault="00D730A0" w:rsidP="00D730A0">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32EFAE9D" w14:textId="77777777" w:rsidR="00D730A0" w:rsidRPr="009449C2" w:rsidRDefault="00D730A0" w:rsidP="00D730A0">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7"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300A78C1" w14:textId="77777777" w:rsidR="00D730A0" w:rsidRDefault="00D730A0" w:rsidP="00D730A0">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1CC7550A" w14:textId="77777777" w:rsidR="00D730A0" w:rsidRDefault="00D730A0" w:rsidP="00D730A0">
      <w:pPr>
        <w:pStyle w:val="Heading4"/>
      </w:pPr>
      <w:r>
        <w:t xml:space="preserve">The counterinterpretation is that you should evaluate the 1AC as an object of study </w:t>
      </w:r>
    </w:p>
    <w:p w14:paraId="26161AB4" w14:textId="77777777" w:rsidR="00D730A0" w:rsidRDefault="00D730A0" w:rsidP="00D730A0">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390B3C77" w14:textId="77777777" w:rsidR="00D730A0" w:rsidRDefault="00D730A0" w:rsidP="00D730A0">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7F1B693C" w14:textId="77777777" w:rsidR="00D730A0" w:rsidRPr="00EA0D43" w:rsidRDefault="00D730A0" w:rsidP="00D730A0">
      <w:pPr>
        <w:pStyle w:val="Heading4"/>
      </w:pPr>
      <w:r>
        <w:t xml:space="preserve">[c] Temporality – the </w:t>
      </w:r>
      <w:proofErr w:type="spellStart"/>
      <w:r>
        <w:t>affs</w:t>
      </w:r>
      <w:proofErr w:type="spellEnd"/>
      <w:r>
        <w:t xml:space="preserve"> models teaches violence can be wished away through administrative tinkering </w:t>
      </w:r>
      <w:proofErr w:type="spellStart"/>
      <w:r>
        <w:t>propogating</w:t>
      </w:r>
      <w:proofErr w:type="spellEnd"/>
      <w:r>
        <w:t xml:space="preserve"> desires within debate to play as </w:t>
      </w:r>
      <w:proofErr w:type="spellStart"/>
      <w:r>
        <w:t>activits</w:t>
      </w:r>
      <w:proofErr w:type="spellEnd"/>
      <w:r>
        <w:t xml:space="preserve"> without </w:t>
      </w:r>
      <w:proofErr w:type="spellStart"/>
      <w:r>
        <w:t>reimagnign</w:t>
      </w:r>
      <w:proofErr w:type="spellEnd"/>
      <w:r>
        <w:t xml:space="preserve"> the social structures that cause violence in the first place. Viewing the ballot as </w:t>
      </w:r>
      <w:proofErr w:type="gramStart"/>
      <w:r>
        <w:t>an</w:t>
      </w:r>
      <w:proofErr w:type="gramEnd"/>
      <w:r>
        <w:t xml:space="preserve"> mechanism to restore ethicality fails – they still dogmatically adhere to these protocols even though they know debate doesn’t </w:t>
      </w:r>
      <w:proofErr w:type="spellStart"/>
      <w:r>
        <w:t>caus</w:t>
      </w:r>
      <w:proofErr w:type="spellEnd"/>
      <w:r>
        <w:t xml:space="preserve"> </w:t>
      </w:r>
      <w:proofErr w:type="spellStart"/>
      <w:r>
        <w:t>emateiral</w:t>
      </w:r>
      <w:proofErr w:type="spellEnd"/>
      <w:r>
        <w:t xml:space="preserve"> change. That creates an process where </w:t>
      </w:r>
      <w:proofErr w:type="spellStart"/>
      <w:r>
        <w:t>nativeness</w:t>
      </w:r>
      <w:proofErr w:type="spellEnd"/>
      <w:r>
        <w:t xml:space="preserve"> is confined to death as their promise of a </w:t>
      </w:r>
      <w:proofErr w:type="spellStart"/>
      <w:r>
        <w:t>fiated</w:t>
      </w:r>
      <w:proofErr w:type="spellEnd"/>
      <w:r>
        <w:t xml:space="preserve"> political horizon relies on </w:t>
      </w:r>
      <w:proofErr w:type="gramStart"/>
      <w:r>
        <w:t>a  politics</w:t>
      </w:r>
      <w:proofErr w:type="gramEnd"/>
      <w:r>
        <w:t xml:space="preserve"> of futurity.</w:t>
      </w:r>
    </w:p>
    <w:p w14:paraId="51A50466" w14:textId="3B79F05B" w:rsidR="00D730A0" w:rsidRDefault="00D730A0" w:rsidP="00D730A0">
      <w:pPr>
        <w:pStyle w:val="Heading3"/>
      </w:pPr>
      <w:r>
        <w:t>Util</w:t>
      </w:r>
    </w:p>
    <w:p w14:paraId="50069A9D" w14:textId="61850D62" w:rsidR="00D730A0" w:rsidRDefault="00D730A0" w:rsidP="00D730A0">
      <w:pPr>
        <w:pStyle w:val="Heading4"/>
      </w:pPr>
      <w:proofErr w:type="spellStart"/>
      <w:r>
        <w:t>Moean</w:t>
      </w:r>
      <w:proofErr w:type="spellEnd"/>
    </w:p>
    <w:p w14:paraId="37EC44C7" w14:textId="31EA588D" w:rsidR="00D730A0" w:rsidRDefault="00D730A0" w:rsidP="00D730A0">
      <w:pPr>
        <w:pStyle w:val="Heading4"/>
      </w:pPr>
      <w:r>
        <w:t xml:space="preserve">Empirical </w:t>
      </w:r>
      <w:proofErr w:type="spellStart"/>
      <w:proofErr w:type="gramStart"/>
      <w:r>
        <w:t>claimw</w:t>
      </w:r>
      <w:proofErr w:type="spellEnd"/>
      <w:r>
        <w:t xml:space="preserve">  out</w:t>
      </w:r>
      <w:proofErr w:type="gramEnd"/>
      <w:r>
        <w:t xml:space="preserve"> warrant</w:t>
      </w:r>
    </w:p>
    <w:p w14:paraId="0653E833" w14:textId="560C1758" w:rsidR="00D730A0" w:rsidRDefault="00D730A0" w:rsidP="00D730A0">
      <w:pPr>
        <w:pStyle w:val="Heading4"/>
      </w:pPr>
      <w:r>
        <w:t>Q of what type of pleasure</w:t>
      </w:r>
    </w:p>
    <w:p w14:paraId="74C22CCE" w14:textId="477B36B2" w:rsidR="00D730A0" w:rsidRDefault="00D730A0" w:rsidP="00D730A0">
      <w:pPr>
        <w:pStyle w:val="Heading4"/>
      </w:pPr>
      <w:r>
        <w:t>YPAR</w:t>
      </w:r>
    </w:p>
    <w:p w14:paraId="5CEE2C25" w14:textId="0F32762D" w:rsidR="00D730A0" w:rsidRDefault="00D730A0" w:rsidP="00D730A0">
      <w:pPr>
        <w:pStyle w:val="Heading4"/>
      </w:pPr>
      <w:r>
        <w:t xml:space="preserve">I </w:t>
      </w:r>
      <w:proofErr w:type="spellStart"/>
      <w:proofErr w:type="gramStart"/>
      <w:r>
        <w:t>hv</w:t>
      </w:r>
      <w:proofErr w:type="spellEnd"/>
      <w:r>
        <w:t xml:space="preserve"> !t</w:t>
      </w:r>
      <w:proofErr w:type="gramEnd"/>
      <w:r>
        <w:t xml:space="preserve"> political resistant </w:t>
      </w:r>
      <w:proofErr w:type="spellStart"/>
      <w:r>
        <w:t>stregies</w:t>
      </w:r>
      <w:proofErr w:type="spellEnd"/>
      <w:r>
        <w:t xml:space="preserve"> which means </w:t>
      </w:r>
      <w:proofErr w:type="spellStart"/>
      <w:r>
        <w:t>its</w:t>
      </w:r>
      <w:proofErr w:type="spellEnd"/>
      <w:r>
        <w:t xml:space="preserve"> not transformative</w:t>
      </w:r>
    </w:p>
    <w:p w14:paraId="64C92F73" w14:textId="53DA8A7B" w:rsidR="00D730A0" w:rsidRDefault="00D730A0" w:rsidP="00D730A0">
      <w:pPr>
        <w:pStyle w:val="Heading4"/>
      </w:pPr>
      <w:r>
        <w:t xml:space="preserve">There is no spill over to activism – fiat doesn’t mean the plan happens </w:t>
      </w:r>
      <w:proofErr w:type="spellStart"/>
      <w:r>
        <w:t>irl</w:t>
      </w:r>
      <w:proofErr w:type="spellEnd"/>
      <w:r w:rsidR="00682398">
        <w:t xml:space="preserve"> cx proves they </w:t>
      </w:r>
      <w:proofErr w:type="spellStart"/>
      <w:proofErr w:type="gramStart"/>
      <w:r w:rsidR="00682398">
        <w:t>cant</w:t>
      </w:r>
      <w:proofErr w:type="spellEnd"/>
      <w:proofErr w:type="gramEnd"/>
      <w:r w:rsidR="00682398">
        <w:t xml:space="preserve"> </w:t>
      </w:r>
      <w:proofErr w:type="spellStart"/>
      <w:r w:rsidR="00682398">
        <w:t>exlpain</w:t>
      </w:r>
      <w:proofErr w:type="spellEnd"/>
    </w:p>
    <w:p w14:paraId="475D6E48" w14:textId="4CE63EF2" w:rsidR="00D730A0" w:rsidRDefault="00D730A0" w:rsidP="00D730A0">
      <w:pPr>
        <w:pStyle w:val="Heading4"/>
      </w:pPr>
      <w:r>
        <w:t xml:space="preserve">The </w:t>
      </w:r>
      <w:proofErr w:type="spellStart"/>
      <w:r>
        <w:t>aff</w:t>
      </w:r>
      <w:proofErr w:type="spellEnd"/>
      <w:r>
        <w:t xml:space="preserve"> is not an </w:t>
      </w:r>
      <w:proofErr w:type="spellStart"/>
      <w:r>
        <w:t>isntnae</w:t>
      </w:r>
      <w:proofErr w:type="spellEnd"/>
      <w:r>
        <w:t xml:space="preserve"> of activism or resistance nor is it YPAR which means they don’t get offense don’t let the 1ar make this clarification should have been in the 1AC</w:t>
      </w:r>
    </w:p>
    <w:p w14:paraId="3AC94BF2" w14:textId="3809B79C" w:rsidR="00D730A0" w:rsidRDefault="00D730A0" w:rsidP="00D730A0">
      <w:pPr>
        <w:pStyle w:val="Heading4"/>
      </w:pPr>
      <w:proofErr w:type="spellStart"/>
      <w:r>
        <w:t>Deostn</w:t>
      </w:r>
      <w:proofErr w:type="spellEnd"/>
      <w:r>
        <w:t xml:space="preserve"> matter if I </w:t>
      </w:r>
      <w:proofErr w:type="gramStart"/>
      <w:r>
        <w:t>have !t</w:t>
      </w:r>
      <w:proofErr w:type="gramEnd"/>
      <w:r>
        <w:t xml:space="preserve"> the stasis point </w:t>
      </w:r>
      <w:proofErr w:type="spellStart"/>
      <w:r>
        <w:t>fo</w:t>
      </w:r>
      <w:proofErr w:type="spellEnd"/>
      <w:r>
        <w:t xml:space="preserve"> research the 1AC begins at </w:t>
      </w:r>
    </w:p>
    <w:p w14:paraId="67D5B283" w14:textId="5712B72D" w:rsidR="00D730A0" w:rsidRPr="00D730A0" w:rsidRDefault="00D730A0" w:rsidP="00D730A0">
      <w:r>
        <w:t xml:space="preserve">Not responsive to the </w:t>
      </w:r>
      <w:r w:rsidR="00682398">
        <w:t xml:space="preserve">criticism </w:t>
      </w:r>
    </w:p>
    <w:p w14:paraId="2435E942" w14:textId="0DBA46F1" w:rsidR="00D730A0" w:rsidRDefault="00D730A0" w:rsidP="00D730A0">
      <w:pPr>
        <w:pStyle w:val="Heading3"/>
      </w:pPr>
      <w:r>
        <w:t>Covid</w:t>
      </w:r>
    </w:p>
    <w:p w14:paraId="30E27D38" w14:textId="01FF713C" w:rsidR="00D730A0" w:rsidRPr="00770016" w:rsidRDefault="00D730A0" w:rsidP="00D730A0">
      <w:pPr>
        <w:pStyle w:val="Heading4"/>
        <w:rPr>
          <w:rFonts w:cs="Calibri"/>
        </w:rPr>
      </w:pPr>
      <w:r w:rsidRPr="00770016">
        <w:rPr>
          <w:rFonts w:cs="Calibri"/>
        </w:rPr>
        <w:t xml:space="preserve">waiver </w:t>
      </w:r>
      <w:r w:rsidRPr="00770016">
        <w:rPr>
          <w:rFonts w:cs="Calibri"/>
          <w:u w:val="single"/>
        </w:rPr>
        <w:t>doesn’t solve</w:t>
      </w:r>
      <w:r w:rsidRPr="00770016">
        <w:rPr>
          <w:rFonts w:cs="Calibri"/>
        </w:rPr>
        <w:t xml:space="preserve">- it doesn’t </w:t>
      </w:r>
      <w:r w:rsidRPr="00770016">
        <w:rPr>
          <w:rFonts w:cs="Calibri"/>
          <w:u w:val="single"/>
        </w:rPr>
        <w:t>obligate</w:t>
      </w:r>
      <w:r w:rsidRPr="00770016">
        <w:rPr>
          <w:rFonts w:cs="Calibri"/>
        </w:rPr>
        <w:t xml:space="preserve"> countries to do anything, just makes it </w:t>
      </w:r>
      <w:r w:rsidRPr="00770016">
        <w:rPr>
          <w:rFonts w:cs="Calibri"/>
          <w:u w:val="single"/>
        </w:rPr>
        <w:t>legal</w:t>
      </w:r>
      <w:r w:rsidRPr="00770016">
        <w:rPr>
          <w:rFonts w:cs="Calibri"/>
        </w:rPr>
        <w:t>.</w:t>
      </w:r>
    </w:p>
    <w:p w14:paraId="7BEAA348" w14:textId="77777777" w:rsidR="00D730A0" w:rsidRPr="00770016" w:rsidRDefault="00D730A0" w:rsidP="00D730A0">
      <w:r w:rsidRPr="00770016">
        <w:rPr>
          <w:rStyle w:val="Style13ptBold"/>
        </w:rPr>
        <w:t>Mercurio 21</w:t>
      </w:r>
      <w:r w:rsidRPr="00770016">
        <w:t xml:space="preserve"> [Bryan; Professor of Law, The Chinese University of Hong Kong; "The IP Waiver for COVID-19: Bad Policy, Bad Precedent," 2021; 1-6. International Review of Intellectual Property and Competition Law.] Justin</w:t>
      </w:r>
    </w:p>
    <w:p w14:paraId="73870E78" w14:textId="77777777" w:rsidR="00D730A0" w:rsidRPr="00770016" w:rsidRDefault="00D730A0" w:rsidP="00D730A0">
      <w:r w:rsidRPr="00770016">
        <w:t xml:space="preserve">It is not only the length of time which is an issue but also </w:t>
      </w:r>
      <w:r w:rsidRPr="00770016">
        <w:rPr>
          <w:u w:val="single"/>
        </w:rPr>
        <w:t xml:space="preserve">the </w:t>
      </w:r>
      <w:r w:rsidRPr="00770016">
        <w:rPr>
          <w:rStyle w:val="Emphasis"/>
        </w:rPr>
        <w:t xml:space="preserve">ultimate impact of the </w:t>
      </w:r>
      <w:r w:rsidRPr="00815608">
        <w:rPr>
          <w:rStyle w:val="Emphasis"/>
          <w:highlight w:val="cyan"/>
        </w:rPr>
        <w:t>waiver</w:t>
      </w:r>
      <w:r w:rsidRPr="00770016">
        <w:rPr>
          <w:rStyle w:val="Emphasis"/>
        </w:rPr>
        <w:t xml:space="preserve">. A waiver simply </w:t>
      </w:r>
      <w:r w:rsidRPr="00815608">
        <w:rPr>
          <w:rStyle w:val="Emphasis"/>
          <w:highlight w:val="cyan"/>
        </w:rPr>
        <w:t>means</w:t>
      </w:r>
      <w:r w:rsidRPr="00770016">
        <w:rPr>
          <w:rStyle w:val="Emphasis"/>
        </w:rPr>
        <w:t xml:space="preserve"> that a </w:t>
      </w:r>
      <w:r w:rsidRPr="00815608">
        <w:rPr>
          <w:rStyle w:val="Emphasis"/>
          <w:highlight w:val="cyan"/>
        </w:rPr>
        <w:t>WTO Member would not be in violation</w:t>
      </w:r>
      <w:r w:rsidRPr="00770016">
        <w:rPr>
          <w:rStyle w:val="Emphasis"/>
        </w:rPr>
        <w:t xml:space="preserve"> of its WTO obligations if it does not protect and enforce the COVID-19-related IPRs for the duration of the waiver</w:t>
      </w:r>
      <w:r w:rsidRPr="00770016">
        <w:rPr>
          <w:u w:val="single"/>
        </w:rPr>
        <w:t xml:space="preserve">. </w:t>
      </w:r>
      <w:r w:rsidRPr="00815608">
        <w:rPr>
          <w:highlight w:val="cyan"/>
          <w:u w:val="single"/>
        </w:rPr>
        <w:t>The waiver would</w:t>
      </w:r>
      <w:r w:rsidRPr="00770016">
        <w:rPr>
          <w:u w:val="single"/>
        </w:rPr>
        <w:t xml:space="preserve"> thus allow Members to deviate from their international obligations but </w:t>
      </w:r>
      <w:r w:rsidRPr="00815608">
        <w:rPr>
          <w:highlight w:val="cyan"/>
          <w:u w:val="single"/>
        </w:rPr>
        <w:t xml:space="preserve">not obligate Members to </w:t>
      </w:r>
      <w:r w:rsidRPr="00815608">
        <w:rPr>
          <w:rStyle w:val="Emphasis"/>
          <w:highlight w:val="cyan"/>
        </w:rPr>
        <w:t>suspend protection</w:t>
      </w:r>
      <w:r w:rsidRPr="00770016">
        <w:t xml:space="preserve"> and enforcement of the IPRs. </w:t>
      </w:r>
      <w:r w:rsidRPr="00770016">
        <w:rPr>
          <w:u w:val="single"/>
        </w:rPr>
        <w:t xml:space="preserve">Members like the </w:t>
      </w:r>
      <w:r w:rsidRPr="00815608">
        <w:rPr>
          <w:highlight w:val="cyan"/>
          <w:u w:val="single"/>
        </w:rPr>
        <w:t>US</w:t>
      </w:r>
      <w:r w:rsidRPr="00770016">
        <w:rPr>
          <w:u w:val="single"/>
        </w:rPr>
        <w:t xml:space="preserve"> who support the waiver </w:t>
      </w:r>
      <w:r w:rsidRPr="00815608">
        <w:rPr>
          <w:highlight w:val="cyan"/>
          <w:u w:val="single"/>
        </w:rPr>
        <w:t>may not implement</w:t>
      </w:r>
      <w:r w:rsidRPr="00770016">
        <w:rPr>
          <w:u w:val="single"/>
        </w:rPr>
        <w:t xml:space="preserve"> the necessary domestic </w:t>
      </w:r>
      <w:r w:rsidRPr="00815608">
        <w:rPr>
          <w:highlight w:val="cyan"/>
          <w:u w:val="single"/>
        </w:rPr>
        <w:t>legislation to waive IPRs</w:t>
      </w:r>
      <w:r w:rsidRPr="00770016">
        <w:rPr>
          <w:u w:val="single"/>
        </w:rPr>
        <w:t xml:space="preserve"> within the jurisdiction</w:t>
      </w:r>
      <w:r w:rsidRPr="00770016">
        <w:t>. It is questionable whether the US could even legally implement the waiver given that IPRs are a matter of constitutional law.17</w:t>
      </w:r>
    </w:p>
    <w:p w14:paraId="54C96FE7" w14:textId="77777777" w:rsidR="00D730A0" w:rsidRDefault="00D730A0" w:rsidP="00D730A0">
      <w:pPr>
        <w:pStyle w:val="Heading4"/>
      </w:pPr>
      <w:r>
        <w:t xml:space="preserve">The </w:t>
      </w:r>
      <w:proofErr w:type="spellStart"/>
      <w:r w:rsidRPr="006157FC">
        <w:t>squo</w:t>
      </w:r>
      <w:proofErr w:type="spellEnd"/>
      <w:r w:rsidRPr="006157FC">
        <w:t xml:space="preserve"> is goldilocks--COVAX</w:t>
      </w:r>
      <w:r>
        <w:t xml:space="preserve"> and licensing agreements ensure vaccine access now, but patent waiver causes unsafe vaccines and decks innovation.</w:t>
      </w:r>
    </w:p>
    <w:p w14:paraId="4ED6DE63" w14:textId="77777777" w:rsidR="00D730A0" w:rsidRPr="006C5510" w:rsidRDefault="00D730A0" w:rsidP="00D730A0">
      <w:pPr>
        <w:rPr>
          <w:rStyle w:val="Style13ptBold"/>
          <w:b w:val="0"/>
          <w:bCs w:val="0"/>
        </w:rPr>
      </w:pPr>
      <w:r>
        <w:rPr>
          <w:rStyle w:val="Style13ptBold"/>
        </w:rPr>
        <w:t xml:space="preserve">Crosby et al. 21 </w:t>
      </w:r>
      <w:r>
        <w:rPr>
          <w:rStyle w:val="Style13ptBold"/>
          <w:b w:val="0"/>
        </w:rPr>
        <w:t xml:space="preserve">(Daniel Crosby [Lawyer specializing in international trade/law], Evan Diamond [Lawyer specializing in pharmaceutical and biotechnology patent litigation], Isabel Fernandez de la Cuesta [Lawyer specializing in international treaty arbitration], Jamieson Greer [Lawyer specializing in international trade], Jeffrey Telep [Lawyer specializing in international trade litigation], Brian White [Lawyer specializing in international arbitration], </w:t>
      </w:r>
      <w:r w:rsidRPr="00957563">
        <w:rPr>
          <w:rStyle w:val="Style13ptBold"/>
          <w:b w:val="0"/>
        </w:rPr>
        <w:t>Group of Nearly 60 WTO Members Seek Unprecedented Waiver from WTO Intellectual Property Protection for COVID-related Medical Products</w:t>
      </w:r>
      <w:r>
        <w:rPr>
          <w:rStyle w:val="Style13ptBold"/>
          <w:b w:val="0"/>
        </w:rPr>
        <w:t xml:space="preserve">, JD Supra, 3/5/2021, </w:t>
      </w:r>
      <w:hyperlink r:id="rId8" w:history="1">
        <w:r w:rsidRPr="00E65ADF">
          <w:rPr>
            <w:rStyle w:val="Hyperlink"/>
            <w:bCs/>
            <w:sz w:val="26"/>
          </w:rPr>
          <w:t>https://www.jdsupra.com/legalnews/group-of-nearly-60-wto-members-seek-2523821/</w:t>
        </w:r>
      </w:hyperlink>
      <w:r>
        <w:rPr>
          <w:rStyle w:val="Style13ptBold"/>
          <w:b w:val="0"/>
        </w:rPr>
        <w:t xml:space="preserve">) </w:t>
      </w:r>
      <w:proofErr w:type="spellStart"/>
      <w:r>
        <w:rPr>
          <w:rStyle w:val="Style13ptBold"/>
          <w:b w:val="0"/>
        </w:rPr>
        <w:t>hwof</w:t>
      </w:r>
      <w:proofErr w:type="spellEnd"/>
    </w:p>
    <w:p w14:paraId="241E6444" w14:textId="77777777" w:rsidR="00D730A0" w:rsidRDefault="00D730A0" w:rsidP="00D730A0">
      <w:pPr>
        <w:rPr>
          <w:sz w:val="16"/>
        </w:rPr>
      </w:pPr>
      <w:r w:rsidRPr="006C5510">
        <w:rPr>
          <w:sz w:val="16"/>
        </w:rPr>
        <w:t xml:space="preserve">Efforts to develop, produce, and equitably distribute medical products. WTO Members recognize that unprecedented demand for medical products used in the fight against COVID-19 has far outstripped supply of required supplies. Several WTO Members have pointed out that </w:t>
      </w:r>
      <w:r w:rsidRPr="00757CA3">
        <w:rPr>
          <w:rStyle w:val="StyleUnderline"/>
          <w:highlight w:val="green"/>
        </w:rPr>
        <w:t>i</w:t>
      </w:r>
      <w:r w:rsidRPr="006C5510">
        <w:rPr>
          <w:rStyle w:val="StyleUnderline"/>
        </w:rPr>
        <w:t xml:space="preserve">ntellectual </w:t>
      </w:r>
      <w:r w:rsidRPr="00757CA3">
        <w:rPr>
          <w:rStyle w:val="StyleUnderline"/>
          <w:highlight w:val="green"/>
        </w:rPr>
        <w:t>p</w:t>
      </w:r>
      <w:r w:rsidRPr="006C5510">
        <w:rPr>
          <w:rStyle w:val="StyleUnderline"/>
        </w:rPr>
        <w:t xml:space="preserve">roperty </w:t>
      </w:r>
      <w:r w:rsidRPr="00757CA3">
        <w:rPr>
          <w:rStyle w:val="StyleUnderline"/>
          <w:highlight w:val="green"/>
        </w:rPr>
        <w:t>protections have not limited production of vaccines</w:t>
      </w:r>
      <w:r w:rsidRPr="006C5510">
        <w:rPr>
          <w:sz w:val="16"/>
        </w:rPr>
        <w:t xml:space="preserve"> and other medical products. Rather, these Members have argued that intellectual property </w:t>
      </w:r>
      <w:r w:rsidRPr="00172BC8">
        <w:rPr>
          <w:rStyle w:val="StyleUnderline"/>
        </w:rPr>
        <w:t>protection has incentivized the research, development and production</w:t>
      </w:r>
      <w:r w:rsidRPr="006C5510">
        <w:rPr>
          <w:rStyle w:val="StyleUnderline"/>
        </w:rPr>
        <w:t xml:space="preserve"> of the necessary vaccines, </w:t>
      </w:r>
      <w:proofErr w:type="gramStart"/>
      <w:r w:rsidRPr="006C5510">
        <w:rPr>
          <w:rStyle w:val="StyleUnderline"/>
        </w:rPr>
        <w:t>treatments</w:t>
      </w:r>
      <w:proofErr w:type="gramEnd"/>
      <w:r w:rsidRPr="006C5510">
        <w:rPr>
          <w:rStyle w:val="StyleUnderline"/>
        </w:rPr>
        <w:t xml:space="preserve"> and products.</w:t>
      </w:r>
      <w:r w:rsidRPr="006C5510">
        <w:rPr>
          <w:sz w:val="16"/>
        </w:rPr>
        <w:t xml:space="preserve"> Moreover</w:t>
      </w:r>
      <w:r w:rsidRPr="00172BC8">
        <w:rPr>
          <w:sz w:val="16"/>
        </w:rPr>
        <w:t xml:space="preserve">, </w:t>
      </w:r>
      <w:r w:rsidRPr="00757CA3">
        <w:rPr>
          <w:rStyle w:val="StyleUnderline"/>
          <w:highlight w:val="green"/>
        </w:rPr>
        <w:t>the international community is coordinating and funding equitable COVID-19 vaccine distribution globally through COVAX</w:t>
      </w:r>
      <w:r w:rsidRPr="006C5510">
        <w:rPr>
          <w:sz w:val="16"/>
        </w:rPr>
        <w:t xml:space="preserve">, which is organized by Gavi, the Vaccine Alliance, the World Health </w:t>
      </w:r>
      <w:proofErr w:type="gramStart"/>
      <w:r w:rsidRPr="006C5510">
        <w:rPr>
          <w:sz w:val="16"/>
        </w:rPr>
        <w:t>Organization</w:t>
      </w:r>
      <w:proofErr w:type="gramEnd"/>
      <w:r w:rsidRPr="006C5510">
        <w:rPr>
          <w:sz w:val="16"/>
        </w:rPr>
        <w:t xml:space="preserve"> and the Coalition for Epidemic Preparedness Innovations. Despite these facts, less developed countries continue to push for a waiver of all intellectual property protection for medical products related to the pandemic. </w:t>
      </w:r>
      <w:r w:rsidRPr="00757CA3">
        <w:rPr>
          <w:rStyle w:val="StyleUnderline"/>
          <w:highlight w:val="green"/>
        </w:rPr>
        <w:t>Waiver risks uncontrolled use of patented technologies, without improving vaccine access.</w:t>
      </w:r>
      <w:r w:rsidRPr="006C5510">
        <w:rPr>
          <w:sz w:val="16"/>
        </w:rPr>
        <w:t xml:space="preserve"> Pharmaceutical </w:t>
      </w:r>
      <w:r w:rsidRPr="006C5510">
        <w:rPr>
          <w:rStyle w:val="StyleUnderline"/>
        </w:rPr>
        <w:t>companies</w:t>
      </w:r>
      <w:r w:rsidRPr="006C5510">
        <w:rPr>
          <w:sz w:val="16"/>
        </w:rPr>
        <w:t xml:space="preserve"> can provide, and </w:t>
      </w:r>
      <w:r w:rsidRPr="006C5510">
        <w:rPr>
          <w:rStyle w:val="StyleUnderline"/>
        </w:rPr>
        <w:t>have provided</w:t>
      </w:r>
      <w:r w:rsidRPr="006C5510">
        <w:rPr>
          <w:sz w:val="16"/>
        </w:rPr>
        <w:t xml:space="preserve">, </w:t>
      </w:r>
      <w:r w:rsidRPr="006C5510">
        <w:rPr>
          <w:rStyle w:val="StyleUnderline"/>
        </w:rPr>
        <w:t>licenses to distribute</w:t>
      </w:r>
      <w:r w:rsidRPr="006C5510">
        <w:rPr>
          <w:sz w:val="16"/>
        </w:rPr>
        <w:t xml:space="preserve"> or scale-up production of COVID-19 </w:t>
      </w:r>
      <w:r w:rsidRPr="006C5510">
        <w:rPr>
          <w:rStyle w:val="StyleUnderline"/>
        </w:rPr>
        <w:t>vaccines</w:t>
      </w:r>
      <w:r w:rsidRPr="006C5510">
        <w:rPr>
          <w:sz w:val="16"/>
        </w:rPr>
        <w:t xml:space="preserve"> and therapies </w:t>
      </w:r>
      <w:r w:rsidRPr="006C5510">
        <w:rPr>
          <w:rStyle w:val="StyleUnderline"/>
        </w:rPr>
        <w:t>at reduced cost</w:t>
      </w:r>
      <w:r w:rsidRPr="006C5510">
        <w:rPr>
          <w:sz w:val="16"/>
        </w:rPr>
        <w:t xml:space="preserve">. Such license </w:t>
      </w:r>
      <w:r w:rsidRPr="00757CA3">
        <w:rPr>
          <w:rStyle w:val="StyleUnderline"/>
          <w:highlight w:val="green"/>
        </w:rPr>
        <w:t>agreements allow for expanded access in l</w:t>
      </w:r>
      <w:r w:rsidRPr="00172BC8">
        <w:rPr>
          <w:rStyle w:val="StyleUnderline"/>
        </w:rPr>
        <w:t>ow-</w:t>
      </w:r>
      <w:r w:rsidRPr="006C5510">
        <w:rPr>
          <w:sz w:val="16"/>
        </w:rPr>
        <w:t xml:space="preserve"> and middle-</w:t>
      </w:r>
      <w:r w:rsidRPr="00757CA3">
        <w:rPr>
          <w:rStyle w:val="StyleUnderline"/>
          <w:highlight w:val="green"/>
        </w:rPr>
        <w:t>i</w:t>
      </w:r>
      <w:r w:rsidRPr="006C5510">
        <w:rPr>
          <w:rStyle w:val="StyleUnderline"/>
        </w:rPr>
        <w:t xml:space="preserve">ncome </w:t>
      </w:r>
      <w:r w:rsidRPr="00757CA3">
        <w:rPr>
          <w:rStyle w:val="StyleUnderline"/>
          <w:highlight w:val="green"/>
        </w:rPr>
        <w:t>c</w:t>
      </w:r>
      <w:r w:rsidRPr="006C5510">
        <w:rPr>
          <w:rStyle w:val="StyleUnderline"/>
        </w:rPr>
        <w:t>ountrie</w:t>
      </w:r>
      <w:r w:rsidRPr="00757CA3">
        <w:rPr>
          <w:rStyle w:val="StyleUnderline"/>
          <w:highlight w:val="green"/>
        </w:rPr>
        <w:t>s</w:t>
      </w:r>
      <w:r w:rsidRPr="006C5510">
        <w:rPr>
          <w:rStyle w:val="StyleUnderline"/>
        </w:rPr>
        <w:t xml:space="preserve">, </w:t>
      </w:r>
      <w:r w:rsidRPr="00757CA3">
        <w:rPr>
          <w:rStyle w:val="StyleUnderline"/>
          <w:highlight w:val="green"/>
        </w:rPr>
        <w:t>while</w:t>
      </w:r>
      <w:r w:rsidRPr="006C5510">
        <w:rPr>
          <w:sz w:val="16"/>
        </w:rPr>
        <w:t xml:space="preserve"> also </w:t>
      </w:r>
      <w:r w:rsidRPr="00757CA3">
        <w:rPr>
          <w:rStyle w:val="StyleUnderline"/>
          <w:highlight w:val="green"/>
        </w:rPr>
        <w:t>setting</w:t>
      </w:r>
      <w:r w:rsidRPr="006C5510">
        <w:rPr>
          <w:sz w:val="16"/>
        </w:rPr>
        <w:t xml:space="preserve"> reasonable </w:t>
      </w:r>
      <w:r w:rsidRPr="00757CA3">
        <w:rPr>
          <w:rStyle w:val="StyleUnderline"/>
          <w:highlight w:val="green"/>
        </w:rPr>
        <w:t>parameters so that patents</w:t>
      </w:r>
      <w:r w:rsidRPr="006C5510">
        <w:rPr>
          <w:sz w:val="16"/>
        </w:rPr>
        <w:t xml:space="preserve"> and other IP rights </w:t>
      </w:r>
      <w:r w:rsidRPr="00757CA3">
        <w:rPr>
          <w:rStyle w:val="StyleUnderline"/>
          <w:highlight w:val="green"/>
        </w:rPr>
        <w:t>are used to address the specific</w:t>
      </w:r>
      <w:r w:rsidRPr="006C5510">
        <w:rPr>
          <w:rStyle w:val="StyleUnderline"/>
        </w:rPr>
        <w:t xml:space="preserve"> medical </w:t>
      </w:r>
      <w:r w:rsidRPr="00757CA3">
        <w:rPr>
          <w:rStyle w:val="StyleUnderline"/>
          <w:highlight w:val="green"/>
        </w:rPr>
        <w:t>needs of</w:t>
      </w:r>
      <w:r w:rsidRPr="006C5510">
        <w:rPr>
          <w:sz w:val="16"/>
        </w:rPr>
        <w:t xml:space="preserve"> the </w:t>
      </w:r>
      <w:r w:rsidRPr="00757CA3">
        <w:rPr>
          <w:rStyle w:val="StyleUnderline"/>
          <w:highlight w:val="green"/>
        </w:rPr>
        <w:t>COVID</w:t>
      </w:r>
      <w:r w:rsidRPr="006C5510">
        <w:rPr>
          <w:rStyle w:val="StyleUnderline"/>
        </w:rPr>
        <w:t>-19</w:t>
      </w:r>
      <w:r w:rsidRPr="006C5510">
        <w:rPr>
          <w:sz w:val="16"/>
        </w:rPr>
        <w:t xml:space="preserve"> </w:t>
      </w:r>
    </w:p>
    <w:p w14:paraId="3CF9588C" w14:textId="77777777" w:rsidR="00D730A0" w:rsidRDefault="00D730A0" w:rsidP="00D730A0">
      <w:pPr>
        <w:rPr>
          <w:sz w:val="16"/>
        </w:rPr>
      </w:pPr>
    </w:p>
    <w:p w14:paraId="44C6D684" w14:textId="77777777" w:rsidR="00D730A0" w:rsidRDefault="00D730A0" w:rsidP="00D730A0">
      <w:pPr>
        <w:rPr>
          <w:sz w:val="16"/>
        </w:rPr>
      </w:pPr>
    </w:p>
    <w:p w14:paraId="1B204FC3" w14:textId="77777777" w:rsidR="00D730A0" w:rsidRPr="006C5510" w:rsidRDefault="00D730A0" w:rsidP="00D730A0">
      <w:pPr>
        <w:rPr>
          <w:sz w:val="16"/>
        </w:rPr>
      </w:pPr>
      <w:r w:rsidRPr="006C5510">
        <w:rPr>
          <w:sz w:val="16"/>
        </w:rPr>
        <w:t xml:space="preserve">pandemic at hand, and not for other purposes. </w:t>
      </w:r>
      <w:r w:rsidRPr="00757CA3">
        <w:rPr>
          <w:rStyle w:val="StyleUnderline"/>
          <w:highlight w:val="green"/>
        </w:rPr>
        <w:t>License agreements also allow for orderly tech</w:t>
      </w:r>
      <w:r w:rsidRPr="006C5510">
        <w:rPr>
          <w:rStyle w:val="StyleUnderline"/>
        </w:rPr>
        <w:t xml:space="preserve">nology </w:t>
      </w:r>
      <w:r w:rsidRPr="00757CA3">
        <w:rPr>
          <w:rStyle w:val="StyleUnderline"/>
          <w:highlight w:val="green"/>
        </w:rPr>
        <w:t>transfer</w:t>
      </w:r>
      <w:r w:rsidRPr="006C5510">
        <w:rPr>
          <w:sz w:val="16"/>
        </w:rPr>
        <w:t xml:space="preserve">, </w:t>
      </w:r>
      <w:r w:rsidRPr="006C5510">
        <w:rPr>
          <w:rStyle w:val="StyleUnderline"/>
        </w:rPr>
        <w:t>including</w:t>
      </w:r>
      <w:r w:rsidRPr="006C5510">
        <w:rPr>
          <w:sz w:val="16"/>
        </w:rPr>
        <w:t xml:space="preserve"> of unpatented “trade secret” information and other </w:t>
      </w:r>
      <w:r w:rsidRPr="006C5510">
        <w:rPr>
          <w:rStyle w:val="StyleUnderline"/>
        </w:rPr>
        <w:t>critical “know-how,” that may be essential to efficiently producing</w:t>
      </w:r>
      <w:r w:rsidRPr="006C5510">
        <w:rPr>
          <w:sz w:val="16"/>
        </w:rPr>
        <w:t xml:space="preserve"> and scaling-up </w:t>
      </w:r>
      <w:r w:rsidRPr="006C5510">
        <w:rPr>
          <w:rStyle w:val="StyleUnderline"/>
        </w:rPr>
        <w:t>safe and effective</w:t>
      </w:r>
      <w:r w:rsidRPr="006C5510">
        <w:rPr>
          <w:sz w:val="16"/>
        </w:rPr>
        <w:t xml:space="preserve"> versions of technologically complex </w:t>
      </w:r>
      <w:r w:rsidRPr="006C5510">
        <w:rPr>
          <w:rStyle w:val="StyleUnderline"/>
        </w:rPr>
        <w:t>vaccines</w:t>
      </w:r>
      <w:r w:rsidRPr="006C5510">
        <w:rPr>
          <w:sz w:val="16"/>
        </w:rPr>
        <w:t xml:space="preserve"> and biologic drug products. </w:t>
      </w:r>
      <w:r w:rsidRPr="00757CA3">
        <w:rPr>
          <w:rStyle w:val="StyleUnderline"/>
          <w:highlight w:val="green"/>
        </w:rPr>
        <w:t>Under the</w:t>
      </w:r>
      <w:r w:rsidRPr="006C5510">
        <w:rPr>
          <w:sz w:val="16"/>
        </w:rPr>
        <w:t xml:space="preserve"> present TRIPS </w:t>
      </w:r>
      <w:r w:rsidRPr="00757CA3">
        <w:rPr>
          <w:rStyle w:val="StyleUnderline"/>
          <w:highlight w:val="green"/>
        </w:rPr>
        <w:t>waiver</w:t>
      </w:r>
      <w:r w:rsidRPr="006C5510">
        <w:rPr>
          <w:rStyle w:val="StyleUnderline"/>
        </w:rPr>
        <w:t xml:space="preserve"> proposal</w:t>
      </w:r>
      <w:r w:rsidRPr="006C5510">
        <w:rPr>
          <w:sz w:val="16"/>
        </w:rPr>
        <w:t xml:space="preserve">, however, member </w:t>
      </w:r>
      <w:r w:rsidRPr="00757CA3">
        <w:rPr>
          <w:rStyle w:val="StyleUnderline"/>
          <w:highlight w:val="green"/>
        </w:rPr>
        <w:t>countries could</w:t>
      </w:r>
      <w:r w:rsidRPr="006C5510">
        <w:rPr>
          <w:sz w:val="16"/>
        </w:rPr>
        <w:t xml:space="preserve"> try to </w:t>
      </w:r>
      <w:r w:rsidRPr="00757CA3">
        <w:rPr>
          <w:rStyle w:val="StyleUnderline"/>
          <w:highlight w:val="green"/>
        </w:rPr>
        <w:t>exploit a</w:t>
      </w:r>
      <w:r w:rsidRPr="006C5510">
        <w:rPr>
          <w:rStyle w:val="StyleUnderline"/>
        </w:rPr>
        <w:t xml:space="preserve">n extraordinarily </w:t>
      </w:r>
      <w:r w:rsidRPr="00757CA3">
        <w:rPr>
          <w:rStyle w:val="StyleUnderline"/>
          <w:highlight w:val="green"/>
        </w:rPr>
        <w:t>broad scope of IP</w:t>
      </w:r>
      <w:r w:rsidRPr="006C5510">
        <w:rPr>
          <w:sz w:val="16"/>
        </w:rPr>
        <w:t xml:space="preserve"> and copy patented </w:t>
      </w:r>
      <w:r w:rsidRPr="00757CA3">
        <w:rPr>
          <w:rStyle w:val="StyleUnderline"/>
          <w:highlight w:val="green"/>
        </w:rPr>
        <w:t>tech</w:t>
      </w:r>
      <w:r w:rsidRPr="006C5510">
        <w:rPr>
          <w:rStyle w:val="StyleUnderline"/>
        </w:rPr>
        <w:t>nologies</w:t>
      </w:r>
      <w:r w:rsidRPr="006C5510">
        <w:rPr>
          <w:sz w:val="16"/>
        </w:rPr>
        <w:t xml:space="preserve">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 At the same time, </w:t>
      </w:r>
      <w:r w:rsidRPr="006C5510">
        <w:rPr>
          <w:rStyle w:val="StyleUnderline"/>
        </w:rPr>
        <w:t>it is unclear how the</w:t>
      </w:r>
      <w:r w:rsidRPr="006C5510">
        <w:rPr>
          <w:sz w:val="16"/>
        </w:rPr>
        <w:t xml:space="preserve"> proposed TRIPS </w:t>
      </w:r>
      <w:r w:rsidRPr="006C5510">
        <w:rPr>
          <w:rStyle w:val="StyleUnderline"/>
        </w:rPr>
        <w:t>waiver could provide the technology transfer and know-how critical for making</w:t>
      </w:r>
      <w:r w:rsidRPr="006C5510">
        <w:rPr>
          <w:sz w:val="16"/>
        </w:rPr>
        <w:t xml:space="preserve"> the complex molecules and formulations constituting the various </w:t>
      </w:r>
      <w:r w:rsidRPr="006C5510">
        <w:rPr>
          <w:rStyle w:val="StyleUnderline"/>
        </w:rPr>
        <w:t xml:space="preserve">COVID-19 vaccines. </w:t>
      </w:r>
      <w:r w:rsidRPr="00757CA3">
        <w:rPr>
          <w:rStyle w:val="StyleUnderline"/>
          <w:highlight w:val="green"/>
        </w:rPr>
        <w:t>Vaccine manufacture undertaken by an unauthorized party without the proper processes</w:t>
      </w:r>
      <w:r w:rsidRPr="006C5510">
        <w:rPr>
          <w:sz w:val="16"/>
        </w:rPr>
        <w:t xml:space="preserve"> and controls </w:t>
      </w:r>
      <w:r w:rsidRPr="00757CA3">
        <w:rPr>
          <w:rStyle w:val="StyleUnderline"/>
          <w:highlight w:val="green"/>
        </w:rPr>
        <w:t>could result in a</w:t>
      </w:r>
      <w:r w:rsidRPr="006C5510">
        <w:rPr>
          <w:rStyle w:val="StyleUnderline"/>
        </w:rPr>
        <w:t xml:space="preserve"> different </w:t>
      </w:r>
      <w:r w:rsidRPr="00757CA3">
        <w:rPr>
          <w:rStyle w:val="StyleUnderline"/>
          <w:highlight w:val="green"/>
        </w:rPr>
        <w:t>product that is potentially ineffective</w:t>
      </w:r>
      <w:r w:rsidRPr="006C5510">
        <w:rPr>
          <w:rStyle w:val="StyleUnderline"/>
        </w:rPr>
        <w:t xml:space="preserve"> or results in unwanted health consequences.</w:t>
      </w:r>
      <w:r w:rsidRPr="006C5510">
        <w:rPr>
          <w:sz w:val="16"/>
        </w:rPr>
        <w:t xml:space="preserve"> And </w:t>
      </w:r>
      <w:r w:rsidRPr="006C5510">
        <w:rPr>
          <w:rStyle w:val="StyleUnderline"/>
        </w:rPr>
        <w:t>even if an unauthorized manufacturer could overcome those substantial hurdles</w:t>
      </w:r>
      <w:r w:rsidRPr="006C5510">
        <w:rPr>
          <w:sz w:val="16"/>
        </w:rPr>
        <w:t xml:space="preserve"> to reverse-engineer and scale up a safe and effective vaccine copy, </w:t>
      </w:r>
      <w:r w:rsidRPr="006C5510">
        <w:rPr>
          <w:rStyle w:val="StyleUnderline"/>
        </w:rPr>
        <w:t>it would likely take substantial time and a series of failures to do so.</w:t>
      </w:r>
      <w:r w:rsidRPr="006C5510">
        <w:rPr>
          <w:sz w:val="16"/>
        </w:rPr>
        <w:t xml:space="preserve"> Notably, several of the original COVID-19 vaccine developers have recently faced low product yield and other manufacturing challenges during pre-commercial scale-up efforts and the initial months of commercial production.</w:t>
      </w:r>
    </w:p>
    <w:p w14:paraId="41A09C18" w14:textId="547898E0" w:rsidR="00D730A0" w:rsidRDefault="00D730A0" w:rsidP="00D730A0">
      <w:pPr>
        <w:pStyle w:val="Heading4"/>
      </w:pPr>
      <w:proofErr w:type="gramStart"/>
      <w:r>
        <w:t>No</w:t>
      </w:r>
      <w:proofErr w:type="gramEnd"/>
      <w:r>
        <w:t xml:space="preserve"> I/L to great power war lol – their </w:t>
      </w:r>
      <w:proofErr w:type="spellStart"/>
      <w:r>
        <w:t>ev</w:t>
      </w:r>
      <w:proofErr w:type="spellEnd"/>
      <w:r>
        <w:t xml:space="preserve"> is </w:t>
      </w:r>
      <w:proofErr w:type="spellStart"/>
      <w:r>
        <w:t>abt</w:t>
      </w:r>
      <w:proofErr w:type="spellEnd"/>
      <w:r>
        <w:t xml:space="preserve"> global </w:t>
      </w:r>
      <w:proofErr w:type="spellStart"/>
      <w:r>
        <w:t>ehatlh</w:t>
      </w:r>
      <w:proofErr w:type="spellEnd"/>
      <w:r>
        <w:t xml:space="preserve"> </w:t>
      </w:r>
      <w:proofErr w:type="spellStart"/>
      <w:r>
        <w:t>crisses</w:t>
      </w:r>
      <w:proofErr w:type="spellEnd"/>
      <w:r>
        <w:t xml:space="preserve"> not just spec covid which means 1.5 years of covid check</w:t>
      </w:r>
    </w:p>
    <w:p w14:paraId="318DA683" w14:textId="77777777" w:rsidR="00D730A0" w:rsidRPr="00D730A0" w:rsidRDefault="00D730A0" w:rsidP="00D730A0"/>
    <w:p w14:paraId="315FE561" w14:textId="77777777" w:rsidR="00D730A0" w:rsidRPr="00357A02" w:rsidRDefault="00D730A0" w:rsidP="00D730A0">
      <w:pPr>
        <w:keepNext/>
        <w:keepLines/>
        <w:spacing w:before="40" w:after="0"/>
        <w:outlineLvl w:val="3"/>
        <w:rPr>
          <w:rFonts w:ascii="Cambria" w:eastAsia="MS Gothic" w:hAnsi="Cambria"/>
          <w:b/>
          <w:iCs/>
          <w:sz w:val="26"/>
        </w:rPr>
      </w:pPr>
      <w:r w:rsidRPr="00357A02">
        <w:rPr>
          <w:rFonts w:ascii="Cambria" w:eastAsia="MS Gothic" w:hAnsi="Cambria"/>
          <w:b/>
          <w:iCs/>
          <w:sz w:val="26"/>
        </w:rPr>
        <w:t>IPR hasn’t harmed access – manufacturing capacity alt cause</w:t>
      </w:r>
    </w:p>
    <w:p w14:paraId="46EF75BB" w14:textId="77777777" w:rsidR="00D730A0" w:rsidRPr="00357A02" w:rsidRDefault="00D730A0" w:rsidP="00D730A0">
      <w:pPr>
        <w:rPr>
          <w:rFonts w:eastAsia="Cambria"/>
        </w:rPr>
      </w:pPr>
      <w:r w:rsidRPr="00357A02">
        <w:rPr>
          <w:rFonts w:eastAsia="Cambria"/>
          <w:b/>
          <w:bCs/>
          <w:sz w:val="26"/>
        </w:rPr>
        <w:t>Mercurio 2/12</w:t>
      </w:r>
      <w:r w:rsidRPr="00357A02">
        <w:rPr>
          <w:rFonts w:eastAsia="Cambria"/>
        </w:rPr>
        <w:t xml:space="preserve"> (Bryan Mercurio, [Simon F.S. Li Professor of Law at the Chinese University of Hong Kong (CUHK), having served as Associate Dean (Research) from 2010-14 and again from 2017-19. Professor Mercurio </w:t>
      </w:r>
      <w:proofErr w:type="spellStart"/>
      <w:r w:rsidRPr="00357A02">
        <w:rPr>
          <w:rFonts w:eastAsia="Cambria"/>
        </w:rPr>
        <w:t>specialises</w:t>
      </w:r>
      <w:proofErr w:type="spellEnd"/>
      <w:r w:rsidRPr="00357A02">
        <w:rPr>
          <w:rFonts w:eastAsia="Cambria"/>
        </w:rPr>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357A02">
        <w:rPr>
          <w:rFonts w:eastAsia="Cambria"/>
        </w:rPr>
        <w:t>Review“</w:t>
      </w:r>
      <w:proofErr w:type="gramEnd"/>
      <w:r w:rsidRPr="00357A02">
        <w:rPr>
          <w:rFonts w:eastAsia="Cambria"/>
        </w:rPr>
        <w:t xml:space="preserve">, No Publication, accessed: 8-8-2021, https://papers.ssrn.com/sol3/papers.cfm?abstract_id=3789820)  </w:t>
      </w:r>
      <w:proofErr w:type="spellStart"/>
      <w:r w:rsidRPr="00357A02">
        <w:rPr>
          <w:rFonts w:eastAsia="Cambria"/>
        </w:rPr>
        <w:t>ajs</w:t>
      </w:r>
      <w:proofErr w:type="spellEnd"/>
    </w:p>
    <w:p w14:paraId="6B846950" w14:textId="77777777" w:rsidR="00D730A0" w:rsidRPr="00357A02" w:rsidRDefault="00D730A0" w:rsidP="00D730A0">
      <w:pPr>
        <w:rPr>
          <w:rFonts w:eastAsia="Cambria"/>
        </w:rPr>
      </w:pPr>
      <w:r w:rsidRPr="00357A02">
        <w:rPr>
          <w:rFonts w:eastAsia="Cambria"/>
        </w:rPr>
        <w:t>2</w:t>
      </w:r>
      <w:r w:rsidRPr="00357A02">
        <w:rPr>
          <w:rFonts w:eastAsia="Cambria"/>
          <w:highlight w:val="green"/>
        </w:rPr>
        <w:t xml:space="preserve">. </w:t>
      </w:r>
      <w:r w:rsidRPr="00357A02">
        <w:rPr>
          <w:rFonts w:eastAsia="Cambria"/>
          <w:highlight w:val="green"/>
          <w:u w:val="single"/>
        </w:rPr>
        <w:t>I</w:t>
      </w:r>
      <w:r w:rsidRPr="00357A02">
        <w:rPr>
          <w:rFonts w:eastAsia="Cambria"/>
          <w:u w:val="single"/>
        </w:rPr>
        <w:t xml:space="preserve">ntellectual </w:t>
      </w:r>
      <w:r w:rsidRPr="00357A02">
        <w:rPr>
          <w:rFonts w:eastAsia="Cambria"/>
          <w:highlight w:val="green"/>
          <w:u w:val="single"/>
        </w:rPr>
        <w:t>p</w:t>
      </w:r>
      <w:r w:rsidRPr="00357A02">
        <w:rPr>
          <w:rFonts w:eastAsia="Cambria"/>
          <w:u w:val="single"/>
        </w:rPr>
        <w:t xml:space="preserve">roperty </w:t>
      </w:r>
      <w:r w:rsidRPr="00357A02">
        <w:rPr>
          <w:rFonts w:eastAsia="Cambria"/>
          <w:highlight w:val="green"/>
          <w:u w:val="single"/>
        </w:rPr>
        <w:t>rights have not hampered access to</w:t>
      </w:r>
      <w:r w:rsidRPr="00357A02">
        <w:rPr>
          <w:rFonts w:eastAsia="Cambria"/>
          <w:u w:val="single"/>
        </w:rPr>
        <w:t xml:space="preserve"> COVID-19 </w:t>
      </w:r>
      <w:r w:rsidRPr="00357A02">
        <w:rPr>
          <w:rFonts w:eastAsia="Cambria"/>
          <w:highlight w:val="green"/>
          <w:u w:val="single"/>
        </w:rPr>
        <w:t>vaccines</w:t>
      </w:r>
    </w:p>
    <w:p w14:paraId="51C90EDC" w14:textId="77777777" w:rsidR="00D730A0" w:rsidRPr="00357A02" w:rsidRDefault="00D730A0" w:rsidP="00D730A0">
      <w:pPr>
        <w:rPr>
          <w:rFonts w:eastAsia="Cambria"/>
        </w:rPr>
      </w:pPr>
      <w:r w:rsidRPr="00357A02">
        <w:rPr>
          <w:rFonts w:eastAsia="Cambria"/>
        </w:rPr>
        <w:t xml:space="preserve">A WTO waiver is an extreme measure which should only be used when existing WTO obligations prove inadequate. This was the case in relation to the compulsory </w:t>
      </w:r>
      <w:proofErr w:type="spellStart"/>
      <w:r w:rsidRPr="00357A02">
        <w:rPr>
          <w:rFonts w:eastAsia="Cambria"/>
        </w:rPr>
        <w:t>licencing</w:t>
      </w:r>
      <w:proofErr w:type="spellEnd"/>
      <w:r w:rsidRPr="00357A02">
        <w:rPr>
          <w:rFonts w:eastAsia="Cambria"/>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294BDDDF" w14:textId="77777777" w:rsidR="00D730A0" w:rsidRPr="00357A02" w:rsidRDefault="00D730A0" w:rsidP="00D730A0">
      <w:pPr>
        <w:rPr>
          <w:rFonts w:eastAsia="Cambria"/>
        </w:rPr>
      </w:pPr>
      <w:r w:rsidRPr="00357A02">
        <w:rPr>
          <w:rFonts w:eastAsia="Cambria"/>
        </w:rPr>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357A02">
        <w:rPr>
          <w:rFonts w:eastAsia="Cambria"/>
        </w:rPr>
        <w:t>licence</w:t>
      </w:r>
      <w:proofErr w:type="spellEnd"/>
      <w:r w:rsidRPr="00357A02">
        <w:rPr>
          <w:rFonts w:eastAsia="Cambria"/>
        </w:rPr>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5E8B8695" w14:textId="77777777" w:rsidR="00D730A0" w:rsidRPr="00357A02" w:rsidRDefault="00D730A0" w:rsidP="00D730A0">
      <w:pPr>
        <w:rPr>
          <w:rFonts w:eastAsia="Cambria"/>
        </w:rPr>
      </w:pPr>
      <w:r w:rsidRPr="00357A02">
        <w:rPr>
          <w:rFonts w:eastAsia="Cambria"/>
        </w:rPr>
        <w:t xml:space="preserve">Two additional factors which make </w:t>
      </w:r>
      <w:r w:rsidRPr="00357A02">
        <w:rPr>
          <w:rFonts w:eastAsia="Cambria"/>
          <w:u w:val="single"/>
        </w:rPr>
        <w:t>the proposed waiver unnecessary and potentially harmful.</w:t>
      </w:r>
      <w:r w:rsidRPr="00357A02">
        <w:rPr>
          <w:rFonts w:eastAsia="Cambria"/>
        </w:rPr>
        <w:t xml:space="preserve"> </w:t>
      </w:r>
      <w:r w:rsidRPr="00357A02">
        <w:rPr>
          <w:rFonts w:eastAsia="Cambria"/>
          <w:highlight w:val="green"/>
          <w:u w:val="single"/>
        </w:rPr>
        <w:t>First, pharm</w:t>
      </w:r>
      <w:r w:rsidRPr="00357A02">
        <w:rPr>
          <w:rFonts w:eastAsia="Cambria"/>
          <w:u w:val="single"/>
        </w:rPr>
        <w:t xml:space="preserve">aceutical companies are </w:t>
      </w:r>
      <w:r w:rsidRPr="00357A02">
        <w:rPr>
          <w:rFonts w:eastAsia="Cambria"/>
          <w:highlight w:val="green"/>
          <w:u w:val="single"/>
        </w:rPr>
        <w:t>selling</w:t>
      </w:r>
      <w:r w:rsidRPr="00357A02">
        <w:rPr>
          <w:rFonts w:eastAsia="Cambria"/>
          <w:u w:val="single"/>
        </w:rPr>
        <w:t xml:space="preserve"> the </w:t>
      </w:r>
      <w:r w:rsidRPr="00357A02">
        <w:rPr>
          <w:rFonts w:eastAsia="Cambria"/>
          <w:highlight w:val="green"/>
          <w:u w:val="single"/>
        </w:rPr>
        <w:t>vaccine at extremely reasonable rates</w:t>
      </w:r>
      <w:r w:rsidRPr="00357A02">
        <w:rPr>
          <w:rFonts w:eastAsia="Cambria"/>
          <w:u w:val="single"/>
        </w:rPr>
        <w:t xml:space="preserve"> and several announced plans </w:t>
      </w:r>
      <w:r w:rsidRPr="00357A02">
        <w:rPr>
          <w:rFonts w:eastAsia="Cambria"/>
          <w:highlight w:val="green"/>
          <w:u w:val="single"/>
        </w:rPr>
        <w:t>for extensive not-for-profit sales</w:t>
      </w:r>
      <w:r w:rsidRPr="00357A02">
        <w:rPr>
          <w:rFonts w:eastAsia="Cambria"/>
        </w:rPr>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29B6E26A" w14:textId="77777777" w:rsidR="00D730A0" w:rsidRPr="00357A02" w:rsidRDefault="00D730A0" w:rsidP="00D730A0">
      <w:pPr>
        <w:rPr>
          <w:rFonts w:eastAsia="Cambria"/>
        </w:rPr>
      </w:pPr>
      <w:r w:rsidRPr="00357A02">
        <w:rPr>
          <w:rFonts w:eastAsia="Cambria"/>
        </w:rPr>
        <w:t xml:space="preserve">While much as been made of the fact that South Africa agreed to purchase 1.5 million doses of the Oxford/AstraZeneca from the Serum Institute of India (SII) at a cost of €4.321 per dose,32 these </w:t>
      </w:r>
      <w:r w:rsidRPr="00357A02">
        <w:rPr>
          <w:rFonts w:eastAsia="Cambria"/>
          <w:highlight w:val="green"/>
          <w:u w:val="single"/>
        </w:rPr>
        <w:t>criticisms are directed at</w:t>
      </w:r>
      <w:r w:rsidRPr="00357A02">
        <w:rPr>
          <w:rFonts w:eastAsia="Cambria"/>
          <w:u w:val="single"/>
        </w:rPr>
        <w:t xml:space="preserve"> the </w:t>
      </w:r>
      <w:r w:rsidRPr="00357A02">
        <w:rPr>
          <w:rFonts w:eastAsia="Cambria"/>
          <w:highlight w:val="green"/>
          <w:u w:val="single"/>
        </w:rPr>
        <w:t>lack of transparency</w:t>
      </w:r>
      <w:r w:rsidRPr="00357A02">
        <w:rPr>
          <w:rFonts w:eastAsia="Cambria"/>
          <w:u w:val="single"/>
        </w:rPr>
        <w:t xml:space="preserve"> in pharmaceutical licenses and production contracts – an issue which would be </w:t>
      </w:r>
      <w:r w:rsidRPr="00357A02">
        <w:rPr>
          <w:rFonts w:eastAsia="Cambria"/>
          <w:highlight w:val="green"/>
          <w:u w:val="single"/>
        </w:rPr>
        <w:t>wholly unaddressed by a waiver</w:t>
      </w:r>
      <w:r w:rsidRPr="00357A02">
        <w:rPr>
          <w:rFonts w:eastAsia="Cambria"/>
          <w:u w:val="single"/>
        </w:rPr>
        <w:t xml:space="preserve"> of IPRs.</w:t>
      </w:r>
      <w:r w:rsidRPr="00357A02">
        <w:rPr>
          <w:rFonts w:eastAsia="Cambria"/>
        </w:rPr>
        <w:t xml:space="preserve"> </w:t>
      </w:r>
    </w:p>
    <w:p w14:paraId="6818BFA4" w14:textId="77777777" w:rsidR="00D730A0" w:rsidRPr="00357A02" w:rsidRDefault="00D730A0" w:rsidP="00D730A0">
      <w:pPr>
        <w:rPr>
          <w:rFonts w:eastAsia="Cambria"/>
          <w:u w:val="single"/>
        </w:rPr>
      </w:pPr>
      <w:r w:rsidRPr="00357A02">
        <w:rPr>
          <w:rFonts w:eastAsia="Cambria"/>
        </w:rPr>
        <w:t xml:space="preserve">Moreover, </w:t>
      </w:r>
      <w:r w:rsidRPr="00357A02">
        <w:rPr>
          <w:rFonts w:eastAsia="Cambria"/>
          <w:u w:val="single"/>
        </w:rPr>
        <w:t>while the disparity in pricing is concerning</w:t>
      </w:r>
      <w:r w:rsidRPr="00357A02">
        <w:rPr>
          <w:rFonts w:eastAsia="Cambria"/>
        </w:rPr>
        <w:t xml:space="preserve"> the overall per dosage rate South Africa is </w:t>
      </w:r>
      <w:r w:rsidRPr="00357A02">
        <w:rPr>
          <w:rFonts w:eastAsia="Cambria"/>
          <w:u w:val="single"/>
        </w:rPr>
        <w:t xml:space="preserve">paying </w:t>
      </w:r>
      <w:r w:rsidRPr="00357A02">
        <w:rPr>
          <w:rFonts w:eastAsia="Cambria"/>
        </w:rPr>
        <w:t>nevertheless</w:t>
      </w:r>
      <w:r w:rsidRPr="00357A02">
        <w:rPr>
          <w:rFonts w:eastAsia="Cambria"/>
          <w:u w:val="single"/>
        </w:rPr>
        <w:t xml:space="preserve"> represents value for money given the expected health and economic returns on investment</w:t>
      </w:r>
      <w:r w:rsidRPr="00357A02">
        <w:rPr>
          <w:rFonts w:eastAsia="Cambria"/>
        </w:rPr>
        <w:t xml:space="preserve">. Despite the disparity in pricing between nations, the larger point remains that the industry has not only rapidly produced vaccines for the novel coronavirus but is making them available at </w:t>
      </w:r>
      <w:r w:rsidRPr="00357A02">
        <w:rPr>
          <w:rFonts w:eastAsia="Cambria"/>
          <w:u w:val="single"/>
        </w:rPr>
        <w:t>unquestionably reasonable prices.</w:t>
      </w:r>
    </w:p>
    <w:p w14:paraId="187CED31" w14:textId="77777777" w:rsidR="00D730A0" w:rsidRPr="00357A02" w:rsidRDefault="00D730A0" w:rsidP="00D730A0">
      <w:pPr>
        <w:rPr>
          <w:rFonts w:eastAsia="Cambria"/>
          <w:u w:val="single"/>
        </w:rPr>
      </w:pPr>
      <w:r w:rsidRPr="00357A02">
        <w:rPr>
          <w:rFonts w:eastAsia="Cambria"/>
          <w:highlight w:val="green"/>
          <w:u w:val="single"/>
        </w:rPr>
        <w:t>Second</w:t>
      </w:r>
      <w:r w:rsidRPr="00357A02">
        <w:rPr>
          <w:rFonts w:eastAsia="Cambria"/>
          <w:u w:val="single"/>
        </w:rPr>
        <w:t xml:space="preserve">, the proposed </w:t>
      </w:r>
      <w:r w:rsidRPr="00357A02">
        <w:rPr>
          <w:rFonts w:eastAsia="Cambria"/>
          <w:highlight w:val="green"/>
          <w:u w:val="single"/>
        </w:rPr>
        <w:t>waiver will do nothing to address</w:t>
      </w:r>
      <w:r w:rsidRPr="00357A02">
        <w:rPr>
          <w:rFonts w:eastAsia="Cambria"/>
          <w:u w:val="single"/>
        </w:rPr>
        <w:t xml:space="preserve"> the problem </w:t>
      </w:r>
      <w:r w:rsidRPr="00357A02">
        <w:rPr>
          <w:rFonts w:eastAsia="Cambria"/>
          <w:highlight w:val="green"/>
          <w:u w:val="single"/>
        </w:rPr>
        <w:t>of lack of capacity or</w:t>
      </w:r>
      <w:r w:rsidRPr="00357A02">
        <w:rPr>
          <w:rFonts w:eastAsia="Cambria"/>
          <w:u w:val="single"/>
        </w:rPr>
        <w:t xml:space="preserve"> the transfer of technology and </w:t>
      </w:r>
      <w:r w:rsidRPr="00357A02">
        <w:rPr>
          <w:rFonts w:eastAsia="Cambria"/>
          <w:highlight w:val="green"/>
          <w:u w:val="single"/>
        </w:rPr>
        <w:t>goodwill</w:t>
      </w:r>
      <w:r w:rsidRPr="00357A02">
        <w:rPr>
          <w:rFonts w:eastAsia="Cambria"/>
          <w:u w:val="single"/>
        </w:rPr>
        <w:t xml:space="preserve">. </w:t>
      </w:r>
      <w:r w:rsidRPr="00357A02">
        <w:rPr>
          <w:rFonts w:eastAsia="Cambria"/>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357A02">
        <w:rPr>
          <w:rFonts w:eastAsia="Cambria"/>
          <w:u w:val="single"/>
        </w:rPr>
        <w:t>Patents cannot be the problem in the countries where no patent applications have been filed</w:t>
      </w:r>
      <w:r w:rsidRPr="00357A02">
        <w:rPr>
          <w:rFonts w:eastAsia="Cambria"/>
        </w:rPr>
        <w:t xml:space="preserve">, but the lack of production in such countries points to the real problem </w:t>
      </w:r>
      <w:r w:rsidRPr="00357A02">
        <w:rPr>
          <w:rFonts w:eastAsia="Cambria"/>
          <w:highlight w:val="green"/>
        </w:rPr>
        <w:t xml:space="preserve">– </w:t>
      </w:r>
      <w:r w:rsidRPr="00357A02">
        <w:rPr>
          <w:rFonts w:eastAsia="Cambria"/>
          <w:highlight w:val="green"/>
          <w:u w:val="single"/>
        </w:rPr>
        <w:t>these countries lack manufacturing capacity and capability.</w:t>
      </w:r>
      <w:r w:rsidRPr="00357A02">
        <w:rPr>
          <w:rFonts w:eastAsia="Cambria"/>
          <w:u w:val="single"/>
        </w:rPr>
        <w:t xml:space="preserve"> </w:t>
      </w:r>
    </w:p>
    <w:p w14:paraId="0BA438E3" w14:textId="77777777" w:rsidR="00D730A0" w:rsidRPr="00357A02" w:rsidRDefault="00D730A0" w:rsidP="00D730A0">
      <w:pPr>
        <w:rPr>
          <w:rFonts w:eastAsia="Cambria"/>
        </w:rPr>
      </w:pPr>
      <w:r w:rsidRPr="00357A02">
        <w:rPr>
          <w:rFonts w:eastAsia="Cambria"/>
        </w:rPr>
        <w:t xml:space="preserve">While advanced pharmaceutical companies will have the technology, know-how and readiness to manufacture, store and transport complex vaccine formulations, such </w:t>
      </w:r>
      <w:r w:rsidRPr="00357A02">
        <w:rPr>
          <w:rFonts w:eastAsia="Cambria"/>
          <w:u w:val="single"/>
        </w:rPr>
        <w:t>factories and logistics exist in only a handful of countries.34 Regardless of whether an IP waiver is granted,</w:t>
      </w:r>
      <w:r w:rsidRPr="00357A02">
        <w:rPr>
          <w:rFonts w:eastAsia="Cambria"/>
        </w:rPr>
        <w:t xml:space="preserve"> the remaining countries will be left without enhanced vaccine access and still reliant on imported supplies. With </w:t>
      </w:r>
      <w:r w:rsidRPr="00357A02">
        <w:rPr>
          <w:rFonts w:eastAsia="Cambria"/>
          <w:u w:val="single"/>
        </w:rPr>
        <w:t>prices for the vaccine already very low</w:t>
      </w:r>
      <w:r w:rsidRPr="00357A02">
        <w:rPr>
          <w:rFonts w:eastAsia="Cambria"/>
          <w:highlight w:val="green"/>
          <w:u w:val="single"/>
        </w:rPr>
        <w:t>, it is doubtful that generic suppliers will</w:t>
      </w:r>
      <w:r w:rsidRPr="00357A02">
        <w:rPr>
          <w:rFonts w:eastAsia="Cambria"/>
          <w:u w:val="single"/>
        </w:rPr>
        <w:t xml:space="preserve"> be able to </w:t>
      </w:r>
      <w:r w:rsidRPr="00357A02">
        <w:rPr>
          <w:rFonts w:eastAsia="Cambria"/>
          <w:highlight w:val="green"/>
          <w:u w:val="single"/>
        </w:rPr>
        <w:t>provide</w:t>
      </w:r>
      <w:r w:rsidRPr="00357A02">
        <w:rPr>
          <w:rFonts w:eastAsia="Cambria"/>
          <w:u w:val="single"/>
        </w:rPr>
        <w:t xml:space="preserve"> the vaccine </w:t>
      </w:r>
      <w:r w:rsidRPr="00357A02">
        <w:rPr>
          <w:rFonts w:eastAsia="Cambria"/>
          <w:highlight w:val="green"/>
          <w:u w:val="single"/>
        </w:rPr>
        <w:t>at significantly lower prices</w:t>
      </w:r>
      <w:r w:rsidRPr="00357A02">
        <w:rPr>
          <w:rFonts w:eastAsia="Cambria"/>
          <w:u w:val="single"/>
        </w:rPr>
        <w:t>.</w:t>
      </w:r>
      <w:r w:rsidRPr="00357A02">
        <w:rPr>
          <w:rFonts w:eastAsia="Cambria"/>
        </w:rPr>
        <w:t xml:space="preserve"> Under such a scenario, the benefit of the waiver would go not to the countries in need but to the generic supplier who would not need to pay the </w:t>
      </w:r>
      <w:proofErr w:type="spellStart"/>
      <w:r w:rsidRPr="00357A02">
        <w:rPr>
          <w:rFonts w:eastAsia="Cambria"/>
        </w:rPr>
        <w:t>licence</w:t>
      </w:r>
      <w:proofErr w:type="spellEnd"/>
      <w:r w:rsidRPr="00357A02">
        <w:rPr>
          <w:rFonts w:eastAsia="Cambria"/>
        </w:rPr>
        <w:t xml:space="preserve"> fee or royalty to the innovator. Thus, </w:t>
      </w:r>
      <w:r w:rsidRPr="00357A02">
        <w:rPr>
          <w:rFonts w:eastAsia="Cambria"/>
          <w:u w:val="single"/>
        </w:rPr>
        <w:t>the waiver would simply serve to benefit advanced generic manufacturers</w:t>
      </w:r>
      <w:r w:rsidRPr="00357A02">
        <w:rPr>
          <w:rFonts w:eastAsia="Cambria"/>
        </w:rPr>
        <w:t xml:space="preserve">, most of which </w:t>
      </w:r>
      <w:proofErr w:type="gramStart"/>
      <w:r w:rsidRPr="00357A02">
        <w:rPr>
          <w:rFonts w:eastAsia="Cambria"/>
        </w:rPr>
        <w:t>are located in</w:t>
      </w:r>
      <w:proofErr w:type="gramEnd"/>
      <w:r w:rsidRPr="00357A02">
        <w:rPr>
          <w:rFonts w:eastAsia="Cambria"/>
        </w:rPr>
        <w:t xml:space="preserve"> a handful of countries, including China and Brazil as well as (unsurprisingly) India and South Africa. Countries would perhaps be better off obtaining the vaccine from suppliers that have negotiated a voluntary </w:t>
      </w:r>
      <w:proofErr w:type="spellStart"/>
      <w:r w:rsidRPr="00357A02">
        <w:rPr>
          <w:rFonts w:eastAsia="Cambria"/>
        </w:rPr>
        <w:t>licence</w:t>
      </w:r>
      <w:proofErr w:type="spellEnd"/>
      <w:r w:rsidRPr="00357A02">
        <w:rPr>
          <w:rFonts w:eastAsia="Cambria"/>
        </w:rPr>
        <w:t xml:space="preserve"> from the patent holder, as such </w:t>
      </w:r>
      <w:proofErr w:type="spellStart"/>
      <w:r w:rsidRPr="00357A02">
        <w:rPr>
          <w:rFonts w:eastAsia="Cambria"/>
        </w:rPr>
        <w:t>licences</w:t>
      </w:r>
      <w:proofErr w:type="spellEnd"/>
      <w:r w:rsidRPr="00357A02">
        <w:rPr>
          <w:rFonts w:eastAsia="Cambria"/>
        </w:rPr>
        <w:t xml:space="preserve"> include provisions for the transfer of technology, know-how and ongoing quality assurance support.</w:t>
      </w:r>
    </w:p>
    <w:p w14:paraId="362705E7" w14:textId="77777777" w:rsidR="00D730A0" w:rsidRPr="00357A02" w:rsidRDefault="00D730A0" w:rsidP="00D730A0">
      <w:pPr>
        <w:rPr>
          <w:rFonts w:eastAsia="Cambria"/>
        </w:rPr>
      </w:pPr>
    </w:p>
    <w:p w14:paraId="592B2FDE" w14:textId="77777777" w:rsidR="00D730A0" w:rsidRPr="00800666" w:rsidRDefault="00D730A0" w:rsidP="00D730A0">
      <w:pPr>
        <w:pStyle w:val="Heading4"/>
      </w:pPr>
      <w:r>
        <w:t>Interdependence</w:t>
      </w:r>
      <w:r w:rsidRPr="00800666">
        <w:t xml:space="preserve"> </w:t>
      </w:r>
      <w:r>
        <w:t xml:space="preserve">doesn’t solve war </w:t>
      </w:r>
      <w:r w:rsidRPr="00800666">
        <w:t>– prefer studies at the multilateral not just dyadic level – competitive dynamics outweigh conflict dampening incentives.</w:t>
      </w:r>
    </w:p>
    <w:p w14:paraId="68D8450B" w14:textId="77777777" w:rsidR="00D730A0" w:rsidRPr="00B23466" w:rsidRDefault="00D730A0" w:rsidP="00D730A0">
      <w:r w:rsidRPr="00800666">
        <w:rPr>
          <w:rStyle w:val="Style13ptBold"/>
        </w:rPr>
        <w:t xml:space="preserve">Chatagnier and </w:t>
      </w:r>
      <w:proofErr w:type="spellStart"/>
      <w:r w:rsidRPr="00800666">
        <w:rPr>
          <w:rStyle w:val="Style13ptBold"/>
        </w:rPr>
        <w:t>Kavakli</w:t>
      </w:r>
      <w:proofErr w:type="spellEnd"/>
      <w:r w:rsidRPr="00800666">
        <w:rPr>
          <w:rStyle w:val="Style13ptBold"/>
        </w:rPr>
        <w:t xml:space="preserve"> 17</w:t>
      </w:r>
      <w:r w:rsidRPr="00B23466">
        <w:t xml:space="preserve"> – (2017, J. Tyson, PhD in Political Science, Assistant Professor in the Department of Political Science at the University of Houston, and Kerim Can,</w:t>
      </w:r>
      <w:r>
        <w:t xml:space="preserve"> PhD in Political Science, </w:t>
      </w:r>
      <w:r w:rsidRPr="00B23466">
        <w:t xml:space="preserve">assistant professor at the Faculty of Arts and Social Sciences at </w:t>
      </w:r>
      <w:proofErr w:type="spellStart"/>
      <w:r w:rsidRPr="00B23466">
        <w:t>Sabanci</w:t>
      </w:r>
      <w:proofErr w:type="spellEnd"/>
      <w:r w:rsidRPr="00B23466">
        <w:t xml:space="preserve"> University in Turkey</w:t>
      </w:r>
      <w:r>
        <w:t>,</w:t>
      </w:r>
      <w:r w:rsidRPr="00B23466">
        <w:t xml:space="preserve"> “From Economic Competition to Military Combat: Export Similarity and International Conflict,” Journal of Conflict Resolution, Vol 61, Issue 7, 2017)</w:t>
      </w:r>
      <w:r w:rsidRPr="00B23466">
        <w:br/>
      </w:r>
    </w:p>
    <w:p w14:paraId="2467CCDC" w14:textId="77777777" w:rsidR="00263FC9" w:rsidRDefault="00D730A0" w:rsidP="00D730A0">
      <w:pPr>
        <w:rPr>
          <w:rStyle w:val="Emphasis"/>
        </w:rPr>
      </w:pPr>
      <w:r w:rsidRPr="000E1C1D">
        <w:rPr>
          <w:rStyle w:val="StyleUnderline"/>
        </w:rPr>
        <w:t xml:space="preserve">International </w:t>
      </w:r>
      <w:r w:rsidRPr="00B23466">
        <w:rPr>
          <w:rStyle w:val="StyleUnderline"/>
          <w:highlight w:val="cyan"/>
        </w:rPr>
        <w:t>trade has</w:t>
      </w:r>
      <w:r w:rsidRPr="000E1C1D">
        <w:rPr>
          <w:rStyle w:val="StyleUnderline"/>
        </w:rPr>
        <w:t xml:space="preserve"> long </w:t>
      </w:r>
      <w:r w:rsidRPr="00B23466">
        <w:rPr>
          <w:rStyle w:val="StyleUnderline"/>
          <w:highlight w:val="cyan"/>
        </w:rPr>
        <w:t>been thought to facilitate peace</w:t>
      </w:r>
      <w:r w:rsidRPr="00B23466">
        <w:rPr>
          <w:sz w:val="12"/>
        </w:rPr>
        <w:t xml:space="preserve"> among nations (Kant [1795] 1970). A voluntary exchange of goods that leaves both parties better off inherently raises the value of each side to the other, increasing the cost of conflict. The belief that economic interaction can ignite a positive dynamic of cooperation and reduce conflictual behavior is so intuitive and widespread that some political pundits have even heralded free trade as the path to world peace (see, e.g., Griswold 1998; Boudreaux 2006).The </w:t>
      </w:r>
      <w:r w:rsidRPr="000E1C1D">
        <w:rPr>
          <w:rStyle w:val="StyleUnderline"/>
        </w:rPr>
        <w:t>conventional wisdom</w:t>
      </w:r>
      <w:r w:rsidRPr="00B23466">
        <w:rPr>
          <w:sz w:val="12"/>
        </w:rPr>
        <w:t xml:space="preserve"> within the international relations literature (e.g., Oneal and Russett 1997; Gartzke, Li, and Boehmer 2003; Polachek and Xiang 2010) </w:t>
      </w:r>
      <w:r w:rsidRPr="000E1C1D">
        <w:rPr>
          <w:rStyle w:val="StyleUnderline"/>
        </w:rPr>
        <w:t>reinforces these claims</w:t>
      </w:r>
      <w:r w:rsidRPr="00B23466">
        <w:rPr>
          <w:sz w:val="12"/>
        </w:rPr>
        <w:t xml:space="preserve">, having found consistent empirical (and theoretical) links between trade and peace.  At the same time, </w:t>
      </w:r>
      <w:r w:rsidRPr="00B96F5D">
        <w:rPr>
          <w:rStyle w:val="StyleUnderline"/>
        </w:rPr>
        <w:t>however</w:t>
      </w:r>
      <w:r w:rsidRPr="00B23466">
        <w:rPr>
          <w:sz w:val="12"/>
        </w:rPr>
        <w:t xml:space="preserve">, </w:t>
      </w:r>
      <w:r w:rsidRPr="00B23466">
        <w:rPr>
          <w:rStyle w:val="StyleUnderline"/>
        </w:rPr>
        <w:t xml:space="preserve">there is </w:t>
      </w:r>
      <w:r w:rsidRPr="00800666">
        <w:rPr>
          <w:rStyle w:val="StyleUnderline"/>
        </w:rPr>
        <w:t>certainly evidence that trade can exacerbate rivalry and conflict</w:t>
      </w:r>
      <w:r w:rsidRPr="000E1C1D">
        <w:rPr>
          <w:rStyle w:val="StyleUnderline"/>
        </w:rPr>
        <w:t xml:space="preserve"> between states</w:t>
      </w:r>
      <w:r w:rsidRPr="00B23466">
        <w:rPr>
          <w:sz w:val="12"/>
        </w:rPr>
        <w:t xml:space="preserve">. Throughout history, </w:t>
      </w:r>
      <w:r w:rsidRPr="00B23466">
        <w:rPr>
          <w:rStyle w:val="StyleUnderline"/>
          <w:highlight w:val="cyan"/>
        </w:rPr>
        <w:t>states have fought</w:t>
      </w:r>
      <w:r w:rsidRPr="000E1C1D">
        <w:rPr>
          <w:rStyle w:val="StyleUnderline"/>
        </w:rPr>
        <w:t xml:space="preserve"> their </w:t>
      </w:r>
      <w:r w:rsidRPr="00B23466">
        <w:rPr>
          <w:rStyle w:val="StyleUnderline"/>
          <w:highlight w:val="cyan"/>
        </w:rPr>
        <w:t>competitors for advantage</w:t>
      </w:r>
      <w:r w:rsidRPr="00B23466">
        <w:rPr>
          <w:sz w:val="12"/>
        </w:rPr>
        <w:t xml:space="preserve"> (i.e., access to inputs and markets) </w:t>
      </w:r>
      <w:r w:rsidRPr="00B96F5D">
        <w:rPr>
          <w:rStyle w:val="StyleUnderline"/>
        </w:rPr>
        <w:t>in the global market</w:t>
      </w:r>
      <w:r w:rsidRPr="00B96F5D">
        <w:rPr>
          <w:sz w:val="12"/>
        </w:rPr>
        <w:t>place</w:t>
      </w:r>
      <w:r w:rsidRPr="00B23466">
        <w:rPr>
          <w:sz w:val="12"/>
        </w:rPr>
        <w:t xml:space="preserve">. </w:t>
      </w:r>
      <w:r w:rsidRPr="000E1C1D">
        <w:rPr>
          <w:rStyle w:val="StyleUnderline"/>
        </w:rPr>
        <w:t>For instance</w:t>
      </w:r>
      <w:r w:rsidRPr="00B23466">
        <w:rPr>
          <w:sz w:val="12"/>
        </w:rPr>
        <w:t xml:space="preserve">, in his authoritative account of </w:t>
      </w:r>
      <w:r w:rsidRPr="000E1C1D">
        <w:rPr>
          <w:rStyle w:val="StyleUnderline"/>
        </w:rPr>
        <w:t>the Anglo-German rivalry before World War I</w:t>
      </w:r>
      <w:r w:rsidRPr="00B23466">
        <w:rPr>
          <w:sz w:val="12"/>
        </w:rPr>
        <w:t xml:space="preserve">, Kennedy (1980, 464) concludes that “the most profound cause [of the conflict], surely, </w:t>
      </w:r>
      <w:r w:rsidRPr="000E1C1D">
        <w:rPr>
          <w:rStyle w:val="StyleUnderline"/>
        </w:rPr>
        <w:t>was economic</w:t>
      </w:r>
      <w:r w:rsidRPr="00B23466">
        <w:rPr>
          <w:sz w:val="12"/>
        </w:rPr>
        <w:t xml:space="preserve">”. More specifically, the cause was “the detectable increase in Anglo-German trade rivalry since Bismarck’s time as the latter country steadily became more competitive.” Moreover, while </w:t>
      </w:r>
      <w:r w:rsidRPr="000E1C1D">
        <w:rPr>
          <w:rStyle w:val="StyleUnderline"/>
        </w:rPr>
        <w:t>modern empirical</w:t>
      </w:r>
      <w:r w:rsidRPr="00B23466">
        <w:rPr>
          <w:sz w:val="12"/>
        </w:rPr>
        <w:t xml:space="preserve"> international relations </w:t>
      </w:r>
      <w:r w:rsidRPr="000E1C1D">
        <w:rPr>
          <w:rStyle w:val="StyleUnderline"/>
        </w:rPr>
        <w:t>research</w:t>
      </w:r>
      <w:r w:rsidRPr="00B23466">
        <w:rPr>
          <w:sz w:val="12"/>
        </w:rPr>
        <w:t xml:space="preserve"> has largely come down on the side of the neoliberals, it </w:t>
      </w:r>
      <w:r w:rsidRPr="000E1C1D">
        <w:rPr>
          <w:rStyle w:val="StyleUnderline"/>
        </w:rPr>
        <w:t>has not been monolithic</w:t>
      </w:r>
      <w:r w:rsidRPr="00B23466">
        <w:rPr>
          <w:sz w:val="12"/>
        </w:rPr>
        <w:t xml:space="preserve">. Indeed, </w:t>
      </w:r>
      <w:r w:rsidRPr="00061277">
        <w:rPr>
          <w:rStyle w:val="StyleUnderline"/>
        </w:rPr>
        <w:t xml:space="preserve">numerous </w:t>
      </w:r>
      <w:r w:rsidRPr="00B96F5D">
        <w:rPr>
          <w:rStyle w:val="StyleUnderline"/>
        </w:rPr>
        <w:t>studies</w:t>
      </w:r>
      <w:r w:rsidRPr="00B23466">
        <w:rPr>
          <w:rStyle w:val="StyleUnderline"/>
        </w:rPr>
        <w:t xml:space="preserve"> by Barbieri</w:t>
      </w:r>
      <w:r w:rsidRPr="00B23466">
        <w:rPr>
          <w:sz w:val="12"/>
        </w:rPr>
        <w:t xml:space="preserve"> (1996, 2002) </w:t>
      </w:r>
      <w:r w:rsidRPr="00B23466">
        <w:rPr>
          <w:rStyle w:val="StyleUnderline"/>
        </w:rPr>
        <w:t xml:space="preserve">have </w:t>
      </w:r>
      <w:r w:rsidRPr="00B96F5D">
        <w:rPr>
          <w:rStyle w:val="StyleUnderline"/>
        </w:rPr>
        <w:t xml:space="preserve">demonstrated that </w:t>
      </w:r>
      <w:r w:rsidRPr="00B23466">
        <w:rPr>
          <w:rStyle w:val="StyleUnderline"/>
          <w:highlight w:val="cyan"/>
        </w:rPr>
        <w:t>increased trade</w:t>
      </w:r>
      <w:r w:rsidRPr="000E1C1D">
        <w:rPr>
          <w:rStyle w:val="StyleUnderline"/>
        </w:rPr>
        <w:t xml:space="preserve"> </w:t>
      </w:r>
      <w:proofErr w:type="gramStart"/>
      <w:r w:rsidRPr="000E1C1D">
        <w:rPr>
          <w:rStyle w:val="StyleUnderline"/>
        </w:rPr>
        <w:t>actually</w:t>
      </w:r>
      <w:r w:rsidRPr="00B23466">
        <w:rPr>
          <w:sz w:val="12"/>
        </w:rPr>
        <w:t xml:space="preserve"> has</w:t>
      </w:r>
      <w:proofErr w:type="gramEnd"/>
      <w:r w:rsidRPr="00B23466">
        <w:rPr>
          <w:sz w:val="12"/>
        </w:rPr>
        <w:t xml:space="preserve"> the potential to </w:t>
      </w:r>
      <w:r w:rsidRPr="00B23466">
        <w:rPr>
          <w:rStyle w:val="StyleUnderline"/>
          <w:highlight w:val="cyan"/>
        </w:rPr>
        <w:t>aggravate tensions</w:t>
      </w:r>
      <w:r w:rsidRPr="000E1C1D">
        <w:rPr>
          <w:rStyle w:val="StyleUnderline"/>
        </w:rPr>
        <w:t xml:space="preserve"> between states</w:t>
      </w:r>
      <w:r w:rsidRPr="00B23466">
        <w:rPr>
          <w:sz w:val="12"/>
        </w:rPr>
        <w:t xml:space="preserve">.  These </w:t>
      </w:r>
      <w:r w:rsidRPr="00B23466">
        <w:rPr>
          <w:rStyle w:val="StyleUnderline"/>
          <w:highlight w:val="cyan"/>
        </w:rPr>
        <w:t>inconsistencies</w:t>
      </w:r>
      <w:r w:rsidRPr="00B23466">
        <w:rPr>
          <w:sz w:val="12"/>
        </w:rPr>
        <w:t xml:space="preserve"> </w:t>
      </w:r>
      <w:r w:rsidRPr="00B23466">
        <w:rPr>
          <w:rStyle w:val="StyleUnderline"/>
          <w:highlight w:val="cyan"/>
        </w:rPr>
        <w:t>in</w:t>
      </w:r>
      <w:r w:rsidRPr="00B23466">
        <w:rPr>
          <w:sz w:val="12"/>
        </w:rPr>
        <w:t xml:space="preserve"> both the </w:t>
      </w:r>
      <w:r w:rsidRPr="00B23466">
        <w:rPr>
          <w:rStyle w:val="StyleUnderline"/>
          <w:highlight w:val="cyan"/>
        </w:rPr>
        <w:t>historical and analytical records</w:t>
      </w:r>
      <w:r w:rsidRPr="00B23466">
        <w:rPr>
          <w:sz w:val="12"/>
        </w:rPr>
        <w:t xml:space="preserve"> </w:t>
      </w:r>
      <w:r w:rsidRPr="00B23466">
        <w:rPr>
          <w:rStyle w:val="StyleUnderline"/>
          <w:highlight w:val="cyan"/>
        </w:rPr>
        <w:t>raise questions about the simplicity of the link</w:t>
      </w:r>
      <w:r w:rsidRPr="00B23466">
        <w:rPr>
          <w:sz w:val="12"/>
        </w:rPr>
        <w:t xml:space="preserve"> between trade and conflict. Additionally, </w:t>
      </w:r>
      <w:proofErr w:type="gramStart"/>
      <w:r w:rsidRPr="00B23466">
        <w:rPr>
          <w:rStyle w:val="Emphasis"/>
          <w:highlight w:val="cyan"/>
        </w:rPr>
        <w:t>the vast majority of</w:t>
      </w:r>
      <w:proofErr w:type="gramEnd"/>
      <w:r w:rsidRPr="00B23466">
        <w:rPr>
          <w:rStyle w:val="Emphasis"/>
          <w:highlight w:val="cyan"/>
        </w:rPr>
        <w:t xml:space="preserve"> previous work considers only the bilateral effects</w:t>
      </w:r>
      <w:r w:rsidRPr="00B23466">
        <w:rPr>
          <w:sz w:val="12"/>
        </w:rPr>
        <w:t xml:space="preserve"> of trade, </w:t>
      </w:r>
      <w:r w:rsidRPr="000E1C1D">
        <w:rPr>
          <w:rStyle w:val="StyleUnderline"/>
        </w:rPr>
        <w:t>neglecting the way in which trade between two actors can affect a third</w:t>
      </w:r>
      <w:r w:rsidRPr="00B23466">
        <w:rPr>
          <w:sz w:val="12"/>
        </w:rPr>
        <w:t xml:space="preserve">. </w:t>
      </w:r>
      <w:r w:rsidRPr="00B23466">
        <w:rPr>
          <w:rStyle w:val="Emphasis"/>
          <w:highlight w:val="cyan"/>
        </w:rPr>
        <w:t>We remedy this oversight</w:t>
      </w:r>
      <w:r w:rsidRPr="000E1C1D">
        <w:rPr>
          <w:rStyle w:val="StyleUnderline"/>
        </w:rPr>
        <w:t xml:space="preserve"> by analyzing the effects of trade competition</w:t>
      </w:r>
      <w:r w:rsidRPr="00B23466">
        <w:rPr>
          <w:sz w:val="12"/>
        </w:rPr>
        <w:t xml:space="preserve">, arguing that the tension produced by export competition can be an important source of international conflict. More </w:t>
      </w:r>
      <w:r w:rsidRPr="000E1C1D">
        <w:rPr>
          <w:rStyle w:val="StyleUnderline"/>
        </w:rPr>
        <w:t>specifically</w:t>
      </w:r>
      <w:r w:rsidRPr="00B23466">
        <w:rPr>
          <w:sz w:val="12"/>
        </w:rPr>
        <w:t xml:space="preserve">, we highlight </w:t>
      </w:r>
      <w:proofErr w:type="gramStart"/>
      <w:r w:rsidRPr="00B23466">
        <w:rPr>
          <w:sz w:val="12"/>
        </w:rPr>
        <w:t xml:space="preserve">that </w:t>
      </w:r>
      <w:r w:rsidRPr="000E1C1D">
        <w:rPr>
          <w:rStyle w:val="StyleUnderline"/>
        </w:rPr>
        <w:t>economic actors</w:t>
      </w:r>
      <w:proofErr w:type="gramEnd"/>
      <w:r w:rsidRPr="000E1C1D">
        <w:rPr>
          <w:rStyle w:val="StyleUnderline"/>
        </w:rPr>
        <w:t xml:space="preserve"> who face foreign competition have an incentive to use military power to gain an advantage</w:t>
      </w:r>
      <w:r w:rsidRPr="00B23466">
        <w:rPr>
          <w:sz w:val="12"/>
        </w:rPr>
        <w:t xml:space="preserve"> in international markets. These </w:t>
      </w:r>
      <w:r w:rsidRPr="00B96F5D">
        <w:rPr>
          <w:rStyle w:val="StyleUnderline"/>
        </w:rPr>
        <w:t>domestic actors can use</w:t>
      </w:r>
      <w:r w:rsidRPr="000E1C1D">
        <w:rPr>
          <w:rStyle w:val="StyleUnderline"/>
        </w:rPr>
        <w:t xml:space="preserve"> their </w:t>
      </w:r>
      <w:r w:rsidRPr="00B96F5D">
        <w:rPr>
          <w:rStyle w:val="StyleUnderline"/>
        </w:rPr>
        <w:t>economic power to influence</w:t>
      </w:r>
      <w:r w:rsidRPr="00B23466">
        <w:rPr>
          <w:sz w:val="12"/>
        </w:rPr>
        <w:t xml:space="preserve"> their nation’s </w:t>
      </w:r>
      <w:r w:rsidRPr="00B96F5D">
        <w:rPr>
          <w:rStyle w:val="StyleUnderline"/>
        </w:rPr>
        <w:t>political elites and increase</w:t>
      </w:r>
      <w:r w:rsidRPr="000E1C1D">
        <w:rPr>
          <w:rStyle w:val="StyleUnderline"/>
        </w:rPr>
        <w:t xml:space="preserve"> the likelihood that</w:t>
      </w:r>
      <w:r w:rsidRPr="00B23466">
        <w:rPr>
          <w:sz w:val="12"/>
        </w:rPr>
        <w:t xml:space="preserve"> economic </w:t>
      </w:r>
      <w:r w:rsidRPr="000E1C1D">
        <w:rPr>
          <w:rStyle w:val="StyleUnderline"/>
        </w:rPr>
        <w:t xml:space="preserve">conflict erupts into </w:t>
      </w:r>
      <w:r w:rsidRPr="00B96F5D">
        <w:rPr>
          <w:rStyle w:val="StyleUnderline"/>
        </w:rPr>
        <w:t>war</w:t>
      </w:r>
      <w:r w:rsidRPr="00B23466">
        <w:rPr>
          <w:sz w:val="12"/>
        </w:rPr>
        <w:t xml:space="preserve">. </w:t>
      </w:r>
      <w:r w:rsidRPr="00B23466">
        <w:rPr>
          <w:rStyle w:val="StyleUnderline"/>
          <w:highlight w:val="cyan"/>
        </w:rPr>
        <w:t>We support this</w:t>
      </w:r>
      <w:r w:rsidRPr="000E1C1D">
        <w:rPr>
          <w:rStyle w:val="StyleUnderline"/>
        </w:rPr>
        <w:t xml:space="preserve"> theoretical argument </w:t>
      </w:r>
      <w:r w:rsidRPr="00B23466">
        <w:rPr>
          <w:rStyle w:val="StyleUnderline"/>
          <w:highlight w:val="cyan"/>
        </w:rPr>
        <w:t>with</w:t>
      </w:r>
      <w:r w:rsidRPr="000E1C1D">
        <w:rPr>
          <w:rStyle w:val="StyleUnderline"/>
        </w:rPr>
        <w:t xml:space="preserve"> </w:t>
      </w:r>
      <w:r w:rsidRPr="00B23466">
        <w:rPr>
          <w:rStyle w:val="Emphasis"/>
          <w:highlight w:val="cyan"/>
        </w:rPr>
        <w:t>several well-established historical cases</w:t>
      </w:r>
      <w:r w:rsidRPr="000E1C1D">
        <w:rPr>
          <w:rStyle w:val="StyleUnderline"/>
        </w:rPr>
        <w:t xml:space="preserve"> </w:t>
      </w:r>
      <w:r w:rsidRPr="00B23466">
        <w:rPr>
          <w:rStyle w:val="StyleUnderline"/>
          <w:highlight w:val="cyan"/>
        </w:rPr>
        <w:t>including</w:t>
      </w:r>
      <w:r w:rsidRPr="000E1C1D">
        <w:rPr>
          <w:rStyle w:val="StyleUnderline"/>
        </w:rPr>
        <w:t xml:space="preserve"> </w:t>
      </w:r>
      <w:r w:rsidRPr="00B23466">
        <w:rPr>
          <w:rStyle w:val="StyleUnderline"/>
          <w:highlight w:val="cyan"/>
        </w:rPr>
        <w:t>the</w:t>
      </w:r>
      <w:r w:rsidRPr="000E1C1D">
        <w:rPr>
          <w:rStyle w:val="StyleUnderline"/>
        </w:rPr>
        <w:t xml:space="preserve"> seventeenth-century </w:t>
      </w:r>
      <w:r w:rsidRPr="00B23466">
        <w:rPr>
          <w:rStyle w:val="Emphasis"/>
          <w:highlight w:val="cyan"/>
        </w:rPr>
        <w:t>Dutch-English</w:t>
      </w:r>
      <w:r w:rsidRPr="00B23466">
        <w:rPr>
          <w:sz w:val="12"/>
        </w:rPr>
        <w:t xml:space="preserve"> commercial </w:t>
      </w:r>
      <w:r w:rsidRPr="00B23466">
        <w:rPr>
          <w:rStyle w:val="StyleUnderline"/>
          <w:highlight w:val="cyan"/>
        </w:rPr>
        <w:t>rivalry</w:t>
      </w:r>
      <w:r w:rsidRPr="000E1C1D">
        <w:rPr>
          <w:rStyle w:val="StyleUnderline"/>
        </w:rPr>
        <w:t xml:space="preserve">, </w:t>
      </w:r>
      <w:r w:rsidRPr="00B23466">
        <w:rPr>
          <w:rStyle w:val="StyleUnderline"/>
          <w:highlight w:val="cyan"/>
        </w:rPr>
        <w:t>the</w:t>
      </w:r>
      <w:r w:rsidRPr="000E1C1D">
        <w:rPr>
          <w:rStyle w:val="StyleUnderline"/>
        </w:rPr>
        <w:t xml:space="preserve"> pre-World War I </w:t>
      </w:r>
      <w:r w:rsidRPr="00B23466">
        <w:rPr>
          <w:rStyle w:val="Emphasis"/>
          <w:highlight w:val="cyan"/>
        </w:rPr>
        <w:t>Anglo-German</w:t>
      </w:r>
      <w:r w:rsidRPr="00B23466">
        <w:rPr>
          <w:sz w:val="12"/>
          <w:highlight w:val="cyan"/>
        </w:rPr>
        <w:t xml:space="preserve"> </w:t>
      </w:r>
      <w:r w:rsidRPr="00B23466">
        <w:rPr>
          <w:rStyle w:val="StyleUnderline"/>
          <w:highlight w:val="cyan"/>
        </w:rPr>
        <w:t>rivalry</w:t>
      </w:r>
      <w:r w:rsidRPr="00B23466">
        <w:rPr>
          <w:sz w:val="12"/>
          <w:highlight w:val="cyan"/>
        </w:rPr>
        <w:t xml:space="preserve">, </w:t>
      </w:r>
      <w:r w:rsidRPr="00B23466">
        <w:rPr>
          <w:rStyle w:val="StyleUnderline"/>
          <w:highlight w:val="cyan"/>
        </w:rPr>
        <w:t>and the</w:t>
      </w:r>
      <w:r w:rsidRPr="000E1C1D">
        <w:rPr>
          <w:rStyle w:val="StyleUnderline"/>
        </w:rPr>
        <w:t xml:space="preserve"> </w:t>
      </w:r>
      <w:r w:rsidRPr="000E1C1D">
        <w:rPr>
          <w:rStyle w:val="Emphasis"/>
        </w:rPr>
        <w:t xml:space="preserve">1990 </w:t>
      </w:r>
      <w:r w:rsidRPr="00B23466">
        <w:rPr>
          <w:rStyle w:val="Emphasis"/>
          <w:highlight w:val="cyan"/>
        </w:rPr>
        <w:t>invasion of Kuwait</w:t>
      </w:r>
    </w:p>
    <w:p w14:paraId="4BDD9854" w14:textId="47A1C74E" w:rsidR="00D730A0" w:rsidRDefault="00D730A0" w:rsidP="00D730A0">
      <w:pPr>
        <w:rPr>
          <w:sz w:val="12"/>
        </w:rPr>
      </w:pPr>
      <w:r w:rsidRPr="000E1C1D">
        <w:rPr>
          <w:rStyle w:val="StyleUnderline"/>
        </w:rPr>
        <w:t xml:space="preserve"> by Iraq</w:t>
      </w:r>
      <w:r w:rsidRPr="00B23466">
        <w:rPr>
          <w:sz w:val="12"/>
        </w:rPr>
        <w:t xml:space="preserve">. Our argument suggests that, </w:t>
      </w:r>
      <w:r w:rsidRPr="000E1C1D">
        <w:rPr>
          <w:rStyle w:val="StyleUnderline"/>
        </w:rPr>
        <w:t>although trade can have a pacifying direct effect at the dyadic level, it also has strong indirect effects, which can be conflict aggravating</w:t>
      </w:r>
      <w:r w:rsidRPr="00B23466">
        <w:rPr>
          <w:sz w:val="12"/>
        </w:rPr>
        <w:t xml:space="preserve">.  </w:t>
      </w:r>
      <w:r w:rsidRPr="00B23466">
        <w:rPr>
          <w:rStyle w:val="StyleUnderline"/>
          <w:highlight w:val="cyan"/>
        </w:rPr>
        <w:t>We test this</w:t>
      </w:r>
      <w:r w:rsidRPr="000E1C1D">
        <w:rPr>
          <w:rStyle w:val="StyleUnderline"/>
        </w:rPr>
        <w:t xml:space="preserve"> argument </w:t>
      </w:r>
      <w:r w:rsidRPr="00B23466">
        <w:rPr>
          <w:rStyle w:val="StyleUnderline"/>
          <w:highlight w:val="cyan"/>
        </w:rPr>
        <w:t>using</w:t>
      </w:r>
      <w:r w:rsidRPr="00B23466">
        <w:rPr>
          <w:sz w:val="12"/>
        </w:rPr>
        <w:t xml:space="preserve"> commodity-level </w:t>
      </w:r>
      <w:r w:rsidRPr="00B23466">
        <w:rPr>
          <w:rStyle w:val="StyleUnderline"/>
          <w:highlight w:val="cyan"/>
        </w:rPr>
        <w:t>trade data</w:t>
      </w:r>
      <w:r w:rsidRPr="000E1C1D">
        <w:rPr>
          <w:rStyle w:val="StyleUnderline"/>
        </w:rPr>
        <w:t xml:space="preserve"> from 1962 to 2000</w:t>
      </w:r>
      <w:r w:rsidRPr="00B23466">
        <w:rPr>
          <w:sz w:val="12"/>
        </w:rPr>
        <w:t xml:space="preserve">. We measure each country pair’s portfolio similarity along nearly 1,300 commodity categories and test the effect of this variable on several indicators of international conflict. </w:t>
      </w:r>
      <w:r w:rsidRPr="000E1C1D">
        <w:rPr>
          <w:rStyle w:val="StyleUnderline"/>
        </w:rPr>
        <w:t xml:space="preserve">Our </w:t>
      </w:r>
      <w:r w:rsidRPr="00B23466">
        <w:rPr>
          <w:rStyle w:val="StyleUnderline"/>
          <w:highlight w:val="cyan"/>
        </w:rPr>
        <w:t xml:space="preserve">results strongly support our claim that countries that produce and export similar goods are </w:t>
      </w:r>
      <w:r w:rsidRPr="00B23466">
        <w:rPr>
          <w:rStyle w:val="Emphasis"/>
          <w:highlight w:val="cyan"/>
        </w:rPr>
        <w:t xml:space="preserve">significantly more likely to fight, even </w:t>
      </w:r>
      <w:proofErr w:type="gramStart"/>
      <w:r w:rsidRPr="00B23466">
        <w:rPr>
          <w:rStyle w:val="Emphasis"/>
          <w:highlight w:val="cyan"/>
        </w:rPr>
        <w:t>taking into account</w:t>
      </w:r>
      <w:proofErr w:type="gramEnd"/>
      <w:r w:rsidRPr="00B23466">
        <w:rPr>
          <w:rStyle w:val="Emphasis"/>
          <w:highlight w:val="cyan"/>
        </w:rPr>
        <w:t xml:space="preserve"> their bilateral trade</w:t>
      </w:r>
      <w:r w:rsidRPr="00B23466">
        <w:rPr>
          <w:sz w:val="12"/>
        </w:rPr>
        <w:t xml:space="preserve">. </w:t>
      </w:r>
      <w:r w:rsidRPr="000E1C1D">
        <w:rPr>
          <w:rStyle w:val="Emphasis"/>
        </w:rPr>
        <w:t xml:space="preserve">These </w:t>
      </w:r>
      <w:r w:rsidRPr="00B23466">
        <w:rPr>
          <w:rStyle w:val="Emphasis"/>
          <w:highlight w:val="cyan"/>
        </w:rPr>
        <w:t>findings are robust</w:t>
      </w:r>
      <w:r w:rsidRPr="00B23466">
        <w:rPr>
          <w:rStyle w:val="StyleUnderline"/>
          <w:highlight w:val="cyan"/>
        </w:rPr>
        <w:t xml:space="preserve"> to several checks</w:t>
      </w:r>
      <w:r w:rsidRPr="000E1C1D">
        <w:rPr>
          <w:rStyle w:val="StyleUnderline"/>
        </w:rPr>
        <w:t xml:space="preserve"> on model specification as well as alternative explanations</w:t>
      </w:r>
      <w:r w:rsidRPr="00B23466">
        <w:rPr>
          <w:sz w:val="12"/>
        </w:rPr>
        <w:t xml:space="preserve">. We also show that our </w:t>
      </w:r>
      <w:r w:rsidRPr="000E1C1D">
        <w:rPr>
          <w:rStyle w:val="StyleUnderline"/>
        </w:rPr>
        <w:t>findings are not driven by oil or other strategic resources</w:t>
      </w:r>
      <w:r w:rsidRPr="00B23466">
        <w:rPr>
          <w:sz w:val="12"/>
        </w:rPr>
        <w:t xml:space="preserve"> and that they hold for both raw and manufactured goods. </w:t>
      </w:r>
      <w:proofErr w:type="gramStart"/>
      <w:r w:rsidRPr="00B23466">
        <w:rPr>
          <w:sz w:val="12"/>
        </w:rPr>
        <w:t>In light of</w:t>
      </w:r>
      <w:proofErr w:type="gramEnd"/>
      <w:r w:rsidRPr="00B23466">
        <w:rPr>
          <w:sz w:val="12"/>
        </w:rPr>
        <w:t xml:space="preserve"> these results, </w:t>
      </w:r>
      <w:r w:rsidRPr="00B23466">
        <w:rPr>
          <w:rStyle w:val="Emphasis"/>
          <w:highlight w:val="cyan"/>
        </w:rPr>
        <w:t>we</w:t>
      </w:r>
      <w:r w:rsidRPr="000E1C1D">
        <w:rPr>
          <w:rStyle w:val="Emphasis"/>
        </w:rPr>
        <w:t xml:space="preserve"> are confident that we </w:t>
      </w:r>
      <w:r w:rsidRPr="00B23466">
        <w:rPr>
          <w:rStyle w:val="Emphasis"/>
          <w:highlight w:val="cyan"/>
        </w:rPr>
        <w:t>have identified a significant and practically important cause of war</w:t>
      </w:r>
      <w:r w:rsidRPr="00B23466">
        <w:rPr>
          <w:sz w:val="12"/>
          <w:highlight w:val="cyan"/>
        </w:rPr>
        <w:t>.</w:t>
      </w:r>
      <w:r w:rsidRPr="00B23466">
        <w:rPr>
          <w:sz w:val="12"/>
        </w:rPr>
        <w:t xml:space="preserve">  </w:t>
      </w:r>
      <w:bookmarkEnd w:id="0"/>
    </w:p>
    <w:sectPr w:rsidR="00D730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D9674C"/>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63FC9"/>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8239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3440"/>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730A0"/>
    <w:rsid w:val="00D9674C"/>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E8422"/>
  <w15:chartTrackingRefBased/>
  <w15:docId w15:val="{B525AC20-7301-415D-889E-8ACCF7325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730A0"/>
    <w:rPr>
      <w:rFonts w:ascii="Calibri" w:hAnsi="Calibri" w:cs="Calibri"/>
    </w:rPr>
  </w:style>
  <w:style w:type="paragraph" w:styleId="Heading1">
    <w:name w:val="heading 1"/>
    <w:aliases w:val="Pocket"/>
    <w:basedOn w:val="Normal"/>
    <w:next w:val="Normal"/>
    <w:link w:val="Heading1Char"/>
    <w:qFormat/>
    <w:rsid w:val="00D730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D730A0"/>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D730A0"/>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D730A0"/>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D730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30A0"/>
  </w:style>
  <w:style w:type="character" w:customStyle="1" w:styleId="Heading1Char">
    <w:name w:val="Heading 1 Char"/>
    <w:aliases w:val="Pocket Char"/>
    <w:basedOn w:val="DefaultParagraphFont"/>
    <w:link w:val="Heading1"/>
    <w:rsid w:val="00D730A0"/>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D730A0"/>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D730A0"/>
    <w:rPr>
      <w:rFonts w:ascii="Cambria" w:eastAsiaTheme="majorEastAsia" w:hAnsi="Cambria"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D730A0"/>
    <w:rPr>
      <w:rFonts w:ascii="Cambria" w:eastAsiaTheme="majorEastAsia" w:hAnsi="Cambr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7"/>
    <w:qFormat/>
    <w:rsid w:val="00D730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730A0"/>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D730A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D730A0"/>
    <w:rPr>
      <w:color w:val="auto"/>
      <w:u w:val="none"/>
    </w:rPr>
  </w:style>
  <w:style w:type="character" w:styleId="FollowedHyperlink">
    <w:name w:val="FollowedHyperlink"/>
    <w:basedOn w:val="DefaultParagraphFont"/>
    <w:uiPriority w:val="99"/>
    <w:semiHidden/>
    <w:unhideWhenUsed/>
    <w:rsid w:val="00D730A0"/>
    <w:rPr>
      <w:color w:val="auto"/>
      <w:u w:val="none"/>
    </w:rPr>
  </w:style>
  <w:style w:type="paragraph" w:customStyle="1" w:styleId="textbold">
    <w:name w:val="text bold"/>
    <w:basedOn w:val="Normal"/>
    <w:link w:val="Emphasis"/>
    <w:uiPriority w:val="7"/>
    <w:qFormat/>
    <w:rsid w:val="00D730A0"/>
    <w:pPr>
      <w:ind w:left="720"/>
      <w:jc w:val="both"/>
    </w:pPr>
    <w:rPr>
      <w:b/>
      <w:iCs/>
      <w:u w:val="single"/>
    </w:rPr>
  </w:style>
  <w:style w:type="paragraph" w:styleId="NoSpacing">
    <w:name w:val="No Spacing"/>
    <w:aliases w:val="Card Format,ClearFormatting,DDI Tag,Tag Title,No Spacing51,Tag and Cite,CD - Cite,Very Small Text,Dont u,No Spacing311,No Spacing6,No Spacing7,No Spacing8,Dont use,No Spacing31,No Spacing22,No Spacing41,No Spacing111112,No Spacing3,ca"/>
    <w:basedOn w:val="Heading1"/>
    <w:link w:val="Hyperlink"/>
    <w:autoRedefine/>
    <w:uiPriority w:val="99"/>
    <w:qFormat/>
    <w:rsid w:val="00D730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dsupra.com/legalnews/group-of-nearly-60-wto-members-seek-2523821/" TargetMode="External"/><Relationship Id="rId3" Type="http://schemas.openxmlformats.org/officeDocument/2006/relationships/styles" Target="styles.xml"/><Relationship Id="rId7" Type="http://schemas.openxmlformats.org/officeDocument/2006/relationships/hyperlink" Target="http://activehistory.ca/2016/01/political-depression-in-a-time-of-reconciliation/)//NotJacob//recu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direct.com/science/article/pii/S135382922030095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18100</Words>
  <Characters>103174</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4</cp:revision>
  <dcterms:created xsi:type="dcterms:W3CDTF">2021-10-17T18:09:00Z</dcterms:created>
  <dcterms:modified xsi:type="dcterms:W3CDTF">2021-10-17T23:57:00Z</dcterms:modified>
</cp:coreProperties>
</file>