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6CC4F" w14:textId="4B83D461" w:rsidR="00A95652" w:rsidRDefault="00F5623D" w:rsidP="00F5623D">
      <w:pPr>
        <w:pStyle w:val="Heading1"/>
      </w:pPr>
      <w:r>
        <w:t>1NC uh r3</w:t>
      </w:r>
    </w:p>
    <w:p w14:paraId="1B776FC6" w14:textId="315B174F" w:rsidR="00F5623D" w:rsidRDefault="00F5623D" w:rsidP="00F5623D">
      <w:pPr>
        <w:pStyle w:val="Heading2"/>
      </w:pPr>
      <w:r>
        <w:t>K</w:t>
      </w:r>
    </w:p>
    <w:p w14:paraId="43FEFE3B" w14:textId="77777777" w:rsidR="00F5623D" w:rsidRPr="005A29A5" w:rsidRDefault="00F5623D" w:rsidP="00F5623D">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286BFACC" w14:textId="77777777" w:rsidR="00F5623D" w:rsidRDefault="00F5623D" w:rsidP="00F5623D">
      <w:pPr>
        <w:rPr>
          <w:rStyle w:val="Style13ptBold"/>
        </w:rPr>
      </w:pPr>
      <w:r>
        <w:rPr>
          <w:rStyle w:val="Style13ptBold"/>
        </w:rPr>
        <w:t>Grove ‘19</w:t>
      </w:r>
    </w:p>
    <w:p w14:paraId="51812406" w14:textId="77777777" w:rsidR="00F5623D" w:rsidRDefault="00F5623D" w:rsidP="00F5623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624FD1B2" w14:textId="77777777" w:rsidR="00F5623D" w:rsidRPr="00347BF9" w:rsidRDefault="00F5623D" w:rsidP="00F5623D">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w:t>
      </w:r>
      <w:r w:rsidRPr="0074049B">
        <w:rPr>
          <w:sz w:val="12"/>
        </w:rPr>
        <w:t xml:space="preserve">half biding time until you have the prince’s ear. </w:t>
      </w:r>
      <w:r w:rsidRPr="0074049B">
        <w:rPr>
          <w:rStyle w:val="StyleUnderline"/>
        </w:rPr>
        <w:t>The hallowed names in the mainstream of the field are still known because they somehow changed the behavior of their intended clients</w:t>
      </w:r>
      <w:r w:rsidRPr="0074049B">
        <w:rPr>
          <w:sz w:val="12"/>
        </w:rPr>
        <w:t xml:space="preserve">—those being states, militaries, and international organizations. Therefore, some attention to </w:t>
      </w:r>
      <w:proofErr w:type="spellStart"/>
      <w:r w:rsidRPr="0074049B">
        <w:rPr>
          <w:sz w:val="12"/>
        </w:rPr>
        <w:t>ir</w:t>
      </w:r>
      <w:proofErr w:type="spellEnd"/>
      <w:r w:rsidRPr="0074049B">
        <w:rPr>
          <w:sz w:val="12"/>
        </w:rPr>
        <w:t xml:space="preserve"> is necessary because it has an all-too-</w:t>
      </w:r>
      <w:proofErr w:type="spellStart"/>
      <w:r w:rsidRPr="0074049B">
        <w:rPr>
          <w:sz w:val="12"/>
        </w:rPr>
        <w:t>casual</w:t>
      </w:r>
      <w:proofErr w:type="spellEnd"/>
      <w:r w:rsidRPr="0074049B">
        <w:rPr>
          <w:sz w:val="12"/>
        </w:rPr>
        <w:t xml:space="preserve"> relationship with institutional power that directly impacts the lives of real people, and </w:t>
      </w:r>
      <w:proofErr w:type="spellStart"/>
      <w:r w:rsidRPr="0074049B">
        <w:rPr>
          <w:sz w:val="12"/>
        </w:rPr>
        <w:t>ir</w:t>
      </w:r>
      <w:proofErr w:type="spellEnd"/>
      <w:r w:rsidRPr="0074049B">
        <w:rPr>
          <w:sz w:val="12"/>
        </w:rPr>
        <w:t xml:space="preserve"> is all too often lethal theory. As an American discipline, </w:t>
      </w:r>
      <w:r w:rsidRPr="0074049B">
        <w:rPr>
          <w:rStyle w:val="StyleUnderline"/>
        </w:rPr>
        <w:t xml:space="preserve">the political economy of the field is impossible without </w:t>
      </w:r>
      <w:r w:rsidRPr="0074049B">
        <w:rPr>
          <w:rStyle w:val="Emphasis"/>
        </w:rPr>
        <w:t>D</w:t>
      </w:r>
      <w:r w:rsidRPr="0074049B">
        <w:rPr>
          <w:sz w:val="12"/>
        </w:rPr>
        <w:t xml:space="preserve">epartment </w:t>
      </w:r>
      <w:r w:rsidRPr="0074049B">
        <w:rPr>
          <w:rStyle w:val="Emphasis"/>
        </w:rPr>
        <w:t>o</w:t>
      </w:r>
      <w:r w:rsidRPr="0074049B">
        <w:rPr>
          <w:sz w:val="12"/>
        </w:rPr>
        <w:t xml:space="preserve">f </w:t>
      </w:r>
      <w:r w:rsidRPr="0074049B">
        <w:rPr>
          <w:rStyle w:val="Emphasis"/>
        </w:rPr>
        <w:t>D</w:t>
      </w:r>
      <w:r w:rsidRPr="0074049B">
        <w:rPr>
          <w:sz w:val="12"/>
        </w:rPr>
        <w:t xml:space="preserve">efense </w:t>
      </w:r>
      <w:r w:rsidRPr="0074049B">
        <w:rPr>
          <w:rStyle w:val="StyleUnderline"/>
        </w:rPr>
        <w:t>money</w:t>
      </w:r>
      <w:r w:rsidRPr="0074049B">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74049B">
        <w:rPr>
          <w:rStyle w:val="StyleUnderline"/>
        </w:rPr>
        <w:t>Although many other fields such as anthropology and even comparative literature have found themselves in the gravitational pull</w:t>
      </w:r>
      <w:r w:rsidRPr="000B479A">
        <w:rPr>
          <w:rStyle w:val="StyleUnderline"/>
        </w:rPr>
        <w:t xml:space="preserve">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r w:rsidRPr="00551B73">
        <w:rPr>
          <w:rStyle w:val="StyleUnderline"/>
          <w:highlight w:val="green"/>
        </w:rPr>
        <w:t>is</w:t>
      </w:r>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2B2C7980" w14:textId="77777777" w:rsidR="00F5623D" w:rsidRPr="0074049B" w:rsidRDefault="00F5623D" w:rsidP="00F5623D">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t>
      </w:r>
      <w:r w:rsidRPr="0074049B">
        <w:rPr>
          <w:sz w:val="8"/>
          <w:szCs w:val="8"/>
        </w:rPr>
        <w:t>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643DE330" w14:textId="77777777" w:rsidR="00F5623D" w:rsidRPr="00347BF9" w:rsidRDefault="00F5623D" w:rsidP="00F5623D">
      <w:pPr>
        <w:rPr>
          <w:sz w:val="12"/>
          <w:szCs w:val="8"/>
        </w:rPr>
      </w:pPr>
      <w:r w:rsidRPr="0074049B">
        <w:rPr>
          <w:rStyle w:val="StyleUnderline"/>
        </w:rPr>
        <w:t>That issues like rape as a weapon of war</w:t>
      </w:r>
      <w:r w:rsidRPr="0074049B">
        <w:rPr>
          <w:sz w:val="12"/>
          <w:szCs w:val="8"/>
        </w:rPr>
        <w:t xml:space="preserve">, </w:t>
      </w:r>
      <w:r w:rsidRPr="0074049B">
        <w:rPr>
          <w:rStyle w:val="StyleUnderline"/>
        </w:rPr>
        <w:t>postcolonial violence</w:t>
      </w:r>
      <w:r w:rsidRPr="0074049B">
        <w:rPr>
          <w:sz w:val="12"/>
          <w:szCs w:val="8"/>
        </w:rPr>
        <w:t xml:space="preserve">, </w:t>
      </w:r>
      <w:r w:rsidRPr="0074049B">
        <w:rPr>
          <w:rStyle w:val="StyleUnderline"/>
        </w:rPr>
        <w:t>global racism</w:t>
      </w:r>
      <w:r w:rsidRPr="0074049B">
        <w:rPr>
          <w:sz w:val="12"/>
          <w:szCs w:val="8"/>
        </w:rPr>
        <w:t xml:space="preserve">, </w:t>
      </w:r>
      <w:r w:rsidRPr="0074049B">
        <w:rPr>
          <w:rStyle w:val="StyleUnderline"/>
        </w:rPr>
        <w:t xml:space="preserve">and climate change are not squarely in the main of </w:t>
      </w:r>
      <w:proofErr w:type="spellStart"/>
      <w:r w:rsidRPr="0074049B">
        <w:rPr>
          <w:rStyle w:val="StyleUnderline"/>
        </w:rPr>
        <w:t>ir</w:t>
      </w:r>
      <w:proofErr w:type="spellEnd"/>
      <w:r w:rsidRPr="0074049B">
        <w:rPr>
          <w:rStyle w:val="StyleUnderline"/>
        </w:rPr>
        <w:t xml:space="preserve"> demonstrates just how benign American scholarly hegemony </w:t>
      </w:r>
      <w:r w:rsidRPr="0074049B">
        <w:rPr>
          <w:rStyle w:val="Emphasis"/>
        </w:rPr>
        <w:t>is not</w:t>
      </w:r>
      <w:r w:rsidRPr="0074049B">
        <w:rPr>
          <w:sz w:val="12"/>
          <w:szCs w:val="8"/>
        </w:rPr>
        <w:t>. As one prominent anthropologist said to me at dinner after touring the isa conference in 2014, “it was surreal, like a tour through the Cold War. People were</w:t>
      </w:r>
      <w:r w:rsidRPr="00347BF9">
        <w:rPr>
          <w:sz w:val="12"/>
          <w:szCs w:val="8"/>
        </w:rPr>
        <w:t xml:space="preserv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w:t>
      </w:r>
      <w:r w:rsidRPr="0074049B">
        <w:rPr>
          <w:sz w:val="12"/>
          <w:szCs w:val="8"/>
        </w:rPr>
        <w:t xml:space="preserve">mentioned to describe the 2016 presidential campaign debates over the future of U.S. foreign policy: it is as if “nothing had ever changed.” </w:t>
      </w:r>
      <w:r w:rsidRPr="0074049B">
        <w:rPr>
          <w:rStyle w:val="StyleUnderline"/>
        </w:rPr>
        <w:t>And yet these old white men still strut around the halls of America’s “best” institutions as if they saved us from the Cold War</w:t>
      </w:r>
      <w:r w:rsidRPr="0074049B">
        <w:rPr>
          <w:sz w:val="12"/>
          <w:szCs w:val="8"/>
        </w:rPr>
        <w:t xml:space="preserve">, </w:t>
      </w:r>
      <w:r w:rsidRPr="0074049B">
        <w:rPr>
          <w:rStyle w:val="StyleUnderline"/>
        </w:rPr>
        <w:t xml:space="preserve">even as </w:t>
      </w:r>
      <w:r w:rsidRPr="00551B73">
        <w:rPr>
          <w:rStyle w:val="StyleUnderline"/>
          <w:highlight w:val="green"/>
        </w:rPr>
        <w:t>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3541916A" w14:textId="77777777" w:rsidR="00F5623D" w:rsidRPr="00937F8D" w:rsidRDefault="00F5623D" w:rsidP="00F5623D">
      <w:pPr>
        <w:rPr>
          <w:sz w:val="12"/>
        </w:rPr>
      </w:pPr>
      <w:r w:rsidRPr="005B151F">
        <w:rPr>
          <w:rStyle w:val="StyleUnderline"/>
        </w:rPr>
        <w:t xml:space="preserve">If </w:t>
      </w:r>
      <w:r w:rsidRPr="005B151F">
        <w:rPr>
          <w:rStyle w:val="Emphasis"/>
        </w:rPr>
        <w:t>i</w:t>
      </w:r>
      <w:r w:rsidRPr="005B151F">
        <w:rPr>
          <w:sz w:val="12"/>
        </w:rPr>
        <w:t xml:space="preserve">nternational </w:t>
      </w:r>
      <w:r w:rsidRPr="005B151F">
        <w:rPr>
          <w:rStyle w:val="Emphasis"/>
        </w:rPr>
        <w:t>r</w:t>
      </w:r>
      <w:r w:rsidRPr="005B151F">
        <w:rPr>
          <w:sz w:val="12"/>
        </w:rPr>
        <w:t xml:space="preserve">elations </w:t>
      </w:r>
      <w:r w:rsidRPr="005B151F">
        <w:rPr>
          <w:rStyle w:val="StyleUnderline"/>
        </w:rPr>
        <w:t>was meant to be the science of mak</w:t>
      </w:r>
      <w:r w:rsidRPr="005B151F">
        <w:rPr>
          <w:sz w:val="12"/>
        </w:rPr>
        <w:t xml:space="preserve">ing </w:t>
      </w:r>
      <w:r w:rsidRPr="005B151F">
        <w:rPr>
          <w:rStyle w:val="StyleUnderline"/>
        </w:rPr>
        <w:t>the world something other than what it would be if we were all left to our own worst devices</w:t>
      </w:r>
      <w:r w:rsidRPr="005B151F">
        <w:rPr>
          <w:sz w:val="12"/>
        </w:rPr>
        <w:t xml:space="preserve">, </w:t>
      </w:r>
      <w:r w:rsidRPr="005B151F">
        <w:rPr>
          <w:rStyle w:val="Emphasis"/>
        </w:rPr>
        <w:t>then it has failed monumentally</w:t>
      </w:r>
      <w:r w:rsidRPr="005B151F">
        <w:rPr>
          <w:sz w:val="12"/>
        </w:rPr>
        <w:t>. The United States is once again in fierce nuclear competition with Russia. We are no closer to any significant action on climate change. We</w:t>
      </w:r>
      <w:r w:rsidRPr="00937F8D">
        <w:rPr>
          <w:sz w:val="12"/>
        </w:rPr>
        <w:t xml:space="preserv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2F745558" w14:textId="77777777" w:rsidR="00F5623D" w:rsidRPr="00937F8D" w:rsidRDefault="00F5623D" w:rsidP="00F5623D">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1CFACF89" w14:textId="77777777" w:rsidR="00F5623D" w:rsidRPr="00937F8D" w:rsidRDefault="00F5623D" w:rsidP="00F5623D">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B151F">
        <w:rPr>
          <w:rStyle w:val="StyleUnderline"/>
        </w:rPr>
        <w:t xml:space="preserve">either </w:t>
      </w:r>
      <w:r w:rsidRPr="00551B73">
        <w:rPr>
          <w:rStyle w:val="StyleUnderline"/>
          <w:highlight w:val="green"/>
        </w:rPr>
        <w:t>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w:t>
      </w:r>
      <w:r w:rsidRPr="005B151F">
        <w:rPr>
          <w:rStyle w:val="Emphasis"/>
        </w:rPr>
        <w:t>for our current apocalyptic condition</w:t>
      </w:r>
      <w:r w:rsidRPr="005B151F">
        <w:rPr>
          <w:sz w:val="12"/>
        </w:rPr>
        <w:t>. One is left wondering what it is exactly that they think they do. Despite the seeming opposition between the two, one idealistic about the future of international order (liberals</w:t>
      </w:r>
      <w:r w:rsidRPr="00937F8D">
        <w:rPr>
          <w:sz w:val="12"/>
        </w:rPr>
        <w:t>) and the other self-satisfied with the tragedy of cycles of war and dominance (realists), both positions are optimists of the positivist variety.</w:t>
      </w:r>
    </w:p>
    <w:p w14:paraId="5CF887F2" w14:textId="77777777" w:rsidR="00F5623D" w:rsidRPr="00937F8D" w:rsidRDefault="00F5623D" w:rsidP="00F5623D">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45842C33" w14:textId="77777777" w:rsidR="00F5623D" w:rsidRPr="0074049B" w:rsidRDefault="00F5623D" w:rsidP="00F5623D">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w:t>
      </w:r>
      <w:r w:rsidRPr="0074049B">
        <w:rPr>
          <w:sz w:val="8"/>
          <w:szCs w:val="8"/>
        </w:rPr>
        <w:t>American geopolitics created. Emo geopolitics is not pretty, but it is real. The letdown, the failure, the apocalypse-that-was-not finally arrived, and we are too late.</w:t>
      </w:r>
    </w:p>
    <w:p w14:paraId="7AA07FD5" w14:textId="77777777" w:rsidR="00F5623D" w:rsidRPr="00E5364A" w:rsidRDefault="00F5623D" w:rsidP="00F5623D">
      <w:pPr>
        <w:rPr>
          <w:sz w:val="12"/>
        </w:rPr>
      </w:pPr>
      <w:r w:rsidRPr="0074049B">
        <w:rPr>
          <w:sz w:val="12"/>
        </w:rPr>
        <w:t xml:space="preserve">Still, </w:t>
      </w:r>
      <w:r w:rsidRPr="0074049B">
        <w:rPr>
          <w:rStyle w:val="StyleUnderline"/>
        </w:rPr>
        <w:t xml:space="preserve">the </w:t>
      </w:r>
      <w:r w:rsidRPr="0074049B">
        <w:rPr>
          <w:rStyle w:val="Emphasis"/>
        </w:rPr>
        <w:t>U</w:t>
      </w:r>
      <w:r w:rsidRPr="0074049B">
        <w:rPr>
          <w:sz w:val="12"/>
        </w:rPr>
        <w:t xml:space="preserve">nited </w:t>
      </w:r>
      <w:r w:rsidRPr="0074049B">
        <w:rPr>
          <w:rStyle w:val="Emphasis"/>
        </w:rPr>
        <w:t>S</w:t>
      </w:r>
      <w:r w:rsidRPr="0074049B">
        <w:rPr>
          <w:sz w:val="12"/>
        </w:rPr>
        <w:t xml:space="preserve">tates </w:t>
      </w:r>
      <w:r w:rsidRPr="0074049B">
        <w:rPr>
          <w:rStyle w:val="StyleUnderline"/>
        </w:rPr>
        <w:t>of America continues to follow the advice of “the best and the brightest</w:t>
      </w:r>
      <w:r w:rsidRPr="0074049B">
        <w:rPr>
          <w:sz w:val="12"/>
        </w:rPr>
        <w:t xml:space="preserve">,” </w:t>
      </w:r>
      <w:r w:rsidRPr="0074049B">
        <w:rPr>
          <w:rStyle w:val="StyleUnderline"/>
        </w:rPr>
        <w:t>testing the imperial waters</w:t>
      </w:r>
      <w:r w:rsidRPr="0074049B">
        <w:rPr>
          <w:sz w:val="12"/>
        </w:rPr>
        <w:t xml:space="preserve">, </w:t>
      </w:r>
      <w:r w:rsidRPr="0074049B">
        <w:rPr>
          <w:rStyle w:val="StyleUnderline"/>
        </w:rPr>
        <w:t>not quite ready to commit out loud to empire but completely unwilling to abandon it</w:t>
      </w:r>
      <w:r w:rsidRPr="0074049B">
        <w:rPr>
          <w:sz w:val="12"/>
        </w:rPr>
        <w:t>. Stuck in between, contemporary geopolitics—as curated by the United States—is in a permanent beta phase. Neuro</w:t>
      </w:r>
      <w:r w:rsidRPr="00E5364A">
        <w:rPr>
          <w:sz w:val="12"/>
        </w:rPr>
        <w:t xml:space="preserve">-torture,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all the </w:t>
      </w:r>
      <w:r w:rsidRPr="00551B73">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w:t>
      </w:r>
      <w:r w:rsidRPr="005B151F">
        <w:rPr>
          <w:sz w:val="12"/>
        </w:rPr>
        <w:t xml:space="preserve">actant, </w:t>
      </w:r>
      <w:r w:rsidRPr="005B151F">
        <w:rPr>
          <w:rStyle w:val="StyleUnderline"/>
        </w:rPr>
        <w:t>and new terrains from brains to transatlantic cables</w:t>
      </w:r>
      <w:r w:rsidRPr="005B151F">
        <w:rPr>
          <w:sz w:val="12"/>
        </w:rPr>
        <w:t>—</w:t>
      </w:r>
      <w:r w:rsidRPr="005B151F">
        <w:rPr>
          <w:rStyle w:val="StyleUnderline"/>
        </w:rPr>
        <w:t>all find themselves part of a grand experiment to see if a benign or at least sustainable empire is possible</w:t>
      </w:r>
      <w:r w:rsidRPr="005B151F">
        <w:rPr>
          <w:sz w:val="12"/>
        </w:rPr>
        <w:t>. There is no seeming regard for the fact that each experiment directly competes with Thomas Jefferson’s democratic experiment. One wonders if freedom</w:t>
      </w:r>
      <w:r w:rsidRPr="00E5364A">
        <w:rPr>
          <w:sz w:val="12"/>
        </w:rPr>
        <w:t xml:space="preserve">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7A551060" w14:textId="77777777" w:rsidR="00F5623D" w:rsidRPr="00E5364A" w:rsidRDefault="00F5623D" w:rsidP="00F5623D">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2C6238C6" w14:textId="77777777" w:rsidR="00F5623D" w:rsidRPr="00E5364A" w:rsidRDefault="00F5623D" w:rsidP="00F5623D">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4F28CE2F" w14:textId="77777777" w:rsidR="00F5623D" w:rsidRPr="00204A62" w:rsidRDefault="00F5623D" w:rsidP="00F5623D">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71168037" w14:textId="77777777" w:rsidR="00F5623D" w:rsidRPr="008A2B6C" w:rsidRDefault="00F5623D" w:rsidP="00F5623D">
      <w:pPr>
        <w:pStyle w:val="Heading4"/>
      </w:pPr>
      <w:r>
        <w:t xml:space="preserve">The 1AC is embedded within </w:t>
      </w:r>
      <w:proofErr w:type="gramStart"/>
      <w:r>
        <w:t>an</w:t>
      </w:r>
      <w:proofErr w:type="gramEnd"/>
      <w:r>
        <w:t xml:space="preserve"> critical </w:t>
      </w:r>
      <w:proofErr w:type="spellStart"/>
      <w:r>
        <w:t>astropolitics</w:t>
      </w:r>
      <w:proofErr w:type="spellEnd"/>
      <w:r>
        <w:t xml:space="preserve"> of empire – the desire to command, control, and cooperate over the unique processes of space represent an attempt to make the cosmos into a geopolitical chess game</w:t>
      </w:r>
    </w:p>
    <w:p w14:paraId="0741A011" w14:textId="77777777" w:rsidR="00F5623D" w:rsidRPr="00C95B80" w:rsidRDefault="00F5623D" w:rsidP="00F5623D">
      <w:pPr>
        <w:rPr>
          <w:rStyle w:val="Style13ptBold"/>
          <w:b w:val="0"/>
          <w:bCs w:val="0"/>
          <w:sz w:val="16"/>
          <w:szCs w:val="12"/>
        </w:rPr>
      </w:pPr>
      <w:proofErr w:type="spellStart"/>
      <w:r>
        <w:rPr>
          <w:rStyle w:val="Style13ptBold"/>
        </w:rPr>
        <w:t>Havercroft</w:t>
      </w:r>
      <w:proofErr w:type="spellEnd"/>
      <w:r>
        <w:rPr>
          <w:rStyle w:val="Style13ptBold"/>
        </w:rPr>
        <w:t xml:space="preserve"> and Duvall 9</w:t>
      </w:r>
      <w:r>
        <w:rPr>
          <w:rStyle w:val="Style13ptBold"/>
          <w:b w:val="0"/>
          <w:sz w:val="16"/>
          <w:szCs w:val="12"/>
        </w:rPr>
        <w:t xml:space="preserve"> (Jonathan </w:t>
      </w:r>
      <w:proofErr w:type="spellStart"/>
      <w:r>
        <w:rPr>
          <w:rStyle w:val="Style13ptBold"/>
          <w:b w:val="0"/>
          <w:sz w:val="16"/>
          <w:szCs w:val="12"/>
        </w:rPr>
        <w:t>Havercroft</w:t>
      </w:r>
      <w:proofErr w:type="spellEnd"/>
      <w:r>
        <w:rPr>
          <w:rStyle w:val="Style13ptBold"/>
          <w:b w:val="0"/>
          <w:sz w:val="16"/>
          <w:szCs w:val="12"/>
        </w:rPr>
        <w:t xml:space="preserve"> and Raymond Duvall; 2009; </w:t>
      </w:r>
      <w:r>
        <w:rPr>
          <w:rStyle w:val="Style13ptBold"/>
          <w:b w:val="0"/>
          <w:i/>
          <w:iCs/>
          <w:sz w:val="16"/>
          <w:szCs w:val="12"/>
        </w:rPr>
        <w:t>“</w:t>
      </w:r>
      <w:r w:rsidRPr="00C95B80">
        <w:rPr>
          <w:rStyle w:val="Style13ptBold"/>
          <w:b w:val="0"/>
          <w:i/>
          <w:iCs/>
          <w:sz w:val="16"/>
          <w:szCs w:val="12"/>
        </w:rPr>
        <w:t xml:space="preserve">Critical </w:t>
      </w:r>
      <w:proofErr w:type="spellStart"/>
      <w:r w:rsidRPr="00C95B80">
        <w:rPr>
          <w:rStyle w:val="Style13ptBold"/>
          <w:b w:val="0"/>
          <w:i/>
          <w:iCs/>
          <w:sz w:val="16"/>
          <w:szCs w:val="12"/>
        </w:rPr>
        <w:t>astropolitics</w:t>
      </w:r>
      <w:proofErr w:type="spellEnd"/>
      <w:r>
        <w:rPr>
          <w:rStyle w:val="Style13ptBold"/>
          <w:b w:val="0"/>
          <w:i/>
          <w:iCs/>
          <w:sz w:val="16"/>
          <w:szCs w:val="12"/>
        </w:rPr>
        <w:t xml:space="preserve"> </w:t>
      </w:r>
      <w:r w:rsidRPr="00C95B80">
        <w:rPr>
          <w:rStyle w:val="Style13ptBold"/>
          <w:b w:val="0"/>
          <w:i/>
          <w:iCs/>
          <w:sz w:val="16"/>
          <w:szCs w:val="12"/>
        </w:rPr>
        <w:t>The geopolitics of space control</w:t>
      </w:r>
      <w:r>
        <w:rPr>
          <w:rStyle w:val="Style13ptBold"/>
          <w:b w:val="0"/>
          <w:i/>
          <w:iCs/>
          <w:sz w:val="16"/>
          <w:szCs w:val="12"/>
        </w:rPr>
        <w:t xml:space="preserve"> </w:t>
      </w:r>
      <w:r w:rsidRPr="00C95B80">
        <w:rPr>
          <w:rStyle w:val="Style13ptBold"/>
          <w:b w:val="0"/>
          <w:i/>
          <w:iCs/>
          <w:sz w:val="16"/>
          <w:szCs w:val="12"/>
        </w:rPr>
        <w:t>and the transformation of state</w:t>
      </w:r>
      <w:r>
        <w:rPr>
          <w:rStyle w:val="Style13ptBold"/>
          <w:b w:val="0"/>
          <w:i/>
          <w:iCs/>
          <w:sz w:val="16"/>
          <w:szCs w:val="12"/>
        </w:rPr>
        <w:t xml:space="preserve"> </w:t>
      </w:r>
      <w:r w:rsidRPr="00C95B80">
        <w:rPr>
          <w:rStyle w:val="Style13ptBold"/>
          <w:b w:val="0"/>
          <w:i/>
          <w:iCs/>
          <w:sz w:val="16"/>
          <w:szCs w:val="12"/>
        </w:rPr>
        <w:t>sovereignty</w:t>
      </w:r>
      <w:r>
        <w:rPr>
          <w:rStyle w:val="Style13ptBold"/>
          <w:b w:val="0"/>
          <w:i/>
          <w:iCs/>
          <w:sz w:val="16"/>
          <w:szCs w:val="12"/>
        </w:rPr>
        <w:t>”</w:t>
      </w:r>
      <w:r>
        <w:rPr>
          <w:rStyle w:val="Style13ptBold"/>
          <w:b w:val="0"/>
          <w:sz w:val="16"/>
          <w:szCs w:val="12"/>
        </w:rPr>
        <w:t xml:space="preserve">; accessed 12/13/21; </w:t>
      </w:r>
      <w:hyperlink r:id="rId6" w:history="1">
        <w:r w:rsidRPr="00FD3FD8">
          <w:rPr>
            <w:rStyle w:val="Hyperlink"/>
            <w:sz w:val="16"/>
            <w:szCs w:val="12"/>
          </w:rPr>
          <w:t>https://www.law.upenn.edu/live/files/7892-havercroft-and-duvallcritical-astropoliticspdf</w:t>
        </w:r>
      </w:hyperlink>
      <w:r>
        <w:rPr>
          <w:rStyle w:val="Style13ptBold"/>
          <w:b w:val="0"/>
          <w:sz w:val="16"/>
          <w:szCs w:val="12"/>
        </w:rPr>
        <w:t xml:space="preserve">; </w:t>
      </w:r>
      <w:r w:rsidRPr="00607EA4">
        <w:rPr>
          <w:rStyle w:val="Style13ptBold"/>
          <w:b w:val="0"/>
          <w:sz w:val="16"/>
          <w:szCs w:val="12"/>
        </w:rPr>
        <w:t xml:space="preserve">Jonathan </w:t>
      </w:r>
      <w:proofErr w:type="spellStart"/>
      <w:r w:rsidRPr="00607EA4">
        <w:rPr>
          <w:rStyle w:val="Style13ptBold"/>
          <w:b w:val="0"/>
          <w:sz w:val="16"/>
          <w:szCs w:val="12"/>
        </w:rPr>
        <w:t>Havercroft</w:t>
      </w:r>
      <w:proofErr w:type="spellEnd"/>
      <w:r w:rsidRPr="00607EA4">
        <w:rPr>
          <w:rStyle w:val="Style13ptBold"/>
          <w:b w:val="0"/>
          <w:sz w:val="16"/>
          <w:szCs w:val="12"/>
        </w:rPr>
        <w:t xml:space="preserve"> is an Associate Professor in the Department of Politics and International Relations at the University of Southampton. He teaches in the areas of political theory and international relations. He is the editor of the journal Global Constitutionalism</w:t>
      </w:r>
      <w:r>
        <w:rPr>
          <w:rStyle w:val="Style13ptBold"/>
          <w:b w:val="0"/>
          <w:sz w:val="16"/>
          <w:szCs w:val="12"/>
        </w:rPr>
        <w:t>; Raymond Duvall is a Professor of Political Science at the University of Minnesota; pages 44-50) HB</w:t>
      </w:r>
    </w:p>
    <w:p w14:paraId="7BA656CF" w14:textId="77777777" w:rsidR="00F5623D" w:rsidRDefault="00F5623D" w:rsidP="00F5623D">
      <w:pPr>
        <w:rPr>
          <w:sz w:val="8"/>
        </w:rPr>
      </w:pPr>
      <w:proofErr w:type="spellStart"/>
      <w:r w:rsidRPr="008A2B6C">
        <w:rPr>
          <w:sz w:val="8"/>
        </w:rPr>
        <w:t>Astropolitics</w:t>
      </w:r>
      <w:proofErr w:type="spellEnd"/>
      <w:r w:rsidRPr="008A2B6C">
        <w:rPr>
          <w:sz w:val="8"/>
        </w:rPr>
        <w:t xml:space="preserve">: realist and liberal strands Realism and </w:t>
      </w:r>
      <w:proofErr w:type="spellStart"/>
      <w:r w:rsidRPr="008A2B6C">
        <w:rPr>
          <w:sz w:val="8"/>
        </w:rPr>
        <w:t>astropolitik</w:t>
      </w:r>
      <w:proofErr w:type="spellEnd"/>
      <w:r w:rsidRPr="008A2B6C">
        <w:rPr>
          <w:sz w:val="8"/>
        </w:rPr>
        <w:t xml:space="preserve"> Everett Dolman3 draws on the writings of Mackinder and Mahan as inspiration for his development of a theory, which he titles </w:t>
      </w:r>
      <w:proofErr w:type="spellStart"/>
      <w:r w:rsidRPr="008A2B6C">
        <w:rPr>
          <w:sz w:val="8"/>
        </w:rPr>
        <w:t>Astropolitik</w:t>
      </w:r>
      <w:proofErr w:type="spellEnd"/>
      <w:r w:rsidRPr="008A2B6C">
        <w:rPr>
          <w:sz w:val="8"/>
        </w:rPr>
        <w:t xml:space="preserve">. By the term, </w:t>
      </w:r>
      <w:proofErr w:type="spellStart"/>
      <w:r w:rsidRPr="008A2B6C">
        <w:rPr>
          <w:sz w:val="8"/>
        </w:rPr>
        <w:t>astropolitik</w:t>
      </w:r>
      <w:proofErr w:type="spellEnd"/>
      <w:r w:rsidRPr="008A2B6C">
        <w:rPr>
          <w:sz w:val="8"/>
        </w:rPr>
        <w:t xml:space="preserve">, Dolman means “the application of the prominent and refined realist vision of state competition into outer space policy, particularly the development and evolution of a legal and political regime for humanity’s entry into the cosmos” (Dolman 2002a: 1). While Mahan focused on the structure of the ocean to develop his theories, and Mackinder focused on the topography of land, Dolman turns his attention toward the cartography of outer space. </w:t>
      </w:r>
      <w:r w:rsidRPr="00F63456">
        <w:rPr>
          <w:rStyle w:val="StyleUnderline"/>
        </w:rPr>
        <w:t xml:space="preserve">Whereas, at first glance, </w:t>
      </w:r>
      <w:r w:rsidRPr="009D3F23">
        <w:rPr>
          <w:rStyle w:val="StyleUnderline"/>
          <w:highlight w:val="green"/>
        </w:rPr>
        <w:t>space</w:t>
      </w:r>
      <w:r w:rsidRPr="00F63456">
        <w:rPr>
          <w:rStyle w:val="StyleUnderline"/>
        </w:rPr>
        <w:t xml:space="preserve"> may </w:t>
      </w:r>
      <w:r w:rsidRPr="009D3F23">
        <w:rPr>
          <w:rStyle w:val="StyleUnderline"/>
          <w:highlight w:val="green"/>
        </w:rPr>
        <w:t>appear to be</w:t>
      </w:r>
      <w:r w:rsidRPr="00F63456">
        <w:rPr>
          <w:rStyle w:val="StyleUnderline"/>
        </w:rPr>
        <w:t xml:space="preserve"> a “featureless void</w:t>
      </w:r>
      <w:r w:rsidRPr="008A2B6C">
        <w:rPr>
          <w:sz w:val="8"/>
        </w:rPr>
        <w:t xml:space="preserve">,” Dolman argues that </w:t>
      </w:r>
      <w:r w:rsidRPr="00F63456">
        <w:rPr>
          <w:rStyle w:val="StyleUnderline"/>
        </w:rPr>
        <w:t>it “is in fact a rich vista of gravitational mountains and valleys, oceans and rivers of resources and energy alternately dispersed and concentrated, broadly strewn danger zones of deadly radiation, and precisely placed peculiarities of astrodynamics</w:t>
      </w:r>
      <w:r w:rsidRPr="008A2B6C">
        <w:rPr>
          <w:sz w:val="8"/>
        </w:rPr>
        <w:t xml:space="preserve">” (Dolman 2002a: 61). In a manner similar to Mahan’s focus on natural sea lanes and “choke points” and Mackinder’s emphasis of geographic regions, Dolman emphasizes </w:t>
      </w:r>
      <w:r w:rsidRPr="009D3F23">
        <w:rPr>
          <w:rStyle w:val="StyleUnderline"/>
          <w:highlight w:val="green"/>
        </w:rPr>
        <w:t>orbits</w:t>
      </w:r>
      <w:r w:rsidRPr="00F63456">
        <w:rPr>
          <w:rStyle w:val="StyleUnderline"/>
        </w:rPr>
        <w:t xml:space="preserve">, regions of space, </w:t>
      </w:r>
      <w:r w:rsidRPr="009D3F23">
        <w:rPr>
          <w:rStyle w:val="StyleUnderline"/>
          <w:highlight w:val="green"/>
        </w:rPr>
        <w:t>and launch points as geopolitically vital assets</w:t>
      </w:r>
      <w:r w:rsidRPr="00F63456">
        <w:rPr>
          <w:rStyle w:val="StyleUnderline"/>
        </w:rPr>
        <w:t xml:space="preserve"> over which states </w:t>
      </w:r>
      <w:r w:rsidRPr="009D3F23">
        <w:rPr>
          <w:rStyle w:val="StyleUnderline"/>
          <w:highlight w:val="green"/>
        </w:rPr>
        <w:t>can be expected</w:t>
      </w:r>
      <w:r w:rsidRPr="00F63456">
        <w:rPr>
          <w:rStyle w:val="StyleUnderline"/>
        </w:rPr>
        <w:t xml:space="preserve"> competitively and strategically </w:t>
      </w:r>
      <w:r w:rsidRPr="009D3F23">
        <w:rPr>
          <w:rStyle w:val="StyleUnderline"/>
          <w:highlight w:val="green"/>
        </w:rPr>
        <w:t>to struggle for control</w:t>
      </w:r>
      <w:r w:rsidRPr="00F63456">
        <w:rPr>
          <w:rStyle w:val="StyleUnderline"/>
        </w:rPr>
        <w:t>.</w:t>
      </w:r>
      <w:r w:rsidRPr="008A2B6C">
        <w:rPr>
          <w:sz w:val="8"/>
        </w:rPr>
        <w:t xml:space="preserve"> Orbital paths are important because stable orbits require virtually no fuel expenditure for satellites, whereas unstable orbits make it impossible for satellites to remain in space for a long time. Furthermore, different types of orbits pass over different parts of the earth at different frequencies. As such, the mission of a spacecraft determines in large part which orbit is most useful for it. There are essentially four types of orbits: low-altitude (between 150 km and 800 km above the Earth’s surface); medium-altitude (ranging from 800 km–35,000 km); high-altitude (above 35,000 km); and highly elliptical (with a perigee of 250 km and an apogee of 700,000 km) (Dolman 2002a: 65–7). In addition to pointing to the division of space into orbital planes, Dolman also identifies four key regions of space: 1 Terra, which includes the Earth and its atmosphere up until “just below the lowest altitude capable of supporting unpowered orbit” (Dolman 2002: 69); 2 Earth Space, which covers the region from the lowest possible orbit through to geo-stationary orbit; 3 Lunar Space, which extends from geo-stationary orbit to the Moon’s orbit; and 4 Solar Space, which “consists of everything in the solar system . . . beyond the orbit of the moon” (Dolman 2002a: 70). For Dolman, </w:t>
      </w:r>
      <w:r w:rsidRPr="00F63456">
        <w:rPr>
          <w:rStyle w:val="StyleUnderline"/>
        </w:rPr>
        <w:t xml:space="preserve">Earth </w:t>
      </w:r>
      <w:r w:rsidRPr="009D3F23">
        <w:rPr>
          <w:rStyle w:val="StyleUnderline"/>
          <w:highlight w:val="green"/>
        </w:rPr>
        <w:t>Space is the</w:t>
      </w:r>
      <w:r w:rsidRPr="00F63456">
        <w:rPr>
          <w:rStyle w:val="StyleUnderline"/>
        </w:rPr>
        <w:t xml:space="preserve"> astropolitical </w:t>
      </w:r>
      <w:r w:rsidRPr="009D3F23">
        <w:rPr>
          <w:rStyle w:val="StyleUnderline"/>
          <w:highlight w:val="green"/>
        </w:rPr>
        <w:t>equivalent</w:t>
      </w:r>
      <w:r w:rsidRPr="00F63456">
        <w:rPr>
          <w:rStyle w:val="StyleUnderline"/>
        </w:rPr>
        <w:t xml:space="preserve"> of Mackinder’s Outer Crescent, </w:t>
      </w:r>
      <w:r w:rsidRPr="009D3F23">
        <w:rPr>
          <w:rStyle w:val="StyleUnderline"/>
          <w:highlight w:val="green"/>
        </w:rPr>
        <w:t>because controlling it will permit a state to limit</w:t>
      </w:r>
      <w:r w:rsidRPr="00F63456">
        <w:rPr>
          <w:rStyle w:val="StyleUnderline"/>
        </w:rPr>
        <w:t xml:space="preserve"> strategic </w:t>
      </w:r>
      <w:r w:rsidRPr="009D3F23">
        <w:rPr>
          <w:rStyle w:val="StyleUnderline"/>
          <w:highlight w:val="green"/>
        </w:rPr>
        <w:t>opportunities of</w:t>
      </w:r>
      <w:r w:rsidRPr="00F63456">
        <w:rPr>
          <w:rStyle w:val="StyleUnderline"/>
        </w:rPr>
        <w:t xml:space="preserve"> potential </w:t>
      </w:r>
      <w:r w:rsidRPr="009D3F23">
        <w:rPr>
          <w:rStyle w:val="StyleUnderline"/>
          <w:highlight w:val="green"/>
        </w:rPr>
        <w:t>rivals and</w:t>
      </w:r>
      <w:r w:rsidRPr="00F63456">
        <w:rPr>
          <w:rStyle w:val="StyleUnderline"/>
        </w:rPr>
        <w:t xml:space="preserve"> at the same time </w:t>
      </w:r>
      <w:r w:rsidRPr="009D3F23">
        <w:rPr>
          <w:rStyle w:val="StyleUnderline"/>
          <w:highlight w:val="green"/>
        </w:rPr>
        <w:t>allow the projection of force</w:t>
      </w:r>
      <w:r w:rsidRPr="00F63456">
        <w:rPr>
          <w:rStyle w:val="StyleUnderline"/>
        </w:rPr>
        <w:t xml:space="preserve"> for indirect control</w:t>
      </w:r>
      <w:r w:rsidRPr="008A2B6C">
        <w:rPr>
          <w:sz w:val="8"/>
        </w:rPr>
        <w:t xml:space="preserve"> (i.e. without occupation) </w:t>
      </w:r>
      <w:r w:rsidRPr="00F63456">
        <w:rPr>
          <w:rStyle w:val="StyleUnderline"/>
        </w:rPr>
        <w:t>of extensive territory of vital strategic importance, in this case</w:t>
      </w:r>
      <w:r w:rsidRPr="008A2B6C">
        <w:rPr>
          <w:sz w:val="8"/>
        </w:rPr>
        <w:t xml:space="preserve"> (unlike Mackinder’s) </w:t>
      </w:r>
      <w:r w:rsidRPr="007C29E8">
        <w:rPr>
          <w:rStyle w:val="StyleUnderline"/>
        </w:rPr>
        <w:t>potentially</w:t>
      </w:r>
      <w:r w:rsidRPr="00F63456">
        <w:rPr>
          <w:rStyle w:val="StyleUnderline"/>
        </w:rPr>
        <w:t xml:space="preserve"> the entire Earth. “Control of Earth Space not only guarantees long-term control of the outer reaches of space, </w:t>
      </w:r>
      <w:proofErr w:type="gramStart"/>
      <w:r w:rsidRPr="00F63456">
        <w:rPr>
          <w:rStyle w:val="StyleUnderline"/>
        </w:rPr>
        <w:t>it</w:t>
      </w:r>
      <w:proofErr w:type="gramEnd"/>
      <w:r w:rsidRPr="00F63456">
        <w:rPr>
          <w:rStyle w:val="StyleUnderline"/>
        </w:rPr>
        <w:t xml:space="preserve"> provides a near-term advantage on the terrestrial battlefield”</w:t>
      </w:r>
      <w:r w:rsidRPr="008A2B6C">
        <w:rPr>
          <w:sz w:val="8"/>
        </w:rPr>
        <w:t xml:space="preserve"> (Dolman 1999: 93). On the basis of these principles, Dolman develops an “</w:t>
      </w:r>
      <w:proofErr w:type="spellStart"/>
      <w:r w:rsidRPr="008A2B6C">
        <w:rPr>
          <w:sz w:val="8"/>
        </w:rPr>
        <w:t>Astropolitik</w:t>
      </w:r>
      <w:proofErr w:type="spellEnd"/>
      <w:r w:rsidRPr="008A2B6C">
        <w:rPr>
          <w:sz w:val="8"/>
        </w:rPr>
        <w:t xml:space="preserve"> policy for the United States” (Dolman 1999: 156), which calls on the U.S. government to control Earth Space. In the current historical–political juncture, no state controls this region. However, rather than leave it as a neutral zone or global commons, Dolman calls for the U.S. to seize control of this geo-strategically vital asset. According to Dolman’s reasoning, the neutrality of Earth Space is as much a threat to U.S. security as the neutrality of Melos was to Athenian hegemony. To leave space a neutral sanctuary could be interpreted as a sign of weakness that potential rivals might exploit. As such, it is better for the U.S. to occupy Earth Space now. Dolman’s </w:t>
      </w:r>
      <w:proofErr w:type="spellStart"/>
      <w:r w:rsidRPr="008A2B6C">
        <w:rPr>
          <w:sz w:val="8"/>
        </w:rPr>
        <w:t>astropolitik</w:t>
      </w:r>
      <w:proofErr w:type="spellEnd"/>
      <w:r w:rsidRPr="008A2B6C">
        <w:rPr>
          <w:sz w:val="8"/>
        </w:rPr>
        <w:t xml:space="preserve"> policy has three steps. The first involves the U.S. withdrawing from the current space regime on the grounds that its prohibitions on commercial and military exploitation of outer space prevent the full exploitation of space resources. In place of the global commons approach that informs that regime, Dolman calls for the establishment of “a principle of free-market sovereignty in space” (Dolman 2002a: 157), whereby states could establish territorial claims over areas they wish to exploit for commercial purposes. This space rush should be coupled with “propaganda touting the prospects of a new golden age of space exploration” (Dolman 2002a: 157). Step two calls for the U.S. to seize control of low-Earth orbit, where “space-based laser or kinetic energy weapons could prevent any other state from deploying assets </w:t>
      </w:r>
      <w:proofErr w:type="gramStart"/>
      <w:r w:rsidRPr="008A2B6C">
        <w:rPr>
          <w:sz w:val="8"/>
        </w:rPr>
        <w:t>there, and</w:t>
      </w:r>
      <w:proofErr w:type="gramEnd"/>
      <w:r w:rsidRPr="008A2B6C">
        <w:rPr>
          <w:sz w:val="8"/>
        </w:rPr>
        <w:t xml:space="preserve"> could most effectively engage and destroy terrestrial enemy ASAT facilities” (Dolman 2002a: 157). Other states would be permitted “to enter space freely for the purpose of engaging in commerce” (Dolman 2002a: 157). The final step would be the establishment of “a national space coordination agency ... to define, separate and coordinate the efforts of commercial, civilian and military space projects” (Dolman 2002a: 157). Within Dolman’s theory of </w:t>
      </w:r>
      <w:proofErr w:type="spellStart"/>
      <w:r w:rsidRPr="008A2B6C">
        <w:rPr>
          <w:sz w:val="8"/>
        </w:rPr>
        <w:t>astropolitik</w:t>
      </w:r>
      <w:proofErr w:type="spellEnd"/>
      <w:r w:rsidRPr="008A2B6C">
        <w:rPr>
          <w:sz w:val="8"/>
        </w:rPr>
        <w:t xml:space="preserve"> is a will-to-space-based-hegemony </w:t>
      </w:r>
      <w:proofErr w:type="spellStart"/>
      <w:r w:rsidRPr="008A2B6C">
        <w:rPr>
          <w:sz w:val="8"/>
        </w:rPr>
        <w:t>fuelled</w:t>
      </w:r>
      <w:proofErr w:type="spellEnd"/>
      <w:r w:rsidRPr="008A2B6C">
        <w:rPr>
          <w:sz w:val="8"/>
        </w:rPr>
        <w:t xml:space="preserve"> by a series of assumptions, of which we would point to three as especially important. First, it rests on a strong preference for competition over collaboration in both the economic and military spheres. Dolman, like a good realist, is suspicious of the possibilities for sustained political and economic </w:t>
      </w:r>
      <w:proofErr w:type="gramStart"/>
      <w:r w:rsidRPr="008A2B6C">
        <w:rPr>
          <w:sz w:val="8"/>
        </w:rPr>
        <w:t>cooperation, and</w:t>
      </w:r>
      <w:proofErr w:type="gramEnd"/>
      <w:r w:rsidRPr="008A2B6C">
        <w:rPr>
          <w:sz w:val="8"/>
        </w:rPr>
        <w:t xml:space="preserve"> assumes instead that competition for power is the law of international political–economic life. He believes, though, that through a fully implemented astropolitical policy “states will employ competition productively, harnessing natural incentives for self-interested gain to a mutually beneficial future, a competition based on the fair and legal commercial exploitation of space” (Dolman 2002a: 4). Thus, underpinning his preference for competition is both a liberal assumption that competitive markets are efficient at producing mutual gain through innovative technologies, and the realist assumption that inter-state competition for power is inescapable in world politics. As we will note more fully below, this conjunction of liberal and realist assumptions is a hallmark of the logic of empire as distinct from the logic of a system of sovereign states. The second and most explicit of Dolman’s key assumptions is the belief that the U.S. should pursue control of orbital space because its hegemony would be largely benign. The presumed benevolence of the U.S. rests, for Dolman, on its responsiveness to its people. If any one state should dominate space it ought to be one with a constitutive political principle that government should be responsible and responsive to its people, tolerant and accepting of their views, and willing to extend legal and political equality to all. In other words, the United States should seize control of outer space and become the shepherd (or perhaps watchdog) for all who would venture there, for if any one state must do so, it is the most likely to establish a benign hegemony. (Dolman 2002a: 157) However, even if the U.S. government is popularly responsive in its foreign policy – a debatable proposition – the implication of Dolman’s </w:t>
      </w:r>
      <w:proofErr w:type="spellStart"/>
      <w:r w:rsidRPr="008A2B6C">
        <w:rPr>
          <w:sz w:val="8"/>
        </w:rPr>
        <w:t>astropolitik</w:t>
      </w:r>
      <w:proofErr w:type="spellEnd"/>
      <w:r w:rsidRPr="008A2B6C">
        <w:rPr>
          <w:sz w:val="8"/>
        </w:rPr>
        <w:t xml:space="preserve"> is that the U.S. would exercise benign control over orbital space, and, from that position, potentially all territory on Earth and hence all people, by being responsible to its 300 million citizens. As such, </w:t>
      </w:r>
      <w:r w:rsidRPr="009D3F23">
        <w:rPr>
          <w:rStyle w:val="StyleUnderline"/>
          <w:highlight w:val="green"/>
        </w:rPr>
        <w:t xml:space="preserve">this </w:t>
      </w:r>
      <w:r w:rsidRPr="009D3F23">
        <w:rPr>
          <w:rStyle w:val="StyleUnderline"/>
        </w:rPr>
        <w:t xml:space="preserve">benign </w:t>
      </w:r>
      <w:r w:rsidRPr="009D3F23">
        <w:rPr>
          <w:rStyle w:val="StyleUnderline"/>
          <w:highlight w:val="green"/>
        </w:rPr>
        <w:t>hegemony would</w:t>
      </w:r>
      <w:r w:rsidRPr="007C29E8">
        <w:rPr>
          <w:rStyle w:val="StyleUnderline"/>
        </w:rPr>
        <w:t xml:space="preserve"> in effect </w:t>
      </w:r>
      <w:r w:rsidRPr="009D3F23">
        <w:rPr>
          <w:rStyle w:val="StyleUnderline"/>
          <w:highlight w:val="green"/>
        </w:rPr>
        <w:t>be an apartheid regime where</w:t>
      </w:r>
      <w:r w:rsidRPr="007C29E8">
        <w:rPr>
          <w:rStyle w:val="StyleUnderline"/>
        </w:rPr>
        <w:t xml:space="preserve"> 95 percent of </w:t>
      </w:r>
      <w:r w:rsidRPr="009D3F23">
        <w:rPr>
          <w:rStyle w:val="StyleUnderline"/>
          <w:highlight w:val="green"/>
        </w:rPr>
        <w:t>the world would be excluded from participating in</w:t>
      </w:r>
      <w:r w:rsidRPr="007C29E8">
        <w:rPr>
          <w:rStyle w:val="StyleUnderline"/>
        </w:rPr>
        <w:t xml:space="preserve"> the </w:t>
      </w:r>
      <w:r w:rsidRPr="009D3F23">
        <w:rPr>
          <w:rStyle w:val="StyleUnderline"/>
          <w:highlight w:val="green"/>
        </w:rPr>
        <w:t>decision-making</w:t>
      </w:r>
      <w:r w:rsidRPr="007C29E8">
        <w:rPr>
          <w:rStyle w:val="StyleUnderline"/>
        </w:rPr>
        <w:t xml:space="preserve"> of the hegemonic power that controls conditions of their existence. This, too, is a hallmark of empire, not of a competitive system of sovereign states</w:t>
      </w:r>
      <w:r w:rsidRPr="008A2B6C">
        <w:rPr>
          <w:sz w:val="8"/>
        </w:rPr>
        <w:t xml:space="preserve">. Third, Dolman’s </w:t>
      </w:r>
      <w:proofErr w:type="spellStart"/>
      <w:r w:rsidRPr="008A2B6C">
        <w:rPr>
          <w:sz w:val="8"/>
        </w:rPr>
        <w:t>astropolitik</w:t>
      </w:r>
      <w:proofErr w:type="spellEnd"/>
      <w:r w:rsidRPr="008A2B6C">
        <w:rPr>
          <w:sz w:val="8"/>
        </w:rPr>
        <w:t xml:space="preserve"> treats space as a resource to be mastered and exploited by humans, a Terra </w:t>
      </w:r>
      <w:proofErr w:type="spellStart"/>
      <w:r w:rsidRPr="008A2B6C">
        <w:rPr>
          <w:sz w:val="8"/>
        </w:rPr>
        <w:t>Nulius</w:t>
      </w:r>
      <w:proofErr w:type="spellEnd"/>
      <w:r w:rsidRPr="008A2B6C">
        <w:rPr>
          <w:sz w:val="8"/>
        </w:rPr>
        <w:t xml:space="preserve">, or empty territory, to be colonized and reinterpreted for the interests of the colonizer. </w:t>
      </w:r>
      <w:r w:rsidRPr="007C29E8">
        <w:rPr>
          <w:rStyle w:val="StyleUnderline"/>
        </w:rPr>
        <w:t xml:space="preserve">This way of looking at space is </w:t>
      </w:r>
      <w:r w:rsidRPr="005305A1">
        <w:rPr>
          <w:rStyle w:val="StyleUnderline"/>
          <w:highlight w:val="green"/>
        </w:rPr>
        <w:t>similar to the totalizing gaze of earlier geopolitical</w:t>
      </w:r>
      <w:r w:rsidRPr="007C29E8">
        <w:rPr>
          <w:rStyle w:val="StyleUnderline"/>
        </w:rPr>
        <w:t xml:space="preserve"> theorists </w:t>
      </w:r>
      <w:r w:rsidRPr="005305A1">
        <w:rPr>
          <w:rStyle w:val="StyleUnderline"/>
          <w:highlight w:val="green"/>
        </w:rPr>
        <w:t>who viewed the</w:t>
      </w:r>
      <w:r w:rsidRPr="007C29E8">
        <w:rPr>
          <w:rStyle w:val="StyleUnderline"/>
        </w:rPr>
        <w:t xml:space="preserve"> whole </w:t>
      </w:r>
      <w:r w:rsidRPr="005305A1">
        <w:rPr>
          <w:rStyle w:val="StyleUnderline"/>
          <w:highlight w:val="green"/>
        </w:rPr>
        <w:t>world as an object to be dominated and controlled</w:t>
      </w:r>
      <w:r w:rsidRPr="007C29E8">
        <w:rPr>
          <w:rStyle w:val="StyleUnderline"/>
        </w:rPr>
        <w:t xml:space="preserve"> by European powers, who understood themselves to be beneficently, or, at worst, benignly, civilizing in their control of territories and populations</w:t>
      </w:r>
      <w:r w:rsidRPr="008A2B6C">
        <w:rPr>
          <w:sz w:val="8"/>
        </w:rPr>
        <w:t xml:space="preserve"> (Ó </w:t>
      </w:r>
      <w:proofErr w:type="spellStart"/>
      <w:r w:rsidRPr="008A2B6C">
        <w:rPr>
          <w:sz w:val="8"/>
        </w:rPr>
        <w:t>Tuathail</w:t>
      </w:r>
      <w:proofErr w:type="spellEnd"/>
      <w:r w:rsidRPr="008A2B6C">
        <w:rPr>
          <w:sz w:val="8"/>
        </w:rPr>
        <w:t xml:space="preserve"> 1996: 24–35). This assumption, like the first two, thus also implicates a hallmark of the logic of empire, namely what Ó </w:t>
      </w:r>
      <w:proofErr w:type="spellStart"/>
      <w:r w:rsidRPr="008A2B6C">
        <w:rPr>
          <w:sz w:val="8"/>
        </w:rPr>
        <w:t>Tuathail</w:t>
      </w:r>
      <w:proofErr w:type="spellEnd"/>
      <w:r w:rsidRPr="008A2B6C">
        <w:rPr>
          <w:sz w:val="8"/>
        </w:rPr>
        <w:t xml:space="preserve"> (1996) calls the ‘geopolitical gaze’ (about which we have more to say below), which works comfortably in tandem with a self-understanding of benign hegemony. When these three assumptions are examined in conjunction, Dolman’s </w:t>
      </w:r>
      <w:proofErr w:type="spellStart"/>
      <w:r w:rsidRPr="008A2B6C">
        <w:rPr>
          <w:sz w:val="8"/>
        </w:rPr>
        <w:t>astropolitik</w:t>
      </w:r>
      <w:proofErr w:type="spellEnd"/>
      <w:r w:rsidRPr="008A2B6C">
        <w:rPr>
          <w:sz w:val="8"/>
        </w:rPr>
        <w:t xml:space="preserve"> reveals itself to </w:t>
      </w:r>
      <w:r w:rsidRPr="007C29E8">
        <w:rPr>
          <w:rStyle w:val="StyleUnderline"/>
        </w:rPr>
        <w:t>be a blueprint for a</w:t>
      </w:r>
      <w:r w:rsidRPr="008A2B6C">
        <w:rPr>
          <w:sz w:val="8"/>
        </w:rPr>
        <w:t xml:space="preserve"> U.S. </w:t>
      </w:r>
      <w:r w:rsidRPr="007C29E8">
        <w:rPr>
          <w:rStyle w:val="StyleUnderline"/>
        </w:rPr>
        <w:t>empire that uses the capacities of space-based weapons to exercise hegemony over the Earth and to grant access to the economic resources of space only to</w:t>
      </w:r>
      <w:r w:rsidRPr="008A2B6C">
        <w:rPr>
          <w:sz w:val="8"/>
        </w:rPr>
        <w:t xml:space="preserve"> U.S. (</w:t>
      </w:r>
      <w:r w:rsidRPr="007C29E8">
        <w:rPr>
          <w:rStyle w:val="StyleUnderline"/>
        </w:rPr>
        <w:t>capitalist) interests and their allies</w:t>
      </w:r>
      <w:r w:rsidRPr="008A2B6C">
        <w:rPr>
          <w:sz w:val="8"/>
        </w:rPr>
        <w:t xml:space="preserve">. This version of </w:t>
      </w:r>
      <w:proofErr w:type="spellStart"/>
      <w:r w:rsidRPr="008A2B6C">
        <w:rPr>
          <w:sz w:val="8"/>
        </w:rPr>
        <w:t>astropolitics</w:t>
      </w:r>
      <w:proofErr w:type="spellEnd"/>
      <w:r w:rsidRPr="008A2B6C">
        <w:rPr>
          <w:sz w:val="8"/>
        </w:rPr>
        <w:t xml:space="preserve">, which is precisely the strategic vision underlying the policy pronouncements of the National Security Space Management and Organization Commission (Commission 2001) – and subsequently President George W. Bush – with which we began this chapter, is a kind of spatial, or geopolitical, power within the context of U.S. imperial relations of planetary scope. Its ostensive realist foundations are muted, except as a rather extreme form of offensive realism, because the vision is not one of great power competition and strategic balancing, but rather one of imperial control through hegemony. As such, </w:t>
      </w:r>
      <w:r w:rsidRPr="007C29E8">
        <w:rPr>
          <w:rStyle w:val="StyleUnderline"/>
        </w:rPr>
        <w:t>it brings into question the constitution of sovereignty, since empire and sovereignty are fundamentally opposed constitutive principles of the structure of the international system – the subjects of empire are not sovereign.</w:t>
      </w:r>
      <w:r w:rsidRPr="008A2B6C">
        <w:rPr>
          <w:sz w:val="8"/>
        </w:rPr>
        <w:t xml:space="preserve"> Thus, if </w:t>
      </w:r>
      <w:proofErr w:type="spellStart"/>
      <w:r w:rsidRPr="008A2B6C">
        <w:rPr>
          <w:sz w:val="8"/>
        </w:rPr>
        <w:t>astropolitics</w:t>
      </w:r>
      <w:proofErr w:type="spellEnd"/>
      <w:r w:rsidRPr="008A2B6C">
        <w:rPr>
          <w:sz w:val="8"/>
        </w:rPr>
        <w:t xml:space="preserve"> is to be in the form of Dolman’s </w:t>
      </w:r>
      <w:proofErr w:type="spellStart"/>
      <w:r w:rsidRPr="008A2B6C">
        <w:rPr>
          <w:sz w:val="8"/>
        </w:rPr>
        <w:t>astropolitik</w:t>
      </w:r>
      <w:proofErr w:type="spellEnd"/>
      <w:r w:rsidRPr="008A2B6C">
        <w:rPr>
          <w:sz w:val="8"/>
        </w:rPr>
        <w:t xml:space="preserve"> (and current U.S. policy aspirations), the future of sovereignty is in question, despite his efforts to position the theory as an expression of the realist assumption of great power competition. In later sections of this chapter, we attempt to show what this bringing sovereignty into question is likely to mean, conceptually and in practice. Before turning to that principal concern, however, we consider an alternative geopolitical theory of </w:t>
      </w:r>
      <w:proofErr w:type="spellStart"/>
      <w:r w:rsidRPr="008A2B6C">
        <w:rPr>
          <w:sz w:val="8"/>
        </w:rPr>
        <w:t>astropolitics</w:t>
      </w:r>
      <w:proofErr w:type="spellEnd"/>
      <w:r w:rsidRPr="008A2B6C">
        <w:rPr>
          <w:sz w:val="8"/>
        </w:rPr>
        <w:t xml:space="preserve">. Liberal-republican </w:t>
      </w:r>
      <w:proofErr w:type="spellStart"/>
      <w:r w:rsidRPr="008A2B6C">
        <w:rPr>
          <w:sz w:val="8"/>
        </w:rPr>
        <w:t>astropolitics</w:t>
      </w:r>
      <w:proofErr w:type="spellEnd"/>
      <w:r w:rsidRPr="008A2B6C">
        <w:rPr>
          <w:sz w:val="8"/>
        </w:rPr>
        <w:t xml:space="preserve"> Over the past twenty-five years, in a series of articles and recently a major book, Daniel </w:t>
      </w:r>
      <w:proofErr w:type="spellStart"/>
      <w:r w:rsidRPr="008A2B6C">
        <w:rPr>
          <w:sz w:val="8"/>
        </w:rPr>
        <w:t>Deudney</w:t>
      </w:r>
      <w:proofErr w:type="spellEnd"/>
      <w:r w:rsidRPr="008A2B6C">
        <w:rPr>
          <w:sz w:val="8"/>
        </w:rPr>
        <w:t xml:space="preserve"> has attempted to rework the tenets of geopolitics and apply them to the contemporary challenges raised by new weapons technologies – particularly nuclear and space weapons (</w:t>
      </w:r>
      <w:proofErr w:type="spellStart"/>
      <w:r w:rsidRPr="008A2B6C">
        <w:rPr>
          <w:sz w:val="8"/>
        </w:rPr>
        <w:t>Deudney</w:t>
      </w:r>
      <w:proofErr w:type="spellEnd"/>
      <w:r w:rsidRPr="008A2B6C">
        <w:rPr>
          <w:sz w:val="8"/>
        </w:rPr>
        <w:t xml:space="preserve"> 1983, 1985, 1995, 2000, 2002, 2007).4 While </w:t>
      </w:r>
      <w:proofErr w:type="spellStart"/>
      <w:r w:rsidRPr="008A2B6C">
        <w:rPr>
          <w:sz w:val="8"/>
        </w:rPr>
        <w:t>Deudney</w:t>
      </w:r>
      <w:proofErr w:type="spellEnd"/>
      <w:r w:rsidRPr="008A2B6C">
        <w:rPr>
          <w:sz w:val="8"/>
        </w:rPr>
        <w:t xml:space="preserve"> finds geopolitical theory of the late nineteenth century and early twentieth century theoretically unsophisticated and reductionist, he believes that geopolitical attention to material conditions, spatiality, change, and political processes could form the basis of a theoretically sophisticated contextual–materialist security theory of world politics. </w:t>
      </w:r>
      <w:proofErr w:type="spellStart"/>
      <w:r w:rsidRPr="008A2B6C">
        <w:rPr>
          <w:sz w:val="8"/>
        </w:rPr>
        <w:t>Deudney</w:t>
      </w:r>
      <w:proofErr w:type="spellEnd"/>
      <w:r w:rsidRPr="008A2B6C">
        <w:rPr>
          <w:sz w:val="8"/>
        </w:rPr>
        <w:t xml:space="preserve"> starts from a premise about space weaponization similar to the core of Dolman’s </w:t>
      </w:r>
      <w:proofErr w:type="spellStart"/>
      <w:r w:rsidRPr="008A2B6C">
        <w:rPr>
          <w:sz w:val="8"/>
        </w:rPr>
        <w:t>astropolitik</w:t>
      </w:r>
      <w:proofErr w:type="spellEnd"/>
      <w:r w:rsidRPr="008A2B6C">
        <w:rPr>
          <w:sz w:val="8"/>
        </w:rPr>
        <w:t xml:space="preserve">, namely that if any state were able to achieve military control of space, it would hold potential mastery over the entire Earth. </w:t>
      </w:r>
      <w:r w:rsidRPr="000533F6">
        <w:rPr>
          <w:rStyle w:val="StyleUnderline"/>
        </w:rPr>
        <w:t xml:space="preserve">One preliminary conclusion, however, seems sound: </w:t>
      </w:r>
      <w:r w:rsidRPr="009D3F23">
        <w:rPr>
          <w:rStyle w:val="StyleUnderline"/>
          <w:highlight w:val="green"/>
        </w:rPr>
        <w:t>effective control of space</w:t>
      </w:r>
      <w:r w:rsidRPr="000533F6">
        <w:rPr>
          <w:rStyle w:val="StyleUnderline"/>
        </w:rPr>
        <w:t xml:space="preserve"> by one state </w:t>
      </w:r>
      <w:r w:rsidRPr="009D3F23">
        <w:rPr>
          <w:rStyle w:val="StyleUnderline"/>
          <w:highlight w:val="green"/>
        </w:rPr>
        <w:t>would lead to planet-wide hegemony</w:t>
      </w:r>
      <w:r w:rsidRPr="000533F6">
        <w:rPr>
          <w:rStyle w:val="StyleUnderline"/>
        </w:rPr>
        <w:t>. Because space is at once so proximate and the planet’s high ground, one country able to control space and prevent the passage of other countries’ vehicles through it could effectively rule the planet</w:t>
      </w:r>
      <w:r w:rsidRPr="008A2B6C">
        <w:rPr>
          <w:sz w:val="8"/>
        </w:rPr>
        <w:t>. Even more than a monopoly of air or sea power, a monopoly of effective space power would be irresistible. (</w:t>
      </w:r>
      <w:proofErr w:type="spellStart"/>
      <w:r w:rsidRPr="008A2B6C">
        <w:rPr>
          <w:sz w:val="8"/>
        </w:rPr>
        <w:t>Deudney</w:t>
      </w:r>
      <w:proofErr w:type="spellEnd"/>
      <w:r w:rsidRPr="008A2B6C">
        <w:rPr>
          <w:sz w:val="8"/>
        </w:rPr>
        <w:t xml:space="preserve"> 1983: 17) Rather than developing the implications of this as a strategic opportunity for any one state (e.g. the U.S.), however, </w:t>
      </w:r>
      <w:proofErr w:type="spellStart"/>
      <w:r w:rsidRPr="008A2B6C">
        <w:rPr>
          <w:sz w:val="8"/>
        </w:rPr>
        <w:t>Deudney</w:t>
      </w:r>
      <w:proofErr w:type="spellEnd"/>
      <w:r w:rsidRPr="008A2B6C">
        <w:rPr>
          <w:sz w:val="8"/>
        </w:rPr>
        <w:t xml:space="preserve"> sees it as a collective problem to be kept in check through collaboration; his project is to avoid space-based hegemony through cooperation among states. In a series of articles on global security written in the 1980s – while Cold War tensions between the U.S. and the U.S.S.R. continued to frame much theoretical discussion in international relations – </w:t>
      </w:r>
      <w:proofErr w:type="spellStart"/>
      <w:r w:rsidRPr="008A2B6C">
        <w:rPr>
          <w:sz w:val="8"/>
        </w:rPr>
        <w:t>Deudney</w:t>
      </w:r>
      <w:proofErr w:type="spellEnd"/>
      <w:r w:rsidRPr="008A2B6C">
        <w:rPr>
          <w:sz w:val="8"/>
        </w:rPr>
        <w:t xml:space="preserve"> saw the space age as a double-edged sword in superpower relations. On the one side, space weaponization posed a risk that the superpowers would extend their conflict extra-terrestrially and devise new, deadlier technologies that would enhance the risk of exterminating all of humanity; on the other, according to </w:t>
      </w:r>
      <w:proofErr w:type="spellStart"/>
      <w:r w:rsidRPr="008A2B6C">
        <w:rPr>
          <w:sz w:val="8"/>
        </w:rPr>
        <w:t>Deudney</w:t>
      </w:r>
      <w:proofErr w:type="spellEnd"/>
      <w:r w:rsidRPr="008A2B6C">
        <w:rPr>
          <w:sz w:val="8"/>
        </w:rPr>
        <w:t>, the space age had found productive opportunities for the superpowers to deal with their rivalries in stabilizing collaboration. He notes that the Sputnik mission, while in the popular understanding only an escalation of the Cold War, initially was the result of an internationally organized research program – the International Geophysical Year (</w:t>
      </w:r>
      <w:proofErr w:type="spellStart"/>
      <w:r w:rsidRPr="008A2B6C">
        <w:rPr>
          <w:sz w:val="8"/>
        </w:rPr>
        <w:t>Deudney</w:t>
      </w:r>
      <w:proofErr w:type="spellEnd"/>
      <w:r w:rsidRPr="008A2B6C">
        <w:rPr>
          <w:sz w:val="8"/>
        </w:rPr>
        <w:t xml:space="preserve"> 1985; though see Dolman 2002a: 106–107 for an alternate interpretation of these events as Cold War competition). Another example was President Eisenhower’s proposed “Atoms for Peace” project, which involved the great powers sharing nuclear technology with developing nations for energy purposes. Most famous was the collaboration between the Soviet Union and the U.S. during the 1970s on the rendezvous between an Apollo capsule and the Soyuz space station. Similar multinational collaborations continue to this day, with the most notable example being the International Space Station. In addition to promoting collaboration, according to </w:t>
      </w:r>
      <w:proofErr w:type="spellStart"/>
      <w:r w:rsidRPr="008A2B6C">
        <w:rPr>
          <w:sz w:val="8"/>
        </w:rPr>
        <w:t>Deudney</w:t>
      </w:r>
      <w:proofErr w:type="spellEnd"/>
      <w:r w:rsidRPr="008A2B6C">
        <w:rPr>
          <w:sz w:val="8"/>
        </w:rPr>
        <w:t xml:space="preserve">, the space age has also enhanced the ability of space powers to monitor each other – through spy satellites – thereby increasing the likelihood that they abide by arms control treaties. </w:t>
      </w:r>
      <w:proofErr w:type="spellStart"/>
      <w:r w:rsidRPr="008A2B6C">
        <w:rPr>
          <w:sz w:val="8"/>
        </w:rPr>
        <w:t>Deudney</w:t>
      </w:r>
      <w:proofErr w:type="spellEnd"/>
      <w:r w:rsidRPr="008A2B6C">
        <w:rPr>
          <w:sz w:val="8"/>
        </w:rPr>
        <w:t xml:space="preserve"> believes that these types of collaboration and increased surveillance could be strengthened and deepened so that great powers could be persuaded over time to “forge missiles into spaceships” (</w:t>
      </w:r>
      <w:proofErr w:type="spellStart"/>
      <w:r w:rsidRPr="008A2B6C">
        <w:rPr>
          <w:sz w:val="8"/>
        </w:rPr>
        <w:t>Deudney</w:t>
      </w:r>
      <w:proofErr w:type="spellEnd"/>
      <w:r w:rsidRPr="008A2B6C">
        <w:rPr>
          <w:sz w:val="8"/>
        </w:rPr>
        <w:t xml:space="preserve"> 1985: 271). In the 1980s this led </w:t>
      </w:r>
      <w:proofErr w:type="spellStart"/>
      <w:r w:rsidRPr="008A2B6C">
        <w:rPr>
          <w:sz w:val="8"/>
        </w:rPr>
        <w:t>Deudney</w:t>
      </w:r>
      <w:proofErr w:type="spellEnd"/>
      <w:r w:rsidRPr="008A2B6C">
        <w:rPr>
          <w:sz w:val="8"/>
        </w:rPr>
        <w:t xml:space="preserve"> to develop a set of specific proposals for a peaceful space policy, including collaboration between space powers on manned missions to the Moon, asteroids, and Mars. The development of an International Satellite Monitoring Agency would make “space-based surveillance technology accessible to an international community” for monitoring ceasefires, crises, compliance with international arms control treaties, and the Earth’s environment (</w:t>
      </w:r>
      <w:proofErr w:type="spellStart"/>
      <w:r w:rsidRPr="008A2B6C">
        <w:rPr>
          <w:sz w:val="8"/>
        </w:rPr>
        <w:t>Deudney</w:t>
      </w:r>
      <w:proofErr w:type="spellEnd"/>
      <w:r w:rsidRPr="008A2B6C">
        <w:rPr>
          <w:sz w:val="8"/>
        </w:rPr>
        <w:t xml:space="preserve"> 1985: 291). These proposals are aimed at promoting collaboration on projects of great scientific and military significance for the individual states. </w:t>
      </w:r>
      <w:proofErr w:type="spellStart"/>
      <w:r w:rsidRPr="008A2B6C">
        <w:rPr>
          <w:sz w:val="8"/>
        </w:rPr>
        <w:t>Deudney’s</w:t>
      </w:r>
      <w:proofErr w:type="spellEnd"/>
      <w:r w:rsidRPr="008A2B6C">
        <w:rPr>
          <w:sz w:val="8"/>
        </w:rPr>
        <w:t xml:space="preserve"> expectation is that such cooperation would mitigate security dilemmas and promote greater ties between states that would co-bind their security without sacrificing their sovereignty. While </w:t>
      </w:r>
      <w:proofErr w:type="spellStart"/>
      <w:r w:rsidRPr="008A2B6C">
        <w:rPr>
          <w:sz w:val="8"/>
        </w:rPr>
        <w:t>Deudney</w:t>
      </w:r>
      <w:proofErr w:type="spellEnd"/>
      <w:r w:rsidRPr="008A2B6C">
        <w:rPr>
          <w:sz w:val="8"/>
        </w:rPr>
        <w:t xml:space="preserve"> has not been explicit about how his </w:t>
      </w:r>
      <w:proofErr w:type="spellStart"/>
      <w:r w:rsidRPr="008A2B6C">
        <w:rPr>
          <w:sz w:val="8"/>
        </w:rPr>
        <w:t>astropolitics</w:t>
      </w:r>
      <w:proofErr w:type="spellEnd"/>
      <w:r w:rsidRPr="008A2B6C">
        <w:rPr>
          <w:sz w:val="8"/>
        </w:rPr>
        <w:t xml:space="preserve"> of collaboration would alter world order, in his more theoretical writings he has elaborated the logic of a liberal-republican international system. In a 2002 article on geopolitics and international theory, he developed what he called </w:t>
      </w:r>
      <w:proofErr w:type="spellStart"/>
      <w:proofErr w:type="gramStart"/>
      <w:r w:rsidRPr="008A2B6C">
        <w:rPr>
          <w:sz w:val="8"/>
        </w:rPr>
        <w:t>a‘</w:t>
      </w:r>
      <w:proofErr w:type="gramEnd"/>
      <w:r w:rsidRPr="008A2B6C">
        <w:rPr>
          <w:sz w:val="8"/>
        </w:rPr>
        <w:t>historical</w:t>
      </w:r>
      <w:proofErr w:type="spellEnd"/>
      <w:r w:rsidRPr="008A2B6C">
        <w:rPr>
          <w:sz w:val="8"/>
        </w:rPr>
        <w:t xml:space="preserve"> security materialist’ theory of geopolitics: “[I]n which changing forces of destruction (constituted by geography and technology) condition the viability of different modes of protection (understood as clusters of security practices) and their attendant ‘superstructures’ of political authority structures (anarchical, hierarchical, and federal-republican)” (</w:t>
      </w:r>
      <w:proofErr w:type="spellStart"/>
      <w:r w:rsidRPr="008A2B6C">
        <w:rPr>
          <w:sz w:val="8"/>
        </w:rPr>
        <w:t>Deudney</w:t>
      </w:r>
      <w:proofErr w:type="spellEnd"/>
      <w:r w:rsidRPr="008A2B6C">
        <w:rPr>
          <w:sz w:val="8"/>
        </w:rPr>
        <w:t xml:space="preserve"> 2002: 80). In that work, he identified four different eras in which distinct modes of destruction were predominant: Pre-modern; Early Modern; Global Industrial; and Planetary-Nuclear, as well as two modes of protection: real-statism, which is based on an internal monopoly of violence and external anarchy; and federal-republicanism, which is based on an internal division of powers and an external symmetrical binding of actors through institutions that reduces their autonomy in relation to one another. According to </w:t>
      </w:r>
      <w:proofErr w:type="spellStart"/>
      <w:r w:rsidRPr="008A2B6C">
        <w:rPr>
          <w:sz w:val="8"/>
        </w:rPr>
        <w:t>Deudney</w:t>
      </w:r>
      <w:proofErr w:type="spellEnd"/>
      <w:r w:rsidRPr="008A2B6C">
        <w:rPr>
          <w:sz w:val="8"/>
        </w:rPr>
        <w:t>, in the Planetary-Nuclear age the federal-republican mode of protection is more viable because states “are able to more fully and systematically restrain violence” than under the power balancing practices of real-statist modes of protection (</w:t>
      </w:r>
      <w:proofErr w:type="spellStart"/>
      <w:r w:rsidRPr="008A2B6C">
        <w:rPr>
          <w:sz w:val="8"/>
        </w:rPr>
        <w:t>Deudney</w:t>
      </w:r>
      <w:proofErr w:type="spellEnd"/>
      <w:r w:rsidRPr="008A2B6C">
        <w:rPr>
          <w:sz w:val="8"/>
        </w:rPr>
        <w:t xml:space="preserve"> 2002: 97; see also </w:t>
      </w:r>
      <w:proofErr w:type="spellStart"/>
      <w:r w:rsidRPr="008A2B6C">
        <w:rPr>
          <w:sz w:val="8"/>
        </w:rPr>
        <w:t>Deudney</w:t>
      </w:r>
      <w:proofErr w:type="spellEnd"/>
      <w:r w:rsidRPr="008A2B6C">
        <w:rPr>
          <w:sz w:val="8"/>
        </w:rPr>
        <w:t xml:space="preserve"> 2007: 244–277 for an elaboration of this argument). Although </w:t>
      </w:r>
      <w:proofErr w:type="spellStart"/>
      <w:r w:rsidRPr="008A2B6C">
        <w:rPr>
          <w:sz w:val="8"/>
        </w:rPr>
        <w:t>Deudney</w:t>
      </w:r>
      <w:proofErr w:type="spellEnd"/>
      <w:r w:rsidRPr="008A2B6C">
        <w:rPr>
          <w:sz w:val="8"/>
        </w:rPr>
        <w:t xml:space="preserve"> has not extended his “historical security materialist” approach into explicitly theorizing space weapons, per se (dealt with only tangentially and implicitly in the last two chapters of his recent book), his proposals during the Cold War to foster institutional collaboration between space powers as a way of promoting peace can safely be understood as a form of the mutually binding practices that he associates with the </w:t>
      </w:r>
      <w:proofErr w:type="spellStart"/>
      <w:r w:rsidRPr="008A2B6C">
        <w:rPr>
          <w:sz w:val="8"/>
        </w:rPr>
        <w:t>federalrepublican</w:t>
      </w:r>
      <w:proofErr w:type="spellEnd"/>
      <w:r w:rsidRPr="008A2B6C">
        <w:rPr>
          <w:sz w:val="8"/>
        </w:rPr>
        <w:t xml:space="preserve"> mode of protection. In addition, one of the general conclusions that </w:t>
      </w:r>
      <w:proofErr w:type="spellStart"/>
      <w:r w:rsidRPr="008A2B6C">
        <w:rPr>
          <w:sz w:val="8"/>
        </w:rPr>
        <w:t>Deudney</w:t>
      </w:r>
      <w:proofErr w:type="spellEnd"/>
      <w:r w:rsidRPr="008A2B6C">
        <w:rPr>
          <w:sz w:val="8"/>
        </w:rPr>
        <w:t xml:space="preserve"> reaches about “historical security materialism” is that the more a security context is rich in the potential for violence, the better suited a federal-republican mode of protection is to avoid systemic breakdown. Therefore, it seems reasonable to conclude that within </w:t>
      </w:r>
      <w:proofErr w:type="spellStart"/>
      <w:r w:rsidRPr="008A2B6C">
        <w:rPr>
          <w:sz w:val="8"/>
        </w:rPr>
        <w:t>Deudney’s</w:t>
      </w:r>
      <w:proofErr w:type="spellEnd"/>
      <w:r w:rsidRPr="008A2B6C">
        <w:rPr>
          <w:sz w:val="8"/>
        </w:rPr>
        <w:t xml:space="preserve"> work is a nascent theory of how a federal-republican international system could limit conflict between space powers by binding them together in collaborative uses of space for exploratory and security uses. In this sense, </w:t>
      </w:r>
      <w:proofErr w:type="spellStart"/>
      <w:r w:rsidRPr="008A2B6C">
        <w:rPr>
          <w:sz w:val="8"/>
        </w:rPr>
        <w:t>Deudney</w:t>
      </w:r>
      <w:proofErr w:type="spellEnd"/>
      <w:r w:rsidRPr="008A2B6C">
        <w:rPr>
          <w:sz w:val="8"/>
        </w:rPr>
        <w:t xml:space="preserve"> can be read as the liberal-republican astropolitical counterpart to Everett Dolman.5 While </w:t>
      </w:r>
      <w:proofErr w:type="spellStart"/>
      <w:r w:rsidRPr="008A2B6C">
        <w:rPr>
          <w:sz w:val="8"/>
        </w:rPr>
        <w:t>Deudney’s</w:t>
      </w:r>
      <w:proofErr w:type="spellEnd"/>
      <w:r w:rsidRPr="008A2B6C">
        <w:rPr>
          <w:sz w:val="8"/>
        </w:rPr>
        <w:t xml:space="preserve"> astropolitical theorizations hold out the promise of a terrestrial pacification through space exploration it is interesting to note a significant aporia in his theory – empire as a possible mode of protection. While real-statist modes of protection have an internal hierarchical authority structure, they are based on assumptions of external-anarchy, which is to say a system of sovereign states. Conversely, the federal-republican model is based on a symmetrical binding of units, in a way that no single unit can come to dominate others and accordingly in which they preserve their sovereignty (</w:t>
      </w:r>
      <w:proofErr w:type="spellStart"/>
      <w:r w:rsidRPr="008A2B6C">
        <w:rPr>
          <w:sz w:val="8"/>
        </w:rPr>
        <w:t>Deudney</w:t>
      </w:r>
      <w:proofErr w:type="spellEnd"/>
      <w:r w:rsidRPr="008A2B6C">
        <w:rPr>
          <w:sz w:val="8"/>
        </w:rPr>
        <w:t xml:space="preserve"> 2000, 2002, 2007). In a third mode, to which </w:t>
      </w:r>
      <w:proofErr w:type="spellStart"/>
      <w:r w:rsidRPr="008A2B6C">
        <w:rPr>
          <w:sz w:val="8"/>
        </w:rPr>
        <w:t>Deudney</w:t>
      </w:r>
      <w:proofErr w:type="spellEnd"/>
      <w:r w:rsidRPr="008A2B6C">
        <w:rPr>
          <w:sz w:val="8"/>
        </w:rPr>
        <w:t xml:space="preserve"> gives only scant attention, </w:t>
      </w:r>
      <w:r w:rsidRPr="000533F6">
        <w:rPr>
          <w:rStyle w:val="StyleUnderline"/>
        </w:rPr>
        <w:t xml:space="preserve">the case of empire, the hegemony of a single unit is such that other units are bound to it in an asymmetrical pattern that locates sovereignty only in the hegemon, or imperial center. </w:t>
      </w:r>
      <w:r w:rsidRPr="009D3F23">
        <w:rPr>
          <w:rStyle w:val="StyleUnderline"/>
          <w:highlight w:val="green"/>
        </w:rPr>
        <w:t>Successful empires</w:t>
      </w:r>
      <w:r w:rsidRPr="008A2B6C">
        <w:rPr>
          <w:sz w:val="8"/>
        </w:rPr>
        <w:t xml:space="preserve">, including the Roman, British, and American, </w:t>
      </w:r>
      <w:r w:rsidRPr="009D3F23">
        <w:rPr>
          <w:rStyle w:val="StyleUnderline"/>
          <w:highlight w:val="green"/>
        </w:rPr>
        <w:t>permit local autonomy in areas</w:t>
      </w:r>
      <w:r w:rsidRPr="000533F6">
        <w:rPr>
          <w:rStyle w:val="StyleUnderline"/>
        </w:rPr>
        <w:t xml:space="preserve"> that are </w:t>
      </w:r>
      <w:r w:rsidRPr="009D3F23">
        <w:rPr>
          <w:rStyle w:val="StyleUnderline"/>
          <w:highlight w:val="green"/>
        </w:rPr>
        <w:t>not of</w:t>
      </w:r>
      <w:r w:rsidRPr="000533F6">
        <w:rPr>
          <w:rStyle w:val="StyleUnderline"/>
        </w:rPr>
        <w:t xml:space="preserve"> the </w:t>
      </w:r>
      <w:r w:rsidRPr="009D3F23">
        <w:rPr>
          <w:rStyle w:val="StyleUnderline"/>
          <w:highlight w:val="green"/>
        </w:rPr>
        <w:t>imperial power’s direct concern while demanding</w:t>
      </w:r>
      <w:r w:rsidRPr="000533F6">
        <w:rPr>
          <w:rStyle w:val="StyleUnderline"/>
        </w:rPr>
        <w:t xml:space="preserve"> absolute </w:t>
      </w:r>
      <w:r w:rsidRPr="009D3F23">
        <w:rPr>
          <w:rStyle w:val="StyleUnderline"/>
          <w:highlight w:val="green"/>
        </w:rPr>
        <w:t>obedience</w:t>
      </w:r>
      <w:r w:rsidRPr="000533F6">
        <w:rPr>
          <w:rStyle w:val="StyleUnderline"/>
        </w:rPr>
        <w:t xml:space="preserve"> in areas that are of vital concern to it, particularly when it comes to issues of security</w:t>
      </w:r>
      <w:r w:rsidRPr="008A2B6C">
        <w:rPr>
          <w:sz w:val="8"/>
        </w:rPr>
        <w:t xml:space="preserve">.6 </w:t>
      </w:r>
      <w:proofErr w:type="spellStart"/>
      <w:r w:rsidRPr="008A2B6C">
        <w:rPr>
          <w:sz w:val="8"/>
        </w:rPr>
        <w:t>Deudney’s</w:t>
      </w:r>
      <w:proofErr w:type="spellEnd"/>
      <w:r w:rsidRPr="008A2B6C">
        <w:rPr>
          <w:sz w:val="8"/>
        </w:rPr>
        <w:t xml:space="preserve"> implicit astropolitical theory thus ignores structurally asymmetric relations – in effect he ignores power. It is as if in wanting to have the world avoid the possibility of a planetary hegemony at the heart of the premise with which he and Dolman began their respective analyses, he </w:t>
      </w:r>
      <w:r w:rsidRPr="008A2B6C">
        <w:rPr>
          <w:rStyle w:val="StyleUnderline"/>
        </w:rPr>
        <w:t xml:space="preserve">white-washes it </w:t>
      </w:r>
      <w:r w:rsidRPr="009D3F23">
        <w:rPr>
          <w:rStyle w:val="StyleUnderline"/>
          <w:highlight w:val="green"/>
        </w:rPr>
        <w:t>by failing to acknowledge the</w:t>
      </w:r>
      <w:r w:rsidRPr="008A2B6C">
        <w:rPr>
          <w:rStyle w:val="StyleUnderline"/>
        </w:rPr>
        <w:t xml:space="preserve"> profound </w:t>
      </w:r>
      <w:r w:rsidRPr="009D3F23">
        <w:rPr>
          <w:rStyle w:val="StyleUnderline"/>
          <w:highlight w:val="green"/>
        </w:rPr>
        <w:t>asymmetries of aspirations</w:t>
      </w:r>
      <w:r w:rsidRPr="008A2B6C">
        <w:rPr>
          <w:rStyle w:val="StyleUnderline"/>
        </w:rPr>
        <w:t xml:space="preserve"> and technological–financial–military capacities among states for control of orbital space</w:t>
      </w:r>
      <w:r w:rsidRPr="008A2B6C">
        <w:rPr>
          <w:sz w:val="8"/>
        </w:rPr>
        <w:t xml:space="preserve">. In the next two sections we respond to </w:t>
      </w:r>
      <w:proofErr w:type="spellStart"/>
      <w:r w:rsidRPr="008A2B6C">
        <w:rPr>
          <w:sz w:val="8"/>
        </w:rPr>
        <w:t>Deudney’s</w:t>
      </w:r>
      <w:proofErr w:type="spellEnd"/>
      <w:r w:rsidRPr="008A2B6C">
        <w:rPr>
          <w:sz w:val="8"/>
        </w:rPr>
        <w:t xml:space="preserve"> call for “historical security materialism” by focusing on the premise that he skirts but that Dolman emphasizes, that military control of space means (at least the possibility of) mastery of the Earth. Specifically we examine how a new mode of destruction – space weapons – is the ideal basis for the third mode of protection – empire – through its potential for substantial asymmetry. We argue that the power asymmetries of space weapons have very significant constitutive effects on sovereignty and international systemic anarchy, and underlie the constitution of a new, historically unprecedented, form of empire. Before turning to that central thesis, however, we will first sketch the general contours of a critical </w:t>
      </w:r>
      <w:proofErr w:type="spellStart"/>
      <w:r w:rsidRPr="008A2B6C">
        <w:rPr>
          <w:sz w:val="8"/>
        </w:rPr>
        <w:t>astropolitics</w:t>
      </w:r>
      <w:proofErr w:type="spellEnd"/>
      <w:r w:rsidRPr="008A2B6C">
        <w:rPr>
          <w:sz w:val="8"/>
        </w:rPr>
        <w:t xml:space="preserve">, which builds on the foundational premise of Dolman and </w:t>
      </w:r>
      <w:proofErr w:type="spellStart"/>
      <w:proofErr w:type="gramStart"/>
      <w:r w:rsidRPr="008A2B6C">
        <w:rPr>
          <w:sz w:val="8"/>
        </w:rPr>
        <w:t>Deudney</w:t>
      </w:r>
      <w:proofErr w:type="spellEnd"/>
      <w:r w:rsidRPr="008A2B6C">
        <w:rPr>
          <w:sz w:val="8"/>
        </w:rPr>
        <w:t>, but</w:t>
      </w:r>
      <w:proofErr w:type="gramEnd"/>
      <w:r w:rsidRPr="008A2B6C">
        <w:rPr>
          <w:sz w:val="8"/>
        </w:rPr>
        <w:t xml:space="preserve"> modifies their theories in light of the significant insights of critical theory, particularly with respect to constitutive power. We ask: what consequences of </w:t>
      </w:r>
      <w:proofErr w:type="spellStart"/>
      <w:r w:rsidRPr="008A2B6C">
        <w:rPr>
          <w:sz w:val="8"/>
        </w:rPr>
        <w:t>astropolitics</w:t>
      </w:r>
      <w:proofErr w:type="spellEnd"/>
      <w:r w:rsidRPr="008A2B6C">
        <w:rPr>
          <w:sz w:val="8"/>
        </w:rPr>
        <w:t xml:space="preserve"> can a critical approach illuminate that may be concealed by an </w:t>
      </w:r>
      <w:proofErr w:type="spellStart"/>
      <w:r w:rsidRPr="008A2B6C">
        <w:rPr>
          <w:sz w:val="8"/>
        </w:rPr>
        <w:t>astropolitics</w:t>
      </w:r>
      <w:proofErr w:type="spellEnd"/>
      <w:r w:rsidRPr="008A2B6C">
        <w:rPr>
          <w:sz w:val="8"/>
        </w:rPr>
        <w:t xml:space="preserve"> informed by either liberal-republican or realist assumptions? How can insights offered by the revival of geopolitics in the writings of </w:t>
      </w:r>
      <w:proofErr w:type="spellStart"/>
      <w:r w:rsidRPr="008A2B6C">
        <w:rPr>
          <w:sz w:val="8"/>
        </w:rPr>
        <w:t>Deudney</w:t>
      </w:r>
      <w:proofErr w:type="spellEnd"/>
      <w:r w:rsidRPr="008A2B6C">
        <w:rPr>
          <w:sz w:val="8"/>
        </w:rPr>
        <w:t xml:space="preserve"> and Dolman – particularly the call for a new security materialist mode of analysis – be used to supplement and refine critical international relations theory?</w:t>
      </w:r>
    </w:p>
    <w:p w14:paraId="2BCEABB8" w14:textId="4152A8B0" w:rsidR="00F5623D" w:rsidRDefault="00F5623D" w:rsidP="00F5623D">
      <w:pPr>
        <w:pStyle w:val="Heading4"/>
      </w:pPr>
      <w:r>
        <w:t xml:space="preserve">The </w:t>
      </w:r>
      <w:proofErr w:type="spellStart"/>
      <w:r>
        <w:t>aff’s</w:t>
      </w:r>
      <w:proofErr w:type="spellEnd"/>
      <w:r>
        <w:t xml:space="preserve"> managerial concerns over space debris is </w:t>
      </w:r>
      <w:r w:rsidRPr="006A3E64">
        <w:rPr>
          <w:u w:val="single"/>
        </w:rPr>
        <w:t>techno-nationalism</w:t>
      </w:r>
      <w:r w:rsidRPr="0075160E">
        <w:t xml:space="preserve"> – liberal governance over space as a </w:t>
      </w:r>
      <w:proofErr w:type="gramStart"/>
      <w:r>
        <w:t>“</w:t>
      </w:r>
      <w:r w:rsidRPr="0075160E">
        <w:t>commons</w:t>
      </w:r>
      <w:r>
        <w:t>”</w:t>
      </w:r>
      <w:proofErr w:type="gramEnd"/>
      <w:r w:rsidRPr="0075160E">
        <w:t xml:space="preserve"> </w:t>
      </w:r>
      <w:r>
        <w:t>is the</w:t>
      </w:r>
      <w:r w:rsidRPr="0075160E">
        <w:t xml:space="preserve"> exclusive</w:t>
      </w:r>
      <w:r>
        <w:t xml:space="preserve"> domain of space-faring nations</w:t>
      </w:r>
    </w:p>
    <w:p w14:paraId="329E75CE" w14:textId="77777777" w:rsidR="00F5623D" w:rsidRDefault="00F5623D" w:rsidP="00F5623D">
      <w:pPr>
        <w:rPr>
          <w:rStyle w:val="Style13ptBold"/>
        </w:rPr>
      </w:pPr>
      <w:proofErr w:type="spellStart"/>
      <w:r>
        <w:rPr>
          <w:rStyle w:val="Style13ptBold"/>
        </w:rPr>
        <w:t>Stroikos</w:t>
      </w:r>
      <w:proofErr w:type="spellEnd"/>
      <w:r>
        <w:rPr>
          <w:rStyle w:val="Style13ptBold"/>
        </w:rPr>
        <w:t xml:space="preserve"> ‘16</w:t>
      </w:r>
    </w:p>
    <w:p w14:paraId="041A3003" w14:textId="77777777" w:rsidR="00F5623D" w:rsidRPr="00B62778" w:rsidRDefault="00F5623D" w:rsidP="00F5623D">
      <w:pPr>
        <w:rPr>
          <w:sz w:val="16"/>
          <w:szCs w:val="16"/>
        </w:rPr>
      </w:pPr>
      <w:r w:rsidRPr="00B62778">
        <w:rPr>
          <w:sz w:val="16"/>
          <w:szCs w:val="16"/>
        </w:rPr>
        <w:t>[</w:t>
      </w:r>
      <w:proofErr w:type="spellStart"/>
      <w:r w:rsidRPr="00B62778">
        <w:rPr>
          <w:sz w:val="16"/>
          <w:szCs w:val="16"/>
        </w:rPr>
        <w:t>Dimitrios</w:t>
      </w:r>
      <w:proofErr w:type="spellEnd"/>
      <w:r w:rsidRPr="00B62778">
        <w:rPr>
          <w:sz w:val="16"/>
          <w:szCs w:val="16"/>
        </w:rPr>
        <w:t>, University of York. 2016. “China, India in Space and the Orbit of International Society: Power, Status, and Order on the High Frontier.”] Pat</w:t>
      </w:r>
    </w:p>
    <w:p w14:paraId="7BB0A433" w14:textId="77777777" w:rsidR="00F5623D" w:rsidRPr="00EF6ED2" w:rsidRDefault="00F5623D" w:rsidP="00F5623D">
      <w:pPr>
        <w:rPr>
          <w:sz w:val="12"/>
        </w:rPr>
      </w:pPr>
      <w:r w:rsidRPr="00EF6ED2">
        <w:rPr>
          <w:sz w:val="12"/>
        </w:rPr>
        <w:t xml:space="preserve">Moreover, it is necessary to briefly say something about how </w:t>
      </w:r>
      <w:r w:rsidRPr="00EC2AE9">
        <w:rPr>
          <w:rStyle w:val="StyleUnderline"/>
          <w:highlight w:val="green"/>
        </w:rPr>
        <w:t>techno-nationalism</w:t>
      </w:r>
      <w:r w:rsidRPr="000D480F">
        <w:rPr>
          <w:rStyle w:val="StyleUnderline"/>
        </w:rPr>
        <w:t xml:space="preserve"> as a primary institution </w:t>
      </w:r>
      <w:r w:rsidRPr="00EC2AE9">
        <w:rPr>
          <w:rStyle w:val="StyleUnderline"/>
          <w:highlight w:val="green"/>
        </w:rPr>
        <w:t>interacts with</w:t>
      </w:r>
      <w:r w:rsidRPr="000D480F">
        <w:rPr>
          <w:rStyle w:val="StyleUnderline"/>
        </w:rPr>
        <w:t xml:space="preserve"> some of the other institutions of </w:t>
      </w:r>
      <w:r w:rsidRPr="00EC2AE9">
        <w:rPr>
          <w:rStyle w:val="StyleUnderline"/>
          <w:highlight w:val="green"/>
        </w:rPr>
        <w:t>international space society</w:t>
      </w:r>
      <w:r w:rsidRPr="00EF6ED2">
        <w:rPr>
          <w:sz w:val="12"/>
        </w:rPr>
        <w:t xml:space="preserve">. First, in many ways, </w:t>
      </w:r>
      <w:r w:rsidRPr="000D480F">
        <w:rPr>
          <w:rStyle w:val="StyleUnderline"/>
        </w:rPr>
        <w:t xml:space="preserve">techno-nationalism is </w:t>
      </w:r>
      <w:r w:rsidRPr="00EC2AE9">
        <w:rPr>
          <w:rStyle w:val="StyleUnderline"/>
          <w:highlight w:val="green"/>
        </w:rPr>
        <w:t xml:space="preserve">complimentary to sovereign statehood </w:t>
      </w:r>
      <w:r w:rsidRPr="00EC2AE9">
        <w:rPr>
          <w:rStyle w:val="Emphasis"/>
          <w:highlight w:val="green"/>
        </w:rPr>
        <w:t>because sovereignty in space is</w:t>
      </w:r>
      <w:r w:rsidRPr="000D480F">
        <w:rPr>
          <w:rStyle w:val="Emphasis"/>
        </w:rPr>
        <w:t xml:space="preserve"> largely </w:t>
      </w:r>
      <w:r w:rsidRPr="00EC2AE9">
        <w:rPr>
          <w:rStyle w:val="Emphasis"/>
          <w:highlight w:val="green"/>
        </w:rPr>
        <w:t>embedded in cosmopolitan</w:t>
      </w:r>
      <w:r w:rsidRPr="000D480F">
        <w:rPr>
          <w:rStyle w:val="Emphasis"/>
        </w:rPr>
        <w:t xml:space="preserve"> and solidarist </w:t>
      </w:r>
      <w:r w:rsidRPr="00EC2AE9">
        <w:rPr>
          <w:rStyle w:val="Emphasis"/>
          <w:highlight w:val="green"/>
        </w:rPr>
        <w:t>conceptions</w:t>
      </w:r>
      <w:r w:rsidRPr="00EF6ED2">
        <w:rPr>
          <w:sz w:val="12"/>
        </w:rPr>
        <w:t xml:space="preserve">. This is partly why highly visible space projects define spacefaring hierarchies. Second, and consequently, techno-nationalism is also </w:t>
      </w:r>
      <w:r w:rsidRPr="00EC2AE9">
        <w:rPr>
          <w:rStyle w:val="StyleUnderline"/>
          <w:highlight w:val="green"/>
        </w:rPr>
        <w:t>closely linked to</w:t>
      </w:r>
      <w:r w:rsidRPr="000D480F">
        <w:rPr>
          <w:rStyle w:val="StyleUnderline"/>
        </w:rPr>
        <w:t xml:space="preserve"> great power status and </w:t>
      </w:r>
      <w:r w:rsidRPr="00EC2AE9">
        <w:rPr>
          <w:rStyle w:val="StyleUnderline"/>
          <w:highlight w:val="green"/>
        </w:rPr>
        <w:t>great power management in the sense that</w:t>
      </w:r>
      <w:r w:rsidRPr="000D480F">
        <w:rPr>
          <w:rStyle w:val="StyleUnderline"/>
        </w:rPr>
        <w:t xml:space="preserve"> different </w:t>
      </w:r>
      <w:r w:rsidRPr="00EC2AE9">
        <w:rPr>
          <w:rStyle w:val="StyleUnderline"/>
          <w:highlight w:val="green"/>
        </w:rPr>
        <w:t>space capabilities</w:t>
      </w:r>
      <w:r w:rsidRPr="000D480F">
        <w:rPr>
          <w:rStyle w:val="StyleUnderline"/>
        </w:rPr>
        <w:t xml:space="preserve"> also </w:t>
      </w:r>
      <w:r w:rsidRPr="00EC2AE9">
        <w:rPr>
          <w:rStyle w:val="StyleUnderline"/>
          <w:highlight w:val="green"/>
        </w:rPr>
        <w:t>confer different</w:t>
      </w:r>
      <w:r w:rsidRPr="000D480F">
        <w:rPr>
          <w:rStyle w:val="StyleUnderline"/>
        </w:rPr>
        <w:t xml:space="preserve"> levels of </w:t>
      </w:r>
      <w:r w:rsidRPr="00EC2AE9">
        <w:rPr>
          <w:rStyle w:val="StyleUnderline"/>
          <w:highlight w:val="green"/>
        </w:rPr>
        <w:t>status</w:t>
      </w:r>
      <w:r w:rsidRPr="000D480F">
        <w:rPr>
          <w:rStyle w:val="StyleUnderline"/>
        </w:rPr>
        <w:t xml:space="preserve"> and responsibilities </w:t>
      </w:r>
      <w:r w:rsidRPr="00EC2AE9">
        <w:rPr>
          <w:rStyle w:val="StyleUnderline"/>
          <w:highlight w:val="green"/>
        </w:rPr>
        <w:t>in the management of international order</w:t>
      </w:r>
      <w:r w:rsidRPr="000D480F">
        <w:rPr>
          <w:rStyle w:val="StyleUnderline"/>
        </w:rPr>
        <w:t xml:space="preserve"> in space</w:t>
      </w:r>
      <w:r w:rsidRPr="00EF6ED2">
        <w:rPr>
          <w:sz w:val="12"/>
        </w:rPr>
        <w:t xml:space="preserve">. Likewise, in relation to diplomacy, highly visible techno-nationalist space feats can also offer a seat at the table of diplomatic initiatives and negotiations. Seen in this light, </w:t>
      </w:r>
      <w:r w:rsidRPr="000D480F">
        <w:rPr>
          <w:rStyle w:val="StyleUnderline"/>
        </w:rPr>
        <w:t xml:space="preserve">‘high-visibility’ projects, such as </w:t>
      </w:r>
      <w:r w:rsidRPr="00EC2AE9">
        <w:rPr>
          <w:rStyle w:val="StyleUnderline"/>
          <w:highlight w:val="green"/>
        </w:rPr>
        <w:t xml:space="preserve">space </w:t>
      </w:r>
      <w:proofErr w:type="spellStart"/>
      <w:r w:rsidRPr="00EC2AE9">
        <w:rPr>
          <w:rStyle w:val="StyleUnderline"/>
          <w:highlight w:val="green"/>
        </w:rPr>
        <w:t>programmes</w:t>
      </w:r>
      <w:proofErr w:type="spellEnd"/>
      <w:r w:rsidRPr="00EC2AE9">
        <w:rPr>
          <w:rStyle w:val="StyleUnderline"/>
          <w:highlight w:val="green"/>
        </w:rPr>
        <w:t xml:space="preserve"> are part of ‘recognition games’</w:t>
      </w:r>
      <w:r w:rsidRPr="00EF6ED2">
        <w:rPr>
          <w:sz w:val="12"/>
        </w:rPr>
        <w:t>, which states play in order to acquire the status of a great power (Suzuki, 2008). As Cunningham (2009: 74) notes, ‘</w:t>
      </w:r>
      <w:r w:rsidRPr="00EC2AE9">
        <w:rPr>
          <w:rStyle w:val="Emphasis"/>
          <w:highlight w:val="green"/>
        </w:rPr>
        <w:t>to be a superpower, one must be a “spacefaring” nation’</w:t>
      </w:r>
      <w:r w:rsidRPr="00EF6ED2">
        <w:rPr>
          <w:sz w:val="12"/>
        </w:rPr>
        <w:t xml:space="preserve">. The Space Market Arguably, the economic factor has been one of the most neglected issues in the English School literature. Discussing some of the shortcomings of Bull’s work, Miller (1990: 74) pointed out in 1990, ‘a basic criticism of Bull’s account of international society’ is ‘that it does not include a strong economic component’ dealing with rules regarding trade, navigation, and investment and the common interests that permeate the sphere of economic activities. Since then, some important work has been done to bring together the economic sector and the English School, especially in the context of </w:t>
      </w:r>
      <w:proofErr w:type="spellStart"/>
      <w:r w:rsidRPr="00EF6ED2">
        <w:rPr>
          <w:sz w:val="12"/>
        </w:rPr>
        <w:t>globalisation</w:t>
      </w:r>
      <w:proofErr w:type="spellEnd"/>
      <w:r w:rsidRPr="00EF6ED2">
        <w:rPr>
          <w:sz w:val="12"/>
        </w:rPr>
        <w:t xml:space="preserve"> (Buzan, 2004; Buzan, 2005; Hurrell, 2007: 194-215). However, the question of how to consider the economic sector within the English School remains rather underdeveloped. According to Buzan, one response is to treat capitalism as a master institution, but he prefers the use of the market as a more neutral term, which has the additional merit of encompassing other practices, such as trade (Buzan, 2004: 193-4, Buzan, 2014a: 136). Consequently, </w:t>
      </w:r>
      <w:r w:rsidRPr="00EC2AE9">
        <w:rPr>
          <w:rStyle w:val="StyleUnderline"/>
          <w:highlight w:val="green"/>
        </w:rPr>
        <w:t>given</w:t>
      </w:r>
      <w:r w:rsidRPr="00184561">
        <w:rPr>
          <w:rStyle w:val="StyleUnderline"/>
        </w:rPr>
        <w:t xml:space="preserve"> the growing </w:t>
      </w:r>
      <w:proofErr w:type="spellStart"/>
      <w:r w:rsidRPr="00184561">
        <w:rPr>
          <w:rStyle w:val="StyleUnderline"/>
        </w:rPr>
        <w:t>globalisation</w:t>
      </w:r>
      <w:proofErr w:type="spellEnd"/>
      <w:r w:rsidRPr="00184561">
        <w:rPr>
          <w:rStyle w:val="StyleUnderline"/>
        </w:rPr>
        <w:t xml:space="preserve"> and </w:t>
      </w:r>
      <w:proofErr w:type="spellStart"/>
      <w:r w:rsidRPr="00EC2AE9">
        <w:rPr>
          <w:rStyle w:val="StyleUnderline"/>
          <w:highlight w:val="green"/>
        </w:rPr>
        <w:t>commercialisation</w:t>
      </w:r>
      <w:proofErr w:type="spellEnd"/>
      <w:r w:rsidRPr="00EC2AE9">
        <w:rPr>
          <w:rStyle w:val="StyleUnderline"/>
          <w:highlight w:val="green"/>
        </w:rPr>
        <w:t xml:space="preserve"> of space activities</w:t>
      </w:r>
      <w:r w:rsidRPr="00EF6ED2">
        <w:rPr>
          <w:sz w:val="12"/>
        </w:rPr>
        <w:t xml:space="preserve"> (OECD, 2014: 9-10), </w:t>
      </w:r>
      <w:r w:rsidRPr="00184561">
        <w:rPr>
          <w:rStyle w:val="StyleUnderline"/>
        </w:rPr>
        <w:t xml:space="preserve">there are good reasons </w:t>
      </w:r>
      <w:r w:rsidRPr="00EC2AE9">
        <w:rPr>
          <w:rStyle w:val="StyleUnderline"/>
          <w:highlight w:val="green"/>
        </w:rPr>
        <w:t>for considering the space market as a</w:t>
      </w:r>
      <w:r w:rsidRPr="00EF6ED2">
        <w:rPr>
          <w:sz w:val="12"/>
        </w:rPr>
        <w:t xml:space="preserve">n </w:t>
      </w:r>
      <w:r w:rsidRPr="00184561">
        <w:rPr>
          <w:rStyle w:val="StyleUnderline"/>
        </w:rPr>
        <w:t xml:space="preserve">emerging </w:t>
      </w:r>
      <w:r w:rsidRPr="00EC2AE9">
        <w:rPr>
          <w:rStyle w:val="StyleUnderline"/>
          <w:highlight w:val="green"/>
        </w:rPr>
        <w:t>primary institution of international space society</w:t>
      </w:r>
      <w:r w:rsidRPr="00EF6ED2">
        <w:rPr>
          <w:sz w:val="12"/>
        </w:rPr>
        <w:t xml:space="preserve">. Significantly, in some ways, since the advent of the Space Age, the space market has followed a parallel trajectory to the market as a distinctive institution at the global level. In particular, although the market was a key primary institution of the Western global international society during much of the Cold War, it has emerged as a sort of a global institution in the post-Cold War era (Buzan, 2014a: 138). Likewise, </w:t>
      </w:r>
      <w:r w:rsidRPr="00EC2AE9">
        <w:rPr>
          <w:rStyle w:val="StyleUnderline"/>
          <w:highlight w:val="green"/>
        </w:rPr>
        <w:t>the space market was</w:t>
      </w:r>
      <w:r w:rsidRPr="00184561">
        <w:rPr>
          <w:rStyle w:val="StyleUnderline"/>
        </w:rPr>
        <w:t xml:space="preserve"> initially </w:t>
      </w:r>
      <w:r w:rsidRPr="00EC2AE9">
        <w:rPr>
          <w:rStyle w:val="StyleUnderline"/>
          <w:highlight w:val="green"/>
        </w:rPr>
        <w:t>confined to American-led space activities</w:t>
      </w:r>
      <w:r w:rsidRPr="00EF6ED2">
        <w:rPr>
          <w:sz w:val="12"/>
        </w:rPr>
        <w:t>, beginning as a US government initiative with the Communications Satellite Act in 1962, which led to the creation of the International Telecommunications Satellite Consortium (Intelsat) in 1964 (</w:t>
      </w:r>
      <w:proofErr w:type="spellStart"/>
      <w:r w:rsidRPr="00EF6ED2">
        <w:rPr>
          <w:sz w:val="12"/>
        </w:rPr>
        <w:t>Moltz</w:t>
      </w:r>
      <w:proofErr w:type="spellEnd"/>
      <w:r w:rsidRPr="00EF6ED2">
        <w:rPr>
          <w:sz w:val="12"/>
        </w:rPr>
        <w:t xml:space="preserve">, 2014: 94). However, during the early Cold War, commercial activities were largely limited to the field of satellite communications and even commercial transatlantic cooperation in space was determined to a large extent by political and strategic factors and technology transfer considerations (Krige, 2013b). Equally, the idea of the </w:t>
      </w:r>
      <w:proofErr w:type="spellStart"/>
      <w:r w:rsidRPr="00EF6ED2">
        <w:rPr>
          <w:sz w:val="12"/>
        </w:rPr>
        <w:t>commercialisation</w:t>
      </w:r>
      <w:proofErr w:type="spellEnd"/>
      <w:r w:rsidRPr="00EF6ED2">
        <w:rPr>
          <w:sz w:val="12"/>
        </w:rPr>
        <w:t xml:space="preserve"> of space remained contested not the least because of the opposition of the Soviet Union and communist China to the market in general. This began to change only in the 1980s, when a number of space players emerged, including Europe and Japan, that challenged the US leadership in the fields of satellite manufacturing, launching capability, and other commercial space services. It was also during this period that the Soviet Union and China became less reluctant to get involved with commercial space activities (Krige, 2013a: 16-7). But it was </w:t>
      </w:r>
      <w:r w:rsidRPr="00EC2AE9">
        <w:rPr>
          <w:rStyle w:val="StyleUnderline"/>
          <w:highlight w:val="green"/>
        </w:rPr>
        <w:t>after the end of the Cold War</w:t>
      </w:r>
      <w:r w:rsidRPr="00184561">
        <w:rPr>
          <w:rStyle w:val="StyleUnderline"/>
        </w:rPr>
        <w:t xml:space="preserve"> that the </w:t>
      </w:r>
      <w:proofErr w:type="spellStart"/>
      <w:r w:rsidRPr="00EC2AE9">
        <w:rPr>
          <w:rStyle w:val="StyleUnderline"/>
          <w:highlight w:val="green"/>
        </w:rPr>
        <w:t>globalisation</w:t>
      </w:r>
      <w:proofErr w:type="spellEnd"/>
      <w:r w:rsidRPr="00184561">
        <w:rPr>
          <w:rStyle w:val="StyleUnderline"/>
        </w:rPr>
        <w:t xml:space="preserve"> and </w:t>
      </w:r>
      <w:proofErr w:type="spellStart"/>
      <w:r w:rsidRPr="00184561">
        <w:rPr>
          <w:rStyle w:val="StyleUnderline"/>
        </w:rPr>
        <w:t>commercialisation</w:t>
      </w:r>
      <w:proofErr w:type="spellEnd"/>
      <w:r w:rsidRPr="00184561">
        <w:rPr>
          <w:rStyle w:val="StyleUnderline"/>
        </w:rPr>
        <w:t xml:space="preserve"> of space activities gradually </w:t>
      </w:r>
      <w:r w:rsidRPr="00EC2AE9">
        <w:rPr>
          <w:rStyle w:val="StyleUnderline"/>
          <w:highlight w:val="green"/>
        </w:rPr>
        <w:t>led to</w:t>
      </w:r>
      <w:r w:rsidRPr="00184561">
        <w:rPr>
          <w:rStyle w:val="StyleUnderline"/>
        </w:rPr>
        <w:t xml:space="preserve"> the emergence of </w:t>
      </w:r>
      <w:r w:rsidRPr="00EC2AE9">
        <w:rPr>
          <w:rStyle w:val="StyleUnderline"/>
          <w:highlight w:val="green"/>
        </w:rPr>
        <w:t>a global space market</w:t>
      </w:r>
      <w:r w:rsidRPr="00EF6ED2">
        <w:rPr>
          <w:sz w:val="12"/>
        </w:rPr>
        <w:t xml:space="preserve">, which points to its inclusion as a primary institution of the international space society. According to a recent report by the Space Foundation (2015: 2), the global space economy grew up by 9 percent in 2014, </w:t>
      </w:r>
      <w:proofErr w:type="spellStart"/>
      <w:r w:rsidRPr="00EF6ED2">
        <w:rPr>
          <w:sz w:val="12"/>
        </w:rPr>
        <w:t>totalling</w:t>
      </w:r>
      <w:proofErr w:type="spellEnd"/>
      <w:r w:rsidRPr="00EF6ED2">
        <w:rPr>
          <w:sz w:val="12"/>
        </w:rPr>
        <w:t xml:space="preserve"> $330 billion, with commercial space activities accounting for the 76 percent of the global space economy and direct-to-home television services accounting for more than three-quarters of the commercial space sector. Even in the launch field, which has been traditionally reserved to the state largely due to national security and cost considerations, US small private companies have emerged like Space Exploration Technologies Corporation, known as SpaceX, and XCOR Aerospace. As Newlove-Eriksson and Eriksson (2013) argue, the </w:t>
      </w:r>
      <w:proofErr w:type="spellStart"/>
      <w:r w:rsidRPr="00EF6ED2">
        <w:rPr>
          <w:sz w:val="12"/>
        </w:rPr>
        <w:t>globalisation</w:t>
      </w:r>
      <w:proofErr w:type="spellEnd"/>
      <w:r w:rsidRPr="00EF6ED2">
        <w:rPr>
          <w:sz w:val="12"/>
        </w:rPr>
        <w:t xml:space="preserve"> of space activities has been underpinned by the growing importance of private authority and transnational Public-Private Partnerships (PPPs) and the blurred distinction between the military and civilian uses of space. Therefore, it makes sense to think of the space market as an institution of international space society. Yet, a number of points are worth noting here as they help to highlight the possibilities and limits of this move. First, despite all the attention paid to the </w:t>
      </w:r>
      <w:proofErr w:type="spellStart"/>
      <w:r w:rsidRPr="00EF6ED2">
        <w:rPr>
          <w:sz w:val="12"/>
        </w:rPr>
        <w:t>privatisation</w:t>
      </w:r>
      <w:proofErr w:type="spellEnd"/>
      <w:r w:rsidRPr="00EF6ED2">
        <w:rPr>
          <w:sz w:val="12"/>
        </w:rPr>
        <w:t xml:space="preserve"> of space travel promoted by space entrepreneurs of the likes of Elon Musk (SpaceX), Jeff Bezos (Blue Origin), and Richard Branson (Virgin Galactic), the </w:t>
      </w:r>
      <w:proofErr w:type="spellStart"/>
      <w:r w:rsidRPr="00EF6ED2">
        <w:rPr>
          <w:sz w:val="12"/>
        </w:rPr>
        <w:t>privatisation</w:t>
      </w:r>
      <w:proofErr w:type="spellEnd"/>
      <w:r w:rsidRPr="00EF6ED2">
        <w:rPr>
          <w:sz w:val="12"/>
        </w:rPr>
        <w:t xml:space="preserve"> of space should not be overstated. Not only does the degree of </w:t>
      </w:r>
      <w:proofErr w:type="spellStart"/>
      <w:r w:rsidRPr="00EF6ED2">
        <w:rPr>
          <w:sz w:val="12"/>
        </w:rPr>
        <w:t>privatisation</w:t>
      </w:r>
      <w:proofErr w:type="spellEnd"/>
      <w:r w:rsidRPr="00EF6ED2">
        <w:rPr>
          <w:sz w:val="12"/>
        </w:rPr>
        <w:t xml:space="preserve"> vary across space services and products (</w:t>
      </w:r>
      <w:proofErr w:type="spellStart"/>
      <w:r w:rsidRPr="00EF6ED2">
        <w:rPr>
          <w:sz w:val="12"/>
        </w:rPr>
        <w:t>Moltz</w:t>
      </w:r>
      <w:proofErr w:type="spellEnd"/>
      <w:r w:rsidRPr="00EF6ED2">
        <w:rPr>
          <w:sz w:val="12"/>
        </w:rPr>
        <w:t xml:space="preserve">, 2014: 102-12), but governments also remain central actors in the space industry as key sources of initial investment and as customers for several space products and services (Brennan and </w:t>
      </w:r>
      <w:proofErr w:type="spellStart"/>
      <w:r w:rsidRPr="00EF6ED2">
        <w:rPr>
          <w:sz w:val="12"/>
        </w:rPr>
        <w:t>Vecchi</w:t>
      </w:r>
      <w:proofErr w:type="spellEnd"/>
      <w:r w:rsidRPr="00EF6ED2">
        <w:rPr>
          <w:sz w:val="12"/>
        </w:rPr>
        <w:t xml:space="preserve">, 2011: 18, OECD, 2014: 17). Second, while it is clear that the argument over whether to have the market or not ended with the collapse of the Soviet Union, </w:t>
      </w:r>
      <w:r w:rsidRPr="00EC2AE9">
        <w:rPr>
          <w:rStyle w:val="StyleUnderline"/>
          <w:highlight w:val="green"/>
        </w:rPr>
        <w:t>the tension between economic nationalism and economic liberalism is far from over</w:t>
      </w:r>
      <w:r w:rsidRPr="00EF6ED2">
        <w:rPr>
          <w:sz w:val="12"/>
        </w:rPr>
        <w:t xml:space="preserve">, as there are not many states fully open to the forces of the global economy and many states support a form of capitalism that is embedded in economic nationalism. This points to the contested nature of the market as a primary institution in the sense that for many states the challenge of how to relate to the global market and make it more effective remains (Buzan, 2014a: 138). As far as international space society is concerned, </w:t>
      </w:r>
      <w:r w:rsidRPr="00566277">
        <w:rPr>
          <w:rStyle w:val="StyleUnderline"/>
        </w:rPr>
        <w:t xml:space="preserve">it is necessary to note that </w:t>
      </w:r>
      <w:r w:rsidRPr="00EC2AE9">
        <w:rPr>
          <w:rStyle w:val="StyleUnderline"/>
          <w:highlight w:val="green"/>
        </w:rPr>
        <w:t>the contested nature of</w:t>
      </w:r>
      <w:r w:rsidRPr="00566277">
        <w:rPr>
          <w:rStyle w:val="StyleUnderline"/>
        </w:rPr>
        <w:t xml:space="preserve"> the </w:t>
      </w:r>
      <w:r w:rsidRPr="00EC2AE9">
        <w:rPr>
          <w:rStyle w:val="StyleUnderline"/>
          <w:highlight w:val="green"/>
        </w:rPr>
        <w:t>space</w:t>
      </w:r>
      <w:r w:rsidRPr="00566277">
        <w:rPr>
          <w:rStyle w:val="StyleUnderline"/>
        </w:rPr>
        <w:t xml:space="preserve"> market as an institution </w:t>
      </w:r>
      <w:r w:rsidRPr="00EC2AE9">
        <w:rPr>
          <w:rStyle w:val="StyleUnderline"/>
          <w:highlight w:val="green"/>
        </w:rPr>
        <w:t>is reflected in</w:t>
      </w:r>
      <w:r w:rsidRPr="00566277">
        <w:rPr>
          <w:rStyle w:val="StyleUnderline"/>
        </w:rPr>
        <w:t xml:space="preserve"> the continuing </w:t>
      </w:r>
      <w:r w:rsidRPr="00EC2AE9">
        <w:rPr>
          <w:rStyle w:val="StyleUnderline"/>
          <w:highlight w:val="green"/>
        </w:rPr>
        <w:t>dialectics between techno-nationalism and</w:t>
      </w:r>
      <w:r w:rsidRPr="00566277">
        <w:rPr>
          <w:rStyle w:val="StyleUnderline"/>
        </w:rPr>
        <w:t xml:space="preserve"> techno-</w:t>
      </w:r>
      <w:r w:rsidRPr="00EC2AE9">
        <w:rPr>
          <w:rStyle w:val="StyleUnderline"/>
          <w:highlight w:val="green"/>
        </w:rPr>
        <w:t>globalism</w:t>
      </w:r>
      <w:r w:rsidRPr="00EF6ED2">
        <w:rPr>
          <w:sz w:val="12"/>
        </w:rPr>
        <w:t xml:space="preserve">. It is commonplace among scholars to argue that Japan and China are two key examples of states that privilege a techno-nationalist approach to technology and innovation, including space technology. But even the United States has not been immune to techno-nationalist impulses. As Weiss (2014) shows, the enduring lead in high technology that the United States still enjoys is largely explained by the creation of not a liberal, but a hybrid political economy, whereby the national security state is interwoven with the commercial sector. NASA, of course, has been a key institution of the national security state since the beginning of the Space Age. But this has also been manifested in its recent efforts to </w:t>
      </w:r>
      <w:proofErr w:type="spellStart"/>
      <w:r w:rsidRPr="00EF6ED2">
        <w:rPr>
          <w:sz w:val="12"/>
        </w:rPr>
        <w:t>catalyse</w:t>
      </w:r>
      <w:proofErr w:type="spellEnd"/>
      <w:r w:rsidRPr="00EF6ED2">
        <w:rPr>
          <w:sz w:val="12"/>
        </w:rPr>
        <w:t xml:space="preserve"> the development of a commercial space industry through inviting competitive innovation (Weiss, 2014: 119-20, 27-8). This leads to the third point to make about how to understand the relationship between techno-nationalism and the space market. Because of the enduring influence of the former, it is tempting to see techno-nationalism as containing the space market (at least for the time being). Clearly, at one level, the space market can be understood as complementary to techno-nationalism in the ever-</w:t>
      </w:r>
      <w:proofErr w:type="spellStart"/>
      <w:r w:rsidRPr="00EF6ED2">
        <w:rPr>
          <w:sz w:val="12"/>
        </w:rPr>
        <w:t>globalising</w:t>
      </w:r>
      <w:proofErr w:type="spellEnd"/>
      <w:r w:rsidRPr="00EF6ED2">
        <w:rPr>
          <w:sz w:val="12"/>
        </w:rPr>
        <w:t xml:space="preserve"> international space society. Yet, at another level, the space market as a solidarist institution is staged as opposed to techno-nationalism. This tension is compounded by the fact that, in many ways, </w:t>
      </w:r>
      <w:r w:rsidRPr="00EC2AE9">
        <w:rPr>
          <w:rStyle w:val="StyleUnderline"/>
          <w:highlight w:val="green"/>
        </w:rPr>
        <w:t>techno-nationalism</w:t>
      </w:r>
      <w:r w:rsidRPr="002E020A">
        <w:rPr>
          <w:rStyle w:val="StyleUnderline"/>
        </w:rPr>
        <w:t xml:space="preserve"> occupies </w:t>
      </w:r>
      <w:r w:rsidRPr="00EC2AE9">
        <w:rPr>
          <w:rStyle w:val="StyleUnderline"/>
          <w:highlight w:val="green"/>
        </w:rPr>
        <w:t>the</w:t>
      </w:r>
      <w:r w:rsidRPr="002E020A">
        <w:rPr>
          <w:rStyle w:val="StyleUnderline"/>
        </w:rPr>
        <w:t xml:space="preserve"> crucial </w:t>
      </w:r>
      <w:r w:rsidRPr="00EC2AE9">
        <w:rPr>
          <w:rStyle w:val="StyleUnderline"/>
          <w:highlight w:val="green"/>
        </w:rPr>
        <w:t>place of national sovereignty and territoriality in</w:t>
      </w:r>
      <w:r w:rsidRPr="002E020A">
        <w:rPr>
          <w:rStyle w:val="StyleUnderline"/>
        </w:rPr>
        <w:t xml:space="preserve"> the sector of </w:t>
      </w:r>
      <w:r w:rsidRPr="00EC2AE9">
        <w:rPr>
          <w:rStyle w:val="StyleUnderline"/>
          <w:highlight w:val="green"/>
        </w:rPr>
        <w:t>space considering</w:t>
      </w:r>
      <w:r w:rsidRPr="002E020A">
        <w:rPr>
          <w:rStyle w:val="StyleUnderline"/>
        </w:rPr>
        <w:t xml:space="preserve"> that </w:t>
      </w:r>
      <w:r w:rsidRPr="00EC2AE9">
        <w:rPr>
          <w:rStyle w:val="StyleUnderline"/>
          <w:highlight w:val="green"/>
        </w:rPr>
        <w:t>sovereignty in international space</w:t>
      </w:r>
      <w:r w:rsidRPr="002E020A">
        <w:rPr>
          <w:rStyle w:val="StyleUnderline"/>
        </w:rPr>
        <w:t xml:space="preserve"> society </w:t>
      </w:r>
      <w:r w:rsidRPr="00EC2AE9">
        <w:rPr>
          <w:rStyle w:val="StyleUnderline"/>
          <w:highlight w:val="green"/>
        </w:rPr>
        <w:t>is</w:t>
      </w:r>
      <w:r w:rsidRPr="002E020A">
        <w:rPr>
          <w:rStyle w:val="StyleUnderline"/>
        </w:rPr>
        <w:t xml:space="preserve"> largely </w:t>
      </w:r>
      <w:r w:rsidRPr="00EC2AE9">
        <w:rPr>
          <w:rStyle w:val="StyleUnderline"/>
          <w:highlight w:val="green"/>
        </w:rPr>
        <w:t>understood in cosmopolitan terms</w:t>
      </w:r>
      <w:r w:rsidRPr="00EF6ED2">
        <w:rPr>
          <w:sz w:val="12"/>
        </w:rPr>
        <w:t xml:space="preserve">. Fourth, in discussing the market as a primary institution, Beeson and Breslin (2014) suggest that it makes more sense to treat the ‘developmental state’ and ‘regional production structures’ as primary institutions in East Asia rather than focusing on the market. This is an important consideration that serves to highlight how the global political economy is underpinned by significant regional derivations. Following from this, although it is apparent that the space market is a key feature of the social structure of international space society, it is possible to say that there are significant regional derivations. Perhaps the best expression of this is the Chinese and Indian variants of postcolonial techno-nationalism that still shape how the two rising Asian space powers relate to the space market. In light of the above, for now, </w:t>
      </w:r>
      <w:r w:rsidRPr="002E020A">
        <w:rPr>
          <w:rStyle w:val="StyleUnderline"/>
        </w:rPr>
        <w:t xml:space="preserve">it seems that </w:t>
      </w:r>
      <w:r w:rsidRPr="00EC2AE9">
        <w:rPr>
          <w:rStyle w:val="StyleUnderline"/>
          <w:highlight w:val="green"/>
        </w:rPr>
        <w:t>there is some</w:t>
      </w:r>
      <w:r w:rsidRPr="002E020A">
        <w:rPr>
          <w:rStyle w:val="StyleUnderline"/>
        </w:rPr>
        <w:t xml:space="preserve"> sort of </w:t>
      </w:r>
      <w:r w:rsidRPr="00EC2AE9">
        <w:rPr>
          <w:rStyle w:val="StyleUnderline"/>
          <w:highlight w:val="green"/>
        </w:rPr>
        <w:t>hierarchy between techno-nationalism and</w:t>
      </w:r>
      <w:r w:rsidRPr="002E020A">
        <w:rPr>
          <w:rStyle w:val="StyleUnderline"/>
        </w:rPr>
        <w:t xml:space="preserve"> the </w:t>
      </w:r>
      <w:r w:rsidRPr="00EC2AE9">
        <w:rPr>
          <w:rStyle w:val="StyleUnderline"/>
          <w:highlight w:val="green"/>
        </w:rPr>
        <w:t>space</w:t>
      </w:r>
      <w:r w:rsidRPr="002E020A">
        <w:rPr>
          <w:rStyle w:val="StyleUnderline"/>
        </w:rPr>
        <w:t xml:space="preserve"> market with the former subsuming the latter</w:t>
      </w:r>
      <w:r w:rsidRPr="00EF6ED2">
        <w:rPr>
          <w:sz w:val="12"/>
        </w:rPr>
        <w:t xml:space="preserve">, </w:t>
      </w:r>
      <w:r w:rsidRPr="00EC2AE9">
        <w:rPr>
          <w:rStyle w:val="Emphasis"/>
          <w:highlight w:val="green"/>
        </w:rPr>
        <w:t xml:space="preserve">especially with regards to space </w:t>
      </w:r>
      <w:proofErr w:type="spellStart"/>
      <w:r w:rsidRPr="00EC2AE9">
        <w:rPr>
          <w:rStyle w:val="Emphasis"/>
          <w:highlight w:val="green"/>
        </w:rPr>
        <w:t>programmes</w:t>
      </w:r>
      <w:proofErr w:type="spellEnd"/>
      <w:r w:rsidRPr="00EC2AE9">
        <w:rPr>
          <w:rStyle w:val="Emphasis"/>
          <w:highlight w:val="green"/>
        </w:rPr>
        <w:t xml:space="preserve"> in a postcolonial context</w:t>
      </w:r>
      <w:r w:rsidRPr="00EF6ED2">
        <w:rPr>
          <w:sz w:val="12"/>
        </w:rPr>
        <w:t xml:space="preserve">. Certainly, the integration of China and India into the global space economy has accelerated over the last decades, but, as we shall see, techno-nationalism is still prominent in the ways in which the two Asian space powers approach space technology. Moreover, </w:t>
      </w:r>
      <w:r w:rsidRPr="002E020A">
        <w:rPr>
          <w:rStyle w:val="StyleUnderline"/>
        </w:rPr>
        <w:t xml:space="preserve">the </w:t>
      </w:r>
      <w:r w:rsidRPr="00EC2AE9">
        <w:rPr>
          <w:rStyle w:val="StyleUnderline"/>
          <w:highlight w:val="green"/>
        </w:rPr>
        <w:t>space</w:t>
      </w:r>
      <w:r w:rsidRPr="002E020A">
        <w:rPr>
          <w:rStyle w:val="StyleUnderline"/>
        </w:rPr>
        <w:t xml:space="preserve"> market </w:t>
      </w:r>
      <w:r w:rsidRPr="00EC2AE9">
        <w:rPr>
          <w:rStyle w:val="StyleUnderline"/>
          <w:highlight w:val="green"/>
        </w:rPr>
        <w:t>remains contested</w:t>
      </w:r>
      <w:r w:rsidRPr="002E020A">
        <w:rPr>
          <w:rStyle w:val="StyleUnderline"/>
        </w:rPr>
        <w:t xml:space="preserve"> as an emerging institution</w:t>
      </w:r>
      <w:r w:rsidRPr="00EF6ED2">
        <w:rPr>
          <w:sz w:val="12"/>
        </w:rPr>
        <w:t xml:space="preserve"> due to the ambiguity embedded in space law regarding space activities carried on by private actors. </w:t>
      </w:r>
      <w:r w:rsidRPr="002E020A">
        <w:rPr>
          <w:rStyle w:val="StyleUnderline"/>
        </w:rPr>
        <w:t xml:space="preserve">This process is </w:t>
      </w:r>
      <w:r w:rsidRPr="00EC2AE9">
        <w:rPr>
          <w:rStyle w:val="StyleUnderline"/>
          <w:highlight w:val="green"/>
        </w:rPr>
        <w:t>further complicated by</w:t>
      </w:r>
      <w:r w:rsidRPr="002E020A">
        <w:rPr>
          <w:rStyle w:val="StyleUnderline"/>
        </w:rPr>
        <w:t xml:space="preserve"> the inherent </w:t>
      </w:r>
      <w:r w:rsidRPr="00EC2AE9">
        <w:rPr>
          <w:rStyle w:val="StyleUnderline"/>
          <w:highlight w:val="green"/>
        </w:rPr>
        <w:t>dual-use</w:t>
      </w:r>
      <w:r w:rsidRPr="002E020A">
        <w:rPr>
          <w:rStyle w:val="StyleUnderline"/>
        </w:rPr>
        <w:t xml:space="preserve"> nature of space </w:t>
      </w:r>
      <w:r w:rsidRPr="00EC2AE9">
        <w:rPr>
          <w:rStyle w:val="StyleUnderline"/>
          <w:highlight w:val="green"/>
        </w:rPr>
        <w:t>technology and the blurring of</w:t>
      </w:r>
      <w:r w:rsidRPr="002E020A">
        <w:rPr>
          <w:rStyle w:val="StyleUnderline"/>
        </w:rPr>
        <w:t xml:space="preserve"> the distinction between the </w:t>
      </w:r>
      <w:r w:rsidRPr="00EC2AE9">
        <w:rPr>
          <w:rStyle w:val="StyleUnderline"/>
          <w:highlight w:val="green"/>
        </w:rPr>
        <w:t>private and public</w:t>
      </w:r>
      <w:r w:rsidRPr="002E020A">
        <w:rPr>
          <w:rStyle w:val="StyleUnderline"/>
        </w:rPr>
        <w:t xml:space="preserve"> realms</w:t>
      </w:r>
      <w:r w:rsidRPr="00EF6ED2">
        <w:rPr>
          <w:sz w:val="12"/>
        </w:rPr>
        <w:t xml:space="preserve"> (Newlove-Eriksson and Eriksson 2013). Environmental Stewardship There is now a burgeoning literature that deals with the relationship between international society and global environmentalism and assesses the extent to which environmental stewardship can be seen as a nascent institution of international society. </w:t>
      </w:r>
      <w:r w:rsidRPr="002E020A">
        <w:rPr>
          <w:rStyle w:val="StyleUnderline"/>
        </w:rPr>
        <w:t xml:space="preserve">Recent </w:t>
      </w:r>
      <w:r w:rsidRPr="00EC2AE9">
        <w:rPr>
          <w:rStyle w:val="StyleUnderline"/>
          <w:highlight w:val="green"/>
        </w:rPr>
        <w:t>efforts</w:t>
      </w:r>
      <w:r w:rsidRPr="0075160E">
        <w:rPr>
          <w:rStyle w:val="StyleUnderline"/>
        </w:rPr>
        <w:t xml:space="preserve"> to</w:t>
      </w:r>
      <w:r w:rsidRPr="002E020A">
        <w:rPr>
          <w:rStyle w:val="StyleUnderline"/>
        </w:rPr>
        <w:t xml:space="preserve"> find ways </w:t>
      </w:r>
      <w:r w:rsidRPr="00EC2AE9">
        <w:rPr>
          <w:rStyle w:val="StyleUnderline"/>
          <w:highlight w:val="green"/>
        </w:rPr>
        <w:t>to mitigate space debris as well as</w:t>
      </w:r>
      <w:r w:rsidRPr="002E020A">
        <w:rPr>
          <w:rStyle w:val="StyleUnderline"/>
        </w:rPr>
        <w:t xml:space="preserve"> to </w:t>
      </w:r>
      <w:r w:rsidRPr="00EC2AE9">
        <w:rPr>
          <w:rStyle w:val="StyleUnderline"/>
          <w:highlight w:val="green"/>
        </w:rPr>
        <w:t>create a normative framework</w:t>
      </w:r>
      <w:r w:rsidRPr="002E020A">
        <w:rPr>
          <w:rStyle w:val="StyleUnderline"/>
        </w:rPr>
        <w:t xml:space="preserve"> for the sustainability of space </w:t>
      </w:r>
      <w:r w:rsidRPr="00EC2AE9">
        <w:rPr>
          <w:rStyle w:val="StyleUnderline"/>
          <w:highlight w:val="green"/>
        </w:rPr>
        <w:t>are illustrative of how</w:t>
      </w:r>
      <w:r w:rsidRPr="002E020A">
        <w:rPr>
          <w:rStyle w:val="StyleUnderline"/>
        </w:rPr>
        <w:t xml:space="preserve"> environmental </w:t>
      </w:r>
      <w:r w:rsidRPr="00EC2AE9">
        <w:rPr>
          <w:rStyle w:val="StyleUnderline"/>
          <w:highlight w:val="green"/>
        </w:rPr>
        <w:t>stewardship is</w:t>
      </w:r>
      <w:r w:rsidRPr="002E020A">
        <w:rPr>
          <w:rStyle w:val="StyleUnderline"/>
        </w:rPr>
        <w:t xml:space="preserve"> gradually </w:t>
      </w:r>
      <w:r w:rsidRPr="00EC2AE9">
        <w:rPr>
          <w:rStyle w:val="StyleUnderline"/>
          <w:highlight w:val="green"/>
        </w:rPr>
        <w:t>becoming an institution in space</w:t>
      </w:r>
      <w:r w:rsidRPr="00EF6ED2">
        <w:rPr>
          <w:sz w:val="12"/>
        </w:rPr>
        <w:t xml:space="preserve">. For example, in 2007, COPUOS adopted the ‘Space Debris Mitigation Guidelines’, which were wrought by the international Inter-Agency Debris Coordination Committee (IADC), consisting of experts from thirteen space agencies (United Nations Office for Outer Space Affairs, 2010). Moreover, as discussed earlier, in 2010, COPUOS formed the Working Group on the Long-term Sustainability of Outer Space Activities. Notably, the European Union proposal for a Code of Conduct for Outer Space also includes provisions on space debris control and mitigation (Council of the European Union, 2008: 9; </w:t>
      </w:r>
      <w:proofErr w:type="spellStart"/>
      <w:r w:rsidRPr="00EF6ED2">
        <w:rPr>
          <w:sz w:val="12"/>
        </w:rPr>
        <w:t>Dickow</w:t>
      </w:r>
      <w:proofErr w:type="spellEnd"/>
      <w:r w:rsidRPr="00EF6ED2">
        <w:rPr>
          <w:sz w:val="12"/>
        </w:rPr>
        <w:t xml:space="preserve">, 2009: 159). Thus, there are grounds for considering environmental stewardship as an emerging institution of international space society. Indeed, </w:t>
      </w:r>
      <w:r w:rsidRPr="002E020A">
        <w:rPr>
          <w:rStyle w:val="StyleUnderline"/>
        </w:rPr>
        <w:t xml:space="preserve">the growing number of </w:t>
      </w:r>
      <w:r w:rsidRPr="00EC2AE9">
        <w:rPr>
          <w:rStyle w:val="StyleUnderline"/>
          <w:highlight w:val="green"/>
        </w:rPr>
        <w:t>governments</w:t>
      </w:r>
      <w:r w:rsidRPr="00EF6ED2">
        <w:rPr>
          <w:sz w:val="12"/>
        </w:rPr>
        <w:t xml:space="preserve">, </w:t>
      </w:r>
      <w:r w:rsidRPr="002E020A">
        <w:rPr>
          <w:rStyle w:val="StyleUnderline"/>
        </w:rPr>
        <w:t xml:space="preserve">private </w:t>
      </w:r>
      <w:r w:rsidRPr="00EC2AE9">
        <w:rPr>
          <w:rStyle w:val="StyleUnderline"/>
          <w:highlight w:val="green"/>
        </w:rPr>
        <w:t>firms</w:t>
      </w:r>
      <w:r w:rsidRPr="00EF6ED2">
        <w:rPr>
          <w:sz w:val="12"/>
        </w:rPr>
        <w:t xml:space="preserve">, </w:t>
      </w:r>
      <w:r w:rsidRPr="00EC2AE9">
        <w:rPr>
          <w:rStyle w:val="StyleUnderline"/>
          <w:highlight w:val="green"/>
        </w:rPr>
        <w:t>and</w:t>
      </w:r>
      <w:r w:rsidRPr="002E020A">
        <w:rPr>
          <w:rStyle w:val="StyleUnderline"/>
        </w:rPr>
        <w:t xml:space="preserve"> non-state </w:t>
      </w:r>
      <w:r w:rsidRPr="00EC2AE9">
        <w:rPr>
          <w:rStyle w:val="StyleUnderline"/>
          <w:highlight w:val="green"/>
        </w:rPr>
        <w:t xml:space="preserve">actors that </w:t>
      </w:r>
      <w:proofErr w:type="spellStart"/>
      <w:r w:rsidRPr="00EC2AE9">
        <w:rPr>
          <w:rStyle w:val="StyleUnderline"/>
          <w:highlight w:val="green"/>
        </w:rPr>
        <w:t>emphasise</w:t>
      </w:r>
      <w:proofErr w:type="spellEnd"/>
      <w:r w:rsidRPr="002E020A">
        <w:rPr>
          <w:rStyle w:val="StyleUnderline"/>
        </w:rPr>
        <w:t xml:space="preserve"> the importance of the </w:t>
      </w:r>
      <w:r w:rsidRPr="00EC2AE9">
        <w:rPr>
          <w:rStyle w:val="StyleUnderline"/>
          <w:highlight w:val="green"/>
        </w:rPr>
        <w:t xml:space="preserve">sustainable </w:t>
      </w:r>
      <w:proofErr w:type="spellStart"/>
      <w:r w:rsidRPr="00EC2AE9">
        <w:rPr>
          <w:rStyle w:val="StyleUnderline"/>
          <w:highlight w:val="green"/>
        </w:rPr>
        <w:t>utilisation</w:t>
      </w:r>
      <w:proofErr w:type="spellEnd"/>
      <w:r w:rsidRPr="00EC2AE9">
        <w:rPr>
          <w:rStyle w:val="StyleUnderline"/>
          <w:highlight w:val="green"/>
        </w:rPr>
        <w:t xml:space="preserve"> of space suggests</w:t>
      </w:r>
      <w:r w:rsidRPr="002E020A">
        <w:rPr>
          <w:rStyle w:val="StyleUnderline"/>
        </w:rPr>
        <w:t xml:space="preserve"> that space sustainability has emerged as </w:t>
      </w:r>
      <w:r w:rsidRPr="00EC2AE9">
        <w:rPr>
          <w:rStyle w:val="StyleUnderline"/>
          <w:highlight w:val="green"/>
        </w:rPr>
        <w:t>a key norm</w:t>
      </w:r>
      <w:r w:rsidRPr="00EF6ED2">
        <w:rPr>
          <w:sz w:val="12"/>
        </w:rPr>
        <w:t xml:space="preserve">. However, what should be noted is that these developments reflect a more pragmatic approach to maintain the space environment sustainable for the effective use of space rather than an expression of cosmopolitan values. Consequently, in the subsequent chapters, rather than examining in detail the engagement of China and India with environmental stewardship as a nascent institution in space, </w:t>
      </w:r>
      <w:r w:rsidRPr="002E020A">
        <w:rPr>
          <w:rStyle w:val="Emphasis"/>
        </w:rPr>
        <w:t xml:space="preserve">the </w:t>
      </w:r>
      <w:r w:rsidRPr="00EC2AE9">
        <w:rPr>
          <w:rStyle w:val="Emphasis"/>
          <w:highlight w:val="green"/>
        </w:rPr>
        <w:t>focus</w:t>
      </w:r>
      <w:r w:rsidRPr="002E020A">
        <w:rPr>
          <w:rStyle w:val="Emphasis"/>
        </w:rPr>
        <w:t xml:space="preserve"> will be </w:t>
      </w:r>
      <w:r w:rsidRPr="00EC2AE9">
        <w:rPr>
          <w:rStyle w:val="Emphasis"/>
          <w:highlight w:val="green"/>
        </w:rPr>
        <w:t>on</w:t>
      </w:r>
      <w:r w:rsidRPr="0075160E">
        <w:rPr>
          <w:rStyle w:val="Emphasis"/>
        </w:rPr>
        <w:t xml:space="preserve"> the</w:t>
      </w:r>
      <w:r w:rsidRPr="002E020A">
        <w:rPr>
          <w:rStyle w:val="Emphasis"/>
        </w:rPr>
        <w:t xml:space="preserve"> emerging </w:t>
      </w:r>
      <w:r w:rsidRPr="0075160E">
        <w:rPr>
          <w:rStyle w:val="Emphasis"/>
        </w:rPr>
        <w:t xml:space="preserve">norm of </w:t>
      </w:r>
      <w:r w:rsidRPr="00EC2AE9">
        <w:rPr>
          <w:rStyle w:val="Emphasis"/>
          <w:highlight w:val="green"/>
        </w:rPr>
        <w:t>space sustainability as a</w:t>
      </w:r>
      <w:r w:rsidRPr="002E020A">
        <w:rPr>
          <w:rStyle w:val="Emphasis"/>
        </w:rPr>
        <w:t xml:space="preserve"> key </w:t>
      </w:r>
      <w:r w:rsidRPr="00EC2AE9">
        <w:rPr>
          <w:rStyle w:val="Emphasis"/>
          <w:highlight w:val="green"/>
        </w:rPr>
        <w:t>great power responsibility in managing international space</w:t>
      </w:r>
      <w:r w:rsidRPr="002E020A">
        <w:rPr>
          <w:rStyle w:val="Emphasis"/>
        </w:rPr>
        <w:t xml:space="preserve"> order</w:t>
      </w:r>
      <w:r w:rsidRPr="00EF6ED2">
        <w:rPr>
          <w:sz w:val="12"/>
        </w:rPr>
        <w:t xml:space="preserve"> and the implications of this development for China and India as aspiring great powers. Concluding Remarks Although it is clear that there are a number of ways of understanding the international politics of space, it may be worth going beyond standard theoretical approaches to understand how order is maintained in space. Drawing on key English School concepts, this chapter suggests that </w:t>
      </w:r>
      <w:r w:rsidRPr="00EC2AE9">
        <w:rPr>
          <w:rStyle w:val="StyleUnderline"/>
          <w:highlight w:val="green"/>
        </w:rPr>
        <w:t xml:space="preserve">it is possible to </w:t>
      </w:r>
      <w:proofErr w:type="spellStart"/>
      <w:r w:rsidRPr="00EC2AE9">
        <w:rPr>
          <w:rStyle w:val="StyleUnderline"/>
          <w:highlight w:val="green"/>
        </w:rPr>
        <w:t>conceptualise</w:t>
      </w:r>
      <w:proofErr w:type="spellEnd"/>
      <w:r w:rsidRPr="00EC2AE9">
        <w:rPr>
          <w:rStyle w:val="StyleUnderline"/>
          <w:highlight w:val="green"/>
        </w:rPr>
        <w:t xml:space="preserve"> space</w:t>
      </w:r>
      <w:r w:rsidRPr="0075160E">
        <w:rPr>
          <w:rStyle w:val="StyleUnderline"/>
        </w:rPr>
        <w:t xml:space="preserve"> not merely as a system</w:t>
      </w:r>
      <w:r w:rsidRPr="00EF6ED2">
        <w:rPr>
          <w:sz w:val="12"/>
        </w:rPr>
        <w:t xml:space="preserve">, </w:t>
      </w:r>
      <w:r w:rsidRPr="0075160E">
        <w:rPr>
          <w:rStyle w:val="StyleUnderline"/>
        </w:rPr>
        <w:t xml:space="preserve">but also </w:t>
      </w:r>
      <w:r w:rsidRPr="00EC2AE9">
        <w:rPr>
          <w:rStyle w:val="StyleUnderline"/>
          <w:highlight w:val="green"/>
        </w:rPr>
        <w:t>as an international society with</w:t>
      </w:r>
      <w:r w:rsidRPr="0075160E">
        <w:rPr>
          <w:rStyle w:val="StyleUnderline"/>
        </w:rPr>
        <w:t xml:space="preserve"> a distinct </w:t>
      </w:r>
      <w:r w:rsidRPr="00EC2AE9">
        <w:rPr>
          <w:rStyle w:val="StyleUnderline"/>
          <w:highlight w:val="green"/>
        </w:rPr>
        <w:t>social structure</w:t>
      </w:r>
      <w:r w:rsidRPr="00EF6ED2">
        <w:rPr>
          <w:sz w:val="12"/>
        </w:rPr>
        <w:t xml:space="preserve">. </w:t>
      </w:r>
      <w:r w:rsidRPr="002E020A">
        <w:rPr>
          <w:rStyle w:val="StyleUnderline"/>
        </w:rPr>
        <w:t xml:space="preserve">This exercise of </w:t>
      </w:r>
      <w:r w:rsidRPr="00EC2AE9">
        <w:rPr>
          <w:rStyle w:val="StyleUnderline"/>
          <w:highlight w:val="green"/>
        </w:rPr>
        <w:t>concept development is important</w:t>
      </w:r>
      <w:r w:rsidRPr="002E020A">
        <w:rPr>
          <w:rStyle w:val="StyleUnderline"/>
        </w:rPr>
        <w:t xml:space="preserve"> both analytically and hermeneutically</w:t>
      </w:r>
      <w:r w:rsidRPr="00EF6ED2">
        <w:rPr>
          <w:sz w:val="12"/>
        </w:rPr>
        <w:t xml:space="preserve">, </w:t>
      </w:r>
      <w:r w:rsidRPr="00EC2AE9">
        <w:rPr>
          <w:rStyle w:val="StyleUnderline"/>
          <w:highlight w:val="green"/>
        </w:rPr>
        <w:t>given</w:t>
      </w:r>
      <w:r w:rsidRPr="002E020A">
        <w:rPr>
          <w:rStyle w:val="StyleUnderline"/>
        </w:rPr>
        <w:t xml:space="preserve"> the notion of </w:t>
      </w:r>
      <w:r w:rsidRPr="00EC2AE9">
        <w:rPr>
          <w:rStyle w:val="StyleUnderline"/>
          <w:highlight w:val="green"/>
        </w:rPr>
        <w:t>an exclusive club of space-faring countries</w:t>
      </w:r>
      <w:r w:rsidRPr="00EF6ED2">
        <w:rPr>
          <w:sz w:val="12"/>
        </w:rPr>
        <w:t xml:space="preserve">. The chapter developed this argument further by highlighting how the nature of outer space as a distinctive sectoral interstate society is manifested in the ways in which its primary institutions are differentiated from such institutions at the global level (space war, space law, cosmopolitan sovereignty, space diplomacy, balance of power, great power management, techno-nationalism, space market, and environmental stewardship) in a historical and comparative context. In doing so, the chapter helps to highlight the constitutive impact of these institutions on the norms that shape the </w:t>
      </w:r>
      <w:proofErr w:type="spellStart"/>
      <w:r w:rsidRPr="00EF6ED2">
        <w:rPr>
          <w:sz w:val="12"/>
        </w:rPr>
        <w:t>behaviour</w:t>
      </w:r>
      <w:proofErr w:type="spellEnd"/>
      <w:r w:rsidRPr="00EF6ED2">
        <w:rPr>
          <w:sz w:val="12"/>
        </w:rPr>
        <w:t xml:space="preserve"> of the space-faring states.</w:t>
      </w:r>
    </w:p>
    <w:p w14:paraId="09F66DD2" w14:textId="429832CF" w:rsidR="00F5623D" w:rsidRDefault="00F5623D" w:rsidP="00F5623D">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p>
    <w:p w14:paraId="4DDFBF98" w14:textId="77777777" w:rsidR="00F5623D" w:rsidRDefault="00F5623D" w:rsidP="00F5623D">
      <w:pPr>
        <w:rPr>
          <w:rStyle w:val="Style13ptBold"/>
        </w:rPr>
      </w:pPr>
      <w:r>
        <w:rPr>
          <w:rStyle w:val="Style13ptBold"/>
        </w:rPr>
        <w:t>Grove ‘19</w:t>
      </w:r>
    </w:p>
    <w:p w14:paraId="1BC60DCD" w14:textId="77777777" w:rsidR="00F5623D" w:rsidRDefault="00F5623D" w:rsidP="00F5623D">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80C3450" w14:textId="77777777" w:rsidR="00F5623D" w:rsidRPr="00C42CA0" w:rsidRDefault="00F5623D" w:rsidP="00F5623D">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273F9570" w14:textId="77777777" w:rsidR="00F5623D" w:rsidRPr="00C42CA0" w:rsidRDefault="00F5623D" w:rsidP="00F5623D">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4D54C241" w14:textId="77777777" w:rsidR="00F5623D" w:rsidRPr="00C42CA0" w:rsidRDefault="00F5623D" w:rsidP="00F5623D">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47AD05EA" w14:textId="77777777" w:rsidR="00F5623D" w:rsidRPr="00C42CA0" w:rsidRDefault="00F5623D" w:rsidP="00F5623D">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53C8B4BA" w14:textId="77777777" w:rsidR="00F5623D" w:rsidRPr="00C42CA0" w:rsidRDefault="00F5623D" w:rsidP="00F5623D">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55CA31CA" w14:textId="77777777" w:rsidR="00F5623D" w:rsidRPr="00C42CA0" w:rsidRDefault="00F5623D" w:rsidP="00F5623D">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48E4F3A4" w14:textId="77777777" w:rsidR="00F5623D" w:rsidRPr="006D3E6E" w:rsidRDefault="00F5623D" w:rsidP="00F5623D">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1263AB94" w14:textId="77777777" w:rsidR="00F5623D" w:rsidRPr="00C42CA0" w:rsidRDefault="00F5623D" w:rsidP="00F5623D">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14BA0DCE" w14:textId="77777777" w:rsidR="00F5623D" w:rsidRPr="00C42CA0" w:rsidRDefault="00F5623D" w:rsidP="00F5623D">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40B064CA" w14:textId="77777777" w:rsidR="00F5623D" w:rsidRPr="00C42CA0" w:rsidRDefault="00F5623D" w:rsidP="00F5623D">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4A1761C3" w14:textId="77777777" w:rsidR="00F5623D" w:rsidRPr="00C42CA0" w:rsidRDefault="00F5623D" w:rsidP="00F5623D">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7E0E6182" w14:textId="77777777" w:rsidR="00F5623D" w:rsidRPr="00C42CA0" w:rsidRDefault="00F5623D" w:rsidP="00F5623D">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08BFB91B" w14:textId="77777777" w:rsidR="00F5623D" w:rsidRPr="00C42CA0" w:rsidRDefault="00F5623D" w:rsidP="00F5623D">
      <w:pPr>
        <w:rPr>
          <w:sz w:val="8"/>
          <w:szCs w:val="8"/>
        </w:rPr>
      </w:pPr>
      <w:r w:rsidRPr="00C42CA0">
        <w:rPr>
          <w:sz w:val="8"/>
          <w:szCs w:val="8"/>
        </w:rPr>
        <w:t>Halberstam says of this queer moment:</w:t>
      </w:r>
    </w:p>
    <w:p w14:paraId="3E2D0478" w14:textId="77777777" w:rsidR="00F5623D" w:rsidRPr="00C42CA0" w:rsidRDefault="00F5623D" w:rsidP="00F5623D">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60114A41" w14:textId="77777777" w:rsidR="00F5623D" w:rsidRDefault="00F5623D" w:rsidP="00F5623D">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125A9794" w14:textId="77777777" w:rsidR="00F5623D" w:rsidRDefault="00F5623D" w:rsidP="00F5623D">
      <w:pPr>
        <w:rPr>
          <w:sz w:val="16"/>
        </w:rPr>
      </w:pPr>
    </w:p>
    <w:p w14:paraId="3875B4D3" w14:textId="77777777" w:rsidR="00F5623D" w:rsidRPr="00C42CA0" w:rsidRDefault="00F5623D" w:rsidP="00F5623D">
      <w:pPr>
        <w:pStyle w:val="Heading4"/>
        <w:rPr>
          <w:u w:val="single"/>
        </w:rPr>
      </w:pPr>
      <w:r>
        <w:t xml:space="preserve">The Role of the Judge is to adopt </w:t>
      </w:r>
      <w:r>
        <w:rPr>
          <w:u w:val="single"/>
        </w:rPr>
        <w:t>martial empiricism</w:t>
      </w:r>
      <w:r w:rsidRPr="00C42CA0">
        <w:t>.</w:t>
      </w:r>
    </w:p>
    <w:p w14:paraId="16A6D500" w14:textId="77777777" w:rsidR="00F5623D" w:rsidRPr="00C45546" w:rsidRDefault="00F5623D" w:rsidP="00F5623D">
      <w:pPr>
        <w:rPr>
          <w:rStyle w:val="Style13ptBold"/>
        </w:rPr>
      </w:pPr>
      <w:r>
        <w:rPr>
          <w:rStyle w:val="Style13ptBold"/>
        </w:rPr>
        <w:t>Bousquet et al ‘20</w:t>
      </w:r>
    </w:p>
    <w:p w14:paraId="19462C61" w14:textId="77777777" w:rsidR="00F5623D" w:rsidRDefault="00F5623D" w:rsidP="00F5623D">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7" w:history="1">
        <w:r w:rsidRPr="00C45546">
          <w:rPr>
            <w:rStyle w:val="Hyperlink"/>
            <w:sz w:val="16"/>
            <w:szCs w:val="16"/>
          </w:rPr>
          <w:t>https://journals.sagepub.com/doi/full/10.1177/0967010619895660</w:t>
        </w:r>
      </w:hyperlink>
      <w:r w:rsidRPr="00C45546">
        <w:rPr>
          <w:sz w:val="16"/>
          <w:szCs w:val="16"/>
        </w:rPr>
        <w:t>] pat</w:t>
      </w:r>
    </w:p>
    <w:p w14:paraId="342154BD" w14:textId="77777777" w:rsidR="00F5623D" w:rsidRPr="0035022E" w:rsidRDefault="00F5623D" w:rsidP="00F5623D">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7DBCA5C8" w14:textId="77777777" w:rsidR="00F5623D" w:rsidRPr="0035022E" w:rsidRDefault="00F5623D" w:rsidP="00F5623D">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0E99F956" w14:textId="77777777" w:rsidR="00F5623D" w:rsidRPr="00F5623D" w:rsidRDefault="00F5623D" w:rsidP="00F5623D"/>
    <w:p w14:paraId="0C1A3684" w14:textId="3F2A786C" w:rsidR="00F5623D" w:rsidRDefault="00F5623D" w:rsidP="00F5623D">
      <w:pPr>
        <w:pStyle w:val="Heading2"/>
      </w:pPr>
      <w:r>
        <w:t>Case</w:t>
      </w:r>
    </w:p>
    <w:p w14:paraId="66B03FBE" w14:textId="394BAAE9" w:rsidR="00F5623D" w:rsidRDefault="00F5623D" w:rsidP="00F5623D">
      <w:pPr>
        <w:pStyle w:val="Heading3"/>
      </w:pPr>
      <w:r>
        <w:t>1NC – Elitism</w:t>
      </w:r>
    </w:p>
    <w:p w14:paraId="0F9B2649" w14:textId="78AB7B4C" w:rsidR="00F5623D" w:rsidRDefault="00F5623D" w:rsidP="00F5623D">
      <w:pPr>
        <w:pStyle w:val="Heading4"/>
      </w:pPr>
      <w:r>
        <w:t xml:space="preserve">Delgado evidence they don’t get to access it because they aren’t the material redistribution of reform being done in this evidence one </w:t>
      </w:r>
      <w:proofErr w:type="spellStart"/>
      <w:r>
        <w:t>its</w:t>
      </w:r>
      <w:proofErr w:type="spellEnd"/>
      <w:r>
        <w:t xml:space="preserve"> about policy action which you don’t defend second its not about space that does nothing to contribute to revolution it is this </w:t>
      </w:r>
      <w:proofErr w:type="spellStart"/>
      <w:r>
        <w:t>defelection</w:t>
      </w:r>
      <w:proofErr w:type="spellEnd"/>
      <w:r>
        <w:t xml:space="preserve"> of the issues on earth onto space that creates pacified narratives resulting in us dying </w:t>
      </w:r>
      <w:proofErr w:type="gramStart"/>
      <w:r>
        <w:t>hear</w:t>
      </w:r>
      <w:proofErr w:type="gramEnd"/>
      <w:r>
        <w:t xml:space="preserve"> but criticizing the </w:t>
      </w:r>
      <w:proofErr w:type="spellStart"/>
      <w:r>
        <w:t>technoicrats</w:t>
      </w:r>
      <w:proofErr w:type="spellEnd"/>
      <w:r>
        <w:t xml:space="preserve"> </w:t>
      </w:r>
      <w:proofErr w:type="spellStart"/>
      <w:r>
        <w:t>outheir</w:t>
      </w:r>
      <w:proofErr w:type="spellEnd"/>
    </w:p>
    <w:p w14:paraId="2E7A4F54" w14:textId="77777777" w:rsidR="00F5623D" w:rsidRDefault="00F5623D" w:rsidP="00F5623D">
      <w:pPr>
        <w:pStyle w:val="Heading4"/>
      </w:pPr>
      <w:r>
        <w:t xml:space="preserve">We don’t disagree that corporate technocrats are bad </w:t>
      </w:r>
    </w:p>
    <w:p w14:paraId="7E80BE7E" w14:textId="77777777" w:rsidR="00062127" w:rsidRDefault="00F5623D" w:rsidP="00F5623D">
      <w:pPr>
        <w:pStyle w:val="Heading4"/>
      </w:pPr>
      <w:r>
        <w:t xml:space="preserve">the world of the alt isn’t where musk gets the colony the distinction is what do we do with the earth on the meantime in the </w:t>
      </w:r>
      <w:r w:rsidR="00062127">
        <w:t xml:space="preserve">chaotic conditions of the </w:t>
      </w:r>
      <w:proofErr w:type="spellStart"/>
      <w:r w:rsidR="00062127">
        <w:t>eurocene</w:t>
      </w:r>
      <w:proofErr w:type="spellEnd"/>
      <w:r>
        <w:t>.</w:t>
      </w:r>
    </w:p>
    <w:p w14:paraId="4A009EF2" w14:textId="2C18F28B" w:rsidR="00F5623D" w:rsidRDefault="00F5623D" w:rsidP="00F5623D">
      <w:pPr>
        <w:pStyle w:val="Heading4"/>
      </w:pPr>
      <w:r>
        <w:t xml:space="preserve">Projecting that the core problem that he is just a space guy he is just a bad robber baron guy pumping bitcoin he tried to coup Bolivia as an </w:t>
      </w:r>
      <w:proofErr w:type="spellStart"/>
      <w:r>
        <w:t>afrikaaners</w:t>
      </w:r>
      <w:proofErr w:type="spellEnd"/>
      <w:r>
        <w:t xml:space="preserve"> and apartheid blood emerald mining think about this in the context of the earth</w:t>
      </w:r>
    </w:p>
    <w:p w14:paraId="19B1DA04" w14:textId="78522B20" w:rsidR="00F5623D" w:rsidRDefault="00F5623D" w:rsidP="00F5623D">
      <w:r>
        <w:t xml:space="preserve">The </w:t>
      </w:r>
      <w:proofErr w:type="spellStart"/>
      <w:r>
        <w:t>eurocene</w:t>
      </w:r>
      <w:proofErr w:type="spellEnd"/>
      <w:r>
        <w:t xml:space="preserve"> is making life on earth uninhabitable</w:t>
      </w:r>
    </w:p>
    <w:p w14:paraId="034D5327" w14:textId="37F77B4B" w:rsidR="00F5623D" w:rsidRDefault="00F5623D" w:rsidP="00F5623D">
      <w:r>
        <w:t>Their incapacity to grapple with that question means that their view of space elitism is a deflection of problems in space</w:t>
      </w:r>
    </w:p>
    <w:p w14:paraId="2C41B00F" w14:textId="039442AE" w:rsidR="00F5623D" w:rsidRDefault="00F5623D" w:rsidP="00F5623D">
      <w:r>
        <w:t>Private exploitation on space</w:t>
      </w:r>
    </w:p>
    <w:p w14:paraId="69CECD6C" w14:textId="5D8F3759" w:rsidR="00F5623D" w:rsidRDefault="00F5623D" w:rsidP="00F5623D">
      <w:r>
        <w:t xml:space="preserve">Space colonization doesn’t make worse anything that </w:t>
      </w:r>
      <w:proofErr w:type="spellStart"/>
      <w:r>
        <w:t>doens</w:t>
      </w:r>
      <w:proofErr w:type="spellEnd"/>
      <w:r>
        <w:t xml:space="preserve"> t prior exist with the </w:t>
      </w:r>
      <w:proofErr w:type="spellStart"/>
      <w:r>
        <w:t>eurocene</w:t>
      </w:r>
      <w:proofErr w:type="spellEnd"/>
    </w:p>
    <w:p w14:paraId="5A4B4385" w14:textId="73FC70BC" w:rsidR="00F5623D" w:rsidRDefault="00F5623D" w:rsidP="00F5623D">
      <w:proofErr w:type="spellStart"/>
      <w:r>
        <w:t>Havecroft</w:t>
      </w:r>
      <w:proofErr w:type="spellEnd"/>
      <w:r>
        <w:t xml:space="preserve"> </w:t>
      </w:r>
      <w:proofErr w:type="spellStart"/>
      <w:r>
        <w:t>duval</w:t>
      </w:r>
      <w:proofErr w:type="spellEnd"/>
      <w:r>
        <w:t xml:space="preserve"> – states do these </w:t>
      </w:r>
      <w:proofErr w:type="gramStart"/>
      <w:r>
        <w:t>fucked</w:t>
      </w:r>
      <w:proofErr w:type="gramEnd"/>
      <w:r>
        <w:t xml:space="preserve"> up things in space</w:t>
      </w:r>
    </w:p>
    <w:p w14:paraId="367DDA54" w14:textId="375D2A9A" w:rsidR="00F5623D" w:rsidRDefault="00F5623D" w:rsidP="00F5623D">
      <w:r>
        <w:t xml:space="preserve"> In the era of </w:t>
      </w:r>
      <w:proofErr w:type="gramStart"/>
      <w:r>
        <w:t>late stage</w:t>
      </w:r>
      <w:proofErr w:type="gramEnd"/>
      <w:r>
        <w:t xml:space="preserve"> capitalism the line between public and private</w:t>
      </w:r>
    </w:p>
    <w:p w14:paraId="0C3822E6" w14:textId="559D6CDC" w:rsidR="00F5623D" w:rsidRDefault="00F5623D" w:rsidP="00F5623D">
      <w:r>
        <w:t xml:space="preserve">Only the alt can </w:t>
      </w:r>
      <w:proofErr w:type="spellStart"/>
      <w:r>
        <w:t>rescuperate</w:t>
      </w:r>
      <w:proofErr w:type="spellEnd"/>
      <w:r>
        <w:t xml:space="preserve"> </w:t>
      </w:r>
      <w:proofErr w:type="gramStart"/>
      <w:r>
        <w:t>ourselves</w:t>
      </w:r>
      <w:proofErr w:type="gramEnd"/>
      <w:r>
        <w:t xml:space="preserve"> in the face of </w:t>
      </w:r>
      <w:proofErr w:type="spellStart"/>
      <w:r>
        <w:t>caollapse</w:t>
      </w:r>
      <w:proofErr w:type="spellEnd"/>
      <w:r>
        <w:t xml:space="preserve"> by being together through international question</w:t>
      </w:r>
    </w:p>
    <w:p w14:paraId="13662764" w14:textId="6941A7D5" w:rsidR="00F5623D" w:rsidRDefault="00F5623D" w:rsidP="00F5623D">
      <w:r>
        <w:t>Uniqueness question frames this debate</w:t>
      </w:r>
    </w:p>
    <w:p w14:paraId="16D0959C" w14:textId="2A57CBCE" w:rsidR="00F5623D" w:rsidRPr="00F5623D" w:rsidRDefault="00F5623D" w:rsidP="00F5623D">
      <w:r>
        <w:t xml:space="preserve">Stopping space colonization doesn’t stop </w:t>
      </w:r>
      <w:proofErr w:type="spellStart"/>
      <w:r>
        <w:t>eurocene</w:t>
      </w:r>
      <w:proofErr w:type="spellEnd"/>
      <w:r>
        <w:t xml:space="preserve"> but we </w:t>
      </w:r>
      <w:proofErr w:type="spellStart"/>
      <w:r>
        <w:t>defienelty</w:t>
      </w:r>
      <w:proofErr w:type="spellEnd"/>
      <w:r>
        <w:t xml:space="preserve"> collapse </w:t>
      </w:r>
      <w:proofErr w:type="spellStart"/>
      <w:r>
        <w:t>eurocene</w:t>
      </w:r>
      <w:proofErr w:type="spellEnd"/>
      <w:r>
        <w:t xml:space="preserve"> which solves that</w:t>
      </w:r>
    </w:p>
    <w:p w14:paraId="1C5C2C06" w14:textId="59C1F64D" w:rsidR="00F5623D" w:rsidRDefault="00F5623D" w:rsidP="00F5623D">
      <w:pPr>
        <w:pStyle w:val="Heading3"/>
      </w:pPr>
      <w:r>
        <w:t xml:space="preserve">1NC – </w:t>
      </w:r>
      <w:r>
        <w:t>Debris</w:t>
      </w:r>
    </w:p>
    <w:p w14:paraId="1711ACF6" w14:textId="77777777" w:rsidR="00F5623D" w:rsidRDefault="00F5623D" w:rsidP="00F5623D">
      <w:pPr>
        <w:pStyle w:val="Heading4"/>
      </w:pPr>
      <w:r>
        <w:t>Companies have profit incentive to protect themselves from Debris which means debris isn’t caused by private entities Westside reads blue</w:t>
      </w:r>
    </w:p>
    <w:p w14:paraId="1C25177C" w14:textId="77777777" w:rsidR="00F5623D" w:rsidRDefault="00F5623D" w:rsidP="00F5623D">
      <w:r>
        <w:rPr>
          <w:rStyle w:val="Style13ptBold"/>
        </w:rPr>
        <w:t>Shah 20</w:t>
      </w:r>
      <w:r>
        <w:t xml:space="preserve"> – </w:t>
      </w:r>
      <w:proofErr w:type="spellStart"/>
      <w:r>
        <w:t>Sachin</w:t>
      </w:r>
      <w:proofErr w:type="spellEnd"/>
      <w:r>
        <w:t xml:space="preserve">, 8/30/20, [“Aug 30 The International Legal Regulation of Space Debris,” CORNELL UNDERGRADUATE LAW &amp; SOCIETY REVIEW, Administrative, Policy, Technology, </w:t>
      </w:r>
      <w:hyperlink r:id="rId8" w:history="1">
        <w:r>
          <w:rPr>
            <w:rStyle w:val="Hyperlink"/>
            <w:color w:val="000000"/>
            <w:u w:val="single"/>
          </w:rPr>
          <w:t>https://www.culsr.org/articles/the-international-legal-regulation-of-space-debris</w:t>
        </w:r>
      </w:hyperlink>
      <w:r>
        <w:t>] Justin</w:t>
      </w:r>
    </w:p>
    <w:p w14:paraId="5602B9C6" w14:textId="77777777" w:rsidR="00F5623D" w:rsidRPr="006932F4" w:rsidRDefault="00F5623D" w:rsidP="00F5623D">
      <w:r>
        <w:rPr>
          <w:sz w:val="16"/>
        </w:rPr>
        <w:t xml:space="preserve">Although there do exist </w:t>
      </w:r>
      <w:r>
        <w:rPr>
          <w:u w:val="single"/>
        </w:rPr>
        <w:t xml:space="preserve">international laws and regulations governing the use of space for </w:t>
      </w:r>
      <w:r>
        <w:rPr>
          <w:rStyle w:val="Emphasis"/>
        </w:rPr>
        <w:t>states and governmental entities</w:t>
      </w:r>
      <w:r>
        <w:rPr>
          <w:sz w:val="16"/>
        </w:rPr>
        <w:t xml:space="preserve"> (albeit weak ones), </w:t>
      </w:r>
      <w:r>
        <w:rPr>
          <w:u w:val="single"/>
        </w:rPr>
        <w:t xml:space="preserve">the </w:t>
      </w:r>
      <w:r>
        <w:rPr>
          <w:highlight w:val="green"/>
          <w:u w:val="single"/>
        </w:rPr>
        <w:t>private enterprises</w:t>
      </w:r>
      <w:r>
        <w:rPr>
          <w:u w:val="single"/>
        </w:rPr>
        <w:t xml:space="preserve"> sending objects into space are </w:t>
      </w:r>
      <w:r>
        <w:rPr>
          <w:rStyle w:val="Emphasis"/>
          <w:highlight w:val="green"/>
        </w:rPr>
        <w:t>subject to</w:t>
      </w:r>
      <w:r>
        <w:rPr>
          <w:rStyle w:val="Emphasis"/>
        </w:rPr>
        <w:t xml:space="preserve"> even </w:t>
      </w:r>
      <w:r>
        <w:rPr>
          <w:rStyle w:val="Emphasis"/>
          <w:highlight w:val="green"/>
        </w:rPr>
        <w:t xml:space="preserve">less </w:t>
      </w:r>
      <w:r>
        <w:rPr>
          <w:rStyle w:val="Emphasis"/>
        </w:rPr>
        <w:t xml:space="preserve">stringent </w:t>
      </w:r>
      <w:r>
        <w:rPr>
          <w:rStyle w:val="Emphasis"/>
          <w:highlight w:val="green"/>
        </w:rPr>
        <w:t>regulations</w:t>
      </w:r>
      <w:r>
        <w:rPr>
          <w:rStyle w:val="Emphasis"/>
        </w:rPr>
        <w:t xml:space="preserve"> than states are</w:t>
      </w:r>
      <w:r>
        <w:rPr>
          <w:u w:val="single"/>
        </w:rPr>
        <w:t>. SpaceX</w:t>
      </w:r>
      <w:r>
        <w:rPr>
          <w:sz w:val="16"/>
        </w:rPr>
        <w:t xml:space="preserve">, for example, to </w:t>
      </w:r>
      <w:r>
        <w:rPr>
          <w:u w:val="single"/>
        </w:rPr>
        <w:t>authorize</w:t>
      </w:r>
      <w:r>
        <w:rPr>
          <w:sz w:val="16"/>
        </w:rPr>
        <w:t xml:space="preserve"> their </w:t>
      </w:r>
      <w:r>
        <w:rPr>
          <w:u w:val="single"/>
        </w:rPr>
        <w:t xml:space="preserve">sending of 42,000 </w:t>
      </w:r>
      <w:proofErr w:type="spellStart"/>
      <w:r>
        <w:rPr>
          <w:u w:val="single"/>
        </w:rPr>
        <w:t>Starlink</w:t>
      </w:r>
      <w:proofErr w:type="spellEnd"/>
      <w:r>
        <w:rPr>
          <w:u w:val="single"/>
        </w:rPr>
        <w:t xml:space="preserve"> satellites into orbit, only had to submit paperwork to the U.S. Federal Communications Commission</w:t>
      </w:r>
      <w:r>
        <w:rPr>
          <w:sz w:val="16"/>
        </w:rPr>
        <w:t xml:space="preserve"> (FCC) </w:t>
      </w:r>
      <w:r>
        <w:rPr>
          <w:u w:val="single"/>
        </w:rPr>
        <w:t>and the International Telecommunication Union</w:t>
      </w:r>
      <w:r>
        <w:rPr>
          <w:sz w:val="16"/>
        </w:rPr>
        <w:t xml:space="preserve"> (ITU). [12] Paul Larsen posits that, </w:t>
      </w:r>
      <w:r>
        <w:rPr>
          <w:u w:val="single"/>
        </w:rPr>
        <w:t xml:space="preserve">in the face of less stringent regulations, nongovernmental satellite </w:t>
      </w:r>
      <w:r>
        <w:rPr>
          <w:highlight w:val="green"/>
          <w:u w:val="single"/>
        </w:rPr>
        <w:t xml:space="preserve">companies </w:t>
      </w:r>
      <w:r>
        <w:rPr>
          <w:rStyle w:val="Emphasis"/>
          <w:highlight w:val="green"/>
        </w:rPr>
        <w:t xml:space="preserve">send </w:t>
      </w:r>
      <w:r>
        <w:rPr>
          <w:rStyle w:val="Emphasis"/>
        </w:rPr>
        <w:t xml:space="preserve">many </w:t>
      </w:r>
      <w:r>
        <w:rPr>
          <w:rStyle w:val="Emphasis"/>
          <w:highlight w:val="green"/>
        </w:rPr>
        <w:t>satellites</w:t>
      </w:r>
      <w:r>
        <w:rPr>
          <w:rStyle w:val="Emphasis"/>
        </w:rPr>
        <w:t xml:space="preserve"> into orbit in order </w:t>
      </w:r>
      <w:r>
        <w:rPr>
          <w:rStyle w:val="Emphasis"/>
          <w:highlight w:val="green"/>
        </w:rPr>
        <w:t xml:space="preserve">to maximize </w:t>
      </w:r>
      <w:r>
        <w:rPr>
          <w:rStyle w:val="Emphasis"/>
        </w:rPr>
        <w:t xml:space="preserve">their </w:t>
      </w:r>
      <w:r>
        <w:rPr>
          <w:rStyle w:val="Emphasis"/>
          <w:highlight w:val="green"/>
        </w:rPr>
        <w:t>profit</w:t>
      </w:r>
      <w:r>
        <w:rPr>
          <w:rStyle w:val="Emphasis"/>
        </w:rPr>
        <w:t>, which is their primary objective</w:t>
      </w:r>
      <w:r>
        <w:rPr>
          <w:sz w:val="16"/>
        </w:rPr>
        <w:t xml:space="preserve">. </w:t>
      </w:r>
      <w:r w:rsidRPr="006932F4">
        <w:t>Unlike the vaguene</w:t>
      </w:r>
      <w:r w:rsidRPr="0010202E">
        <w:t xml:space="preserve">ss and lack of enforcement that came with written law (which is apparent in the Outer Space Treaty), the unwritten </w:t>
      </w:r>
      <w:r w:rsidRPr="006932F4">
        <w:rPr>
          <w:highlight w:val="cyan"/>
        </w:rPr>
        <w:t xml:space="preserve">market-oriented incentives </w:t>
      </w:r>
      <w:r w:rsidRPr="0010202E">
        <w:t xml:space="preserve">for profit by large-scale satellite providers and operators </w:t>
      </w:r>
      <w:r w:rsidRPr="006932F4">
        <w:rPr>
          <w:highlight w:val="cyan"/>
        </w:rPr>
        <w:t xml:space="preserve">provide a reason </w:t>
      </w:r>
      <w:r w:rsidRPr="005B151F">
        <w:t xml:space="preserve">for actors </w:t>
      </w:r>
      <w:r w:rsidRPr="006932F4">
        <w:rPr>
          <w:highlight w:val="cyan"/>
        </w:rPr>
        <w:t>to mitigate space debris in orbit around Earth</w:t>
      </w:r>
      <w:r w:rsidRPr="006932F4">
        <w:t xml:space="preserve">. </w:t>
      </w:r>
      <w:r w:rsidRPr="006932F4">
        <w:rPr>
          <w:highlight w:val="cyan"/>
        </w:rPr>
        <w:t xml:space="preserve">Larsen states </w:t>
      </w:r>
      <w:r w:rsidRPr="0010202E">
        <w:t xml:space="preserve">that </w:t>
      </w:r>
      <w:r w:rsidRPr="006932F4">
        <w:rPr>
          <w:highlight w:val="cyan"/>
        </w:rPr>
        <w:t>“They have huge sums of money invested in each satellite</w:t>
      </w:r>
      <w:r w:rsidRPr="006932F4">
        <w:t xml:space="preserve">, perhaps as much as a half-billion dollars, when all costs are included. Loss of one satellite is a major </w:t>
      </w:r>
      <w:r w:rsidRPr="0010202E">
        <w:t xml:space="preserve">event. They want their </w:t>
      </w:r>
      <w:r w:rsidRPr="005B151F">
        <w:t>assets to be safe.” [13] Thus, these satellite companies have a major stake in space traffic management and their</w:t>
      </w:r>
      <w:r w:rsidRPr="006932F4">
        <w:rPr>
          <w:highlight w:val="cyan"/>
        </w:rPr>
        <w:t xml:space="preserve"> market incentives do a better job of mitigating space debris than</w:t>
      </w:r>
      <w:r w:rsidRPr="006932F4">
        <w:t xml:space="preserve"> the existing </w:t>
      </w:r>
      <w:r w:rsidRPr="006932F4">
        <w:rPr>
          <w:highlight w:val="cyan"/>
        </w:rPr>
        <w:t>legal regulation does</w:t>
      </w:r>
      <w:r w:rsidRPr="006932F4">
        <w:t xml:space="preserve">. The company SpaceX, as mentioned above, plans to send 42,000 satellites into space. </w:t>
      </w:r>
      <w:r w:rsidRPr="006932F4">
        <w:rPr>
          <w:sz w:val="16"/>
          <w:szCs w:val="16"/>
        </w:rPr>
        <w:t>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24D0A3AF" w14:textId="158D3C63" w:rsidR="00062127" w:rsidRDefault="00062127" w:rsidP="00F5623D">
      <w:pPr>
        <w:pStyle w:val="Heading4"/>
        <w:spacing w:before="0"/>
      </w:pPr>
      <w:r>
        <w:t xml:space="preserve">No distinction between public and private considering NASA contracts </w:t>
      </w:r>
      <w:proofErr w:type="spellStart"/>
      <w:r>
        <w:t>comapnies</w:t>
      </w:r>
      <w:proofErr w:type="spellEnd"/>
    </w:p>
    <w:p w14:paraId="1AF8AB98" w14:textId="212BB522" w:rsidR="00F5623D" w:rsidRDefault="00F5623D" w:rsidP="00F5623D">
      <w:pPr>
        <w:pStyle w:val="Heading4"/>
        <w:spacing w:before="0"/>
      </w:pPr>
      <w:r>
        <w:t xml:space="preserve">Their models are old and don’t assume appropriate </w:t>
      </w:r>
      <w:r>
        <w:rPr>
          <w:u w:val="single"/>
        </w:rPr>
        <w:t>solar activity decay</w:t>
      </w:r>
      <w:r>
        <w:t xml:space="preserve"> – debris is stable </w:t>
      </w:r>
    </w:p>
    <w:p w14:paraId="50DBA7B5" w14:textId="77777777" w:rsidR="00F5623D" w:rsidRPr="001D167A" w:rsidRDefault="00F5623D" w:rsidP="00F5623D">
      <w:r>
        <w:rPr>
          <w:b/>
          <w:bCs/>
        </w:rPr>
        <w:t xml:space="preserve">Wang and Liu 19 </w:t>
      </w:r>
      <w:r>
        <w:t xml:space="preserve">– </w:t>
      </w:r>
      <w:r w:rsidRPr="001D167A">
        <w:t>Advances in Astronomy</w:t>
      </w:r>
      <w:r>
        <w:rPr>
          <w:b/>
          <w:bCs/>
        </w:rPr>
        <w:t xml:space="preserve"> </w:t>
      </w:r>
      <w:r>
        <w:t>(Xiao-</w:t>
      </w:r>
      <w:proofErr w:type="spellStart"/>
      <w:r>
        <w:t>wei</w:t>
      </w:r>
      <w:proofErr w:type="spellEnd"/>
      <w:r>
        <w:t xml:space="preserve"> and Jing, PhDs, </w:t>
      </w:r>
      <w:r w:rsidRPr="001D167A">
        <w:t>National Astronomical Observatories, Chinese Academy of Sciences</w:t>
      </w:r>
      <w:r>
        <w:t>, “</w:t>
      </w:r>
      <w:r w:rsidRPr="001D167A">
        <w:t>An Introduction to a New Space Debris Evolution Model: SOLEM</w:t>
      </w:r>
      <w:r>
        <w:t xml:space="preserve">”, </w:t>
      </w:r>
      <w:r w:rsidRPr="001D167A">
        <w:t>https://www.hindawi.com/journals/aa/2019/2738276/</w:t>
      </w:r>
      <w:r>
        <w:t>)</w:t>
      </w:r>
    </w:p>
    <w:p w14:paraId="15BD9B28" w14:textId="77777777" w:rsidR="00F5623D" w:rsidRPr="00B11D0E" w:rsidRDefault="00F5623D" w:rsidP="00F5623D">
      <w:pPr>
        <w:rPr>
          <w:sz w:val="8"/>
        </w:rPr>
      </w:pPr>
      <w:r w:rsidRPr="0010202E">
        <w:rPr>
          <w:sz w:val="8"/>
        </w:rPr>
        <w:t xml:space="preserve">1. Introduction </w:t>
      </w:r>
      <w:r w:rsidRPr="0010202E">
        <w:rPr>
          <w:rStyle w:val="StyleUnderline"/>
        </w:rPr>
        <w:t>During the past decades, the number of space objects has been growing rapidly</w:t>
      </w:r>
      <w:r w:rsidRPr="0010202E">
        <w:rPr>
          <w:sz w:val="8"/>
        </w:rPr>
        <w:t xml:space="preserve">. Until now, the cataloged in-orbit space objects number has reached about 24,000, about 19000 of which are publicly listed at Space Track [1]. </w:t>
      </w:r>
      <w:proofErr w:type="spellStart"/>
      <w:r w:rsidRPr="0010202E">
        <w:rPr>
          <w:sz w:val="8"/>
        </w:rPr>
        <w:t>Uncataloged</w:t>
      </w:r>
      <w:proofErr w:type="spellEnd"/>
      <w:r w:rsidRPr="0010202E">
        <w:rPr>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In order to check and quantify the effectiveness of mitigation measures on controlling the growth of space debris in future, many space debris evolution models are established and compared to study the long-term stability of the future space environment. </w:t>
      </w:r>
      <w:r w:rsidRPr="0010202E">
        <w:rPr>
          <w:rStyle w:val="StyleUnderline"/>
        </w:rPr>
        <w:t>At present, the well-known space debris evolution models</w:t>
      </w:r>
      <w:r w:rsidRPr="00B11D0E">
        <w:rPr>
          <w:rStyle w:val="StyleUnderline"/>
        </w:rPr>
        <w:t xml:space="preserve"> mainly include the LEGEND model from National Aeronautics and Space Administration</w:t>
      </w:r>
      <w:r w:rsidRPr="00B11D0E">
        <w:rPr>
          <w:sz w:val="8"/>
        </w:rPr>
        <w:t xml:space="preserve"> (NASA) [3], DAMAGE model from United Kingdom Space Agency (UKSA) [4], MEDEE model from Centre National </w:t>
      </w:r>
      <w:proofErr w:type="spellStart"/>
      <w:r w:rsidRPr="00B11D0E">
        <w:rPr>
          <w:sz w:val="8"/>
        </w:rPr>
        <w:t>d’Etudes</w:t>
      </w:r>
      <w:proofErr w:type="spellEnd"/>
      <w:r w:rsidRPr="00B11D0E">
        <w:rPr>
          <w:sz w:val="8"/>
        </w:rPr>
        <w:t xml:space="preserve"> </w:t>
      </w:r>
      <w:proofErr w:type="spellStart"/>
      <w:r w:rsidRPr="00B11D0E">
        <w:rPr>
          <w:sz w:val="8"/>
        </w:rPr>
        <w:t>Spatiales</w:t>
      </w:r>
      <w:proofErr w:type="spellEnd"/>
      <w:r w:rsidRPr="00B11D0E">
        <w:rPr>
          <w:sz w:val="8"/>
        </w:rPr>
        <w:t xml:space="preserve"> (CNES) [5], DELTA model from European Space Agency (ESA) [6], LUCA model from </w:t>
      </w:r>
      <w:proofErr w:type="spellStart"/>
      <w:r w:rsidRPr="00B11D0E">
        <w:rPr>
          <w:sz w:val="8"/>
        </w:rPr>
        <w:t>Technische</w:t>
      </w:r>
      <w:proofErr w:type="spellEnd"/>
      <w:r w:rsidRPr="00B11D0E">
        <w:rPr>
          <w:sz w:val="8"/>
        </w:rPr>
        <w:t xml:space="preserve"> Universität Braunschweig [7], and NEODEEM model from Kyushu University and the Japan Aerospace Exploration Agency (JAXA</w:t>
      </w:r>
      <w:proofErr w:type="gramStart"/>
      <w:r w:rsidRPr="00B11D0E">
        <w:rPr>
          <w:sz w:val="8"/>
        </w:rPr>
        <w:t>)[</w:t>
      </w:r>
      <w:proofErr w:type="gramEnd"/>
      <w:r w:rsidRPr="00B11D0E">
        <w:rPr>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B11D0E">
        <w:rPr>
          <w:rStyle w:val="StyleUnderline"/>
        </w:rPr>
        <w:t>SOLEM (Space Objects Long-term Evolution Model) is a Low Earth Orbit (LEO) space debris long-term evolution model established by China</w:t>
      </w:r>
      <w:r w:rsidRPr="00B11D0E">
        <w:rPr>
          <w:sz w:val="8"/>
        </w:rPr>
        <w:t xml:space="preserve">. It has participated in the joint </w:t>
      </w:r>
      <w:proofErr w:type="gramStart"/>
      <w:r w:rsidRPr="00B11D0E">
        <w:rPr>
          <w:sz w:val="8"/>
        </w:rPr>
        <w:t>researches</w:t>
      </w:r>
      <w:proofErr w:type="gramEnd"/>
      <w:r w:rsidRPr="00B11D0E">
        <w:rPr>
          <w:sz w:val="8"/>
        </w:rPr>
        <w:t xml:space="preserve"> of IADC as a representative of China National Space Administration (CNSA). </w:t>
      </w:r>
      <w:r w:rsidRPr="00CF64E7">
        <w:rPr>
          <w:rStyle w:val="StyleUnderline"/>
          <w:highlight w:val="yellow"/>
        </w:rPr>
        <w:t xml:space="preserve">SOLEM is capable of predicting </w:t>
      </w:r>
      <w:r w:rsidRPr="005B151F">
        <w:rPr>
          <w:rStyle w:val="StyleUnderline"/>
        </w:rPr>
        <w:t xml:space="preserve">the </w:t>
      </w:r>
      <w:r w:rsidRPr="005B151F">
        <w:rPr>
          <w:rStyle w:val="Emphasis"/>
        </w:rPr>
        <w:t xml:space="preserve">number </w:t>
      </w:r>
      <w:r w:rsidRPr="00CF64E7">
        <w:rPr>
          <w:rStyle w:val="Emphasis"/>
          <w:highlight w:val="yellow"/>
        </w:rPr>
        <w:t>evolution trends of space debris</w:t>
      </w:r>
      <w:r w:rsidRPr="00CF64E7">
        <w:rPr>
          <w:sz w:val="8"/>
          <w:highlight w:val="yellow"/>
        </w:rPr>
        <w:t>,</w:t>
      </w:r>
      <w:r w:rsidRPr="00B11D0E">
        <w:rPr>
          <w:sz w:val="8"/>
        </w:rPr>
        <w:t xml:space="preserve"> </w:t>
      </w:r>
      <w:r w:rsidRPr="00CF64E7">
        <w:rPr>
          <w:rStyle w:val="StyleUnderline"/>
          <w:highlight w:val="yellow"/>
        </w:rPr>
        <w:t xml:space="preserve">estimating the </w:t>
      </w:r>
      <w:r w:rsidRPr="00CF64E7">
        <w:rPr>
          <w:rStyle w:val="Emphasis"/>
          <w:highlight w:val="yellow"/>
        </w:rPr>
        <w:t>rate of collision</w:t>
      </w:r>
      <w:r w:rsidRPr="00CF64E7">
        <w:rPr>
          <w:sz w:val="8"/>
          <w:highlight w:val="yellow"/>
        </w:rPr>
        <w:t xml:space="preserve"> </w:t>
      </w:r>
      <w:r w:rsidRPr="00561818">
        <w:rPr>
          <w:rStyle w:val="StyleUnderline"/>
        </w:rPr>
        <w:t>events</w:t>
      </w:r>
      <w:r w:rsidRPr="00B11D0E">
        <w:rPr>
          <w:rStyle w:val="StyleUnderline"/>
        </w:rPr>
        <w:t xml:space="preserve"> of space objects during the evolution in future, </w:t>
      </w:r>
      <w:r w:rsidRPr="00CF64E7">
        <w:rPr>
          <w:rStyle w:val="StyleUnderline"/>
          <w:highlight w:val="yellow"/>
        </w:rPr>
        <w:t>a</w:t>
      </w:r>
      <w:r w:rsidRPr="00261126">
        <w:rPr>
          <w:rStyle w:val="StyleUnderline"/>
          <w:highlight w:val="yellow"/>
        </w:rPr>
        <w:t>nd ana</w:t>
      </w:r>
      <w:r w:rsidRPr="00CF64E7">
        <w:rPr>
          <w:rStyle w:val="StyleUnderline"/>
          <w:highlight w:val="yellow"/>
        </w:rPr>
        <w:t>lyzing</w:t>
      </w:r>
      <w:r w:rsidRPr="00B11D0E">
        <w:rPr>
          <w:rStyle w:val="StyleUnderline"/>
        </w:rPr>
        <w:t xml:space="preserve"> the effects of different </w:t>
      </w:r>
      <w:r w:rsidRPr="00B11D0E">
        <w:rPr>
          <w:rStyle w:val="Emphasis"/>
        </w:rPr>
        <w:t>mitigation and remediation measures</w:t>
      </w:r>
      <w:r w:rsidRPr="00B11D0E">
        <w:rPr>
          <w:sz w:val="8"/>
        </w:rPr>
        <w:t xml:space="preserve"> </w:t>
      </w:r>
      <w:r w:rsidRPr="00B11D0E">
        <w:rPr>
          <w:rStyle w:val="StyleUnderline"/>
        </w:rPr>
        <w:t>or</w:t>
      </w:r>
      <w:r w:rsidRPr="00B11D0E">
        <w:rPr>
          <w:sz w:val="8"/>
        </w:rPr>
        <w:t xml:space="preserve"> other potential </w:t>
      </w:r>
      <w:r w:rsidRPr="00CF64E7">
        <w:rPr>
          <w:rStyle w:val="Emphasis"/>
          <w:highlight w:val="yellow"/>
        </w:rPr>
        <w:t xml:space="preserve">uncertainties </w:t>
      </w:r>
      <w:r w:rsidRPr="00561818">
        <w:rPr>
          <w:rStyle w:val="Emphasis"/>
        </w:rPr>
        <w:t>on the long-term evolution</w:t>
      </w:r>
      <w:r w:rsidRPr="00561818">
        <w:rPr>
          <w:sz w:val="8"/>
        </w:rPr>
        <w:t xml:space="preserve"> of space debris. </w:t>
      </w:r>
      <w:r w:rsidRPr="00561818">
        <w:rPr>
          <w:rStyle w:val="StyleUnderline"/>
        </w:rPr>
        <w:t xml:space="preserve">The reliability of </w:t>
      </w:r>
      <w:r w:rsidRPr="00CF64E7">
        <w:rPr>
          <w:rStyle w:val="StyleUnderline"/>
          <w:highlight w:val="yellow"/>
        </w:rPr>
        <w:t xml:space="preserve">SOLEM has been </w:t>
      </w:r>
      <w:r w:rsidRPr="00CF64E7">
        <w:rPr>
          <w:rStyle w:val="Emphasis"/>
          <w:highlight w:val="yellow"/>
        </w:rPr>
        <w:t>validated</w:t>
      </w:r>
      <w:r w:rsidRPr="00B11D0E">
        <w:rPr>
          <w:rStyle w:val="StyleUnderline"/>
        </w:rPr>
        <w:t xml:space="preserve"> during the joint research of IADC.</w:t>
      </w:r>
      <w:r>
        <w:rPr>
          <w:rStyle w:val="StyleUnderline"/>
        </w:rPr>
        <w:t xml:space="preserve"> </w:t>
      </w:r>
      <w:r w:rsidRPr="00B11D0E">
        <w:rPr>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B11D0E">
        <w:rPr>
          <w:sz w:val="8"/>
        </w:rPr>
        <w:t>manoeuvres</w:t>
      </w:r>
      <w:proofErr w:type="spellEnd"/>
      <w:r w:rsidRPr="00B11D0E">
        <w:rPr>
          <w:sz w:val="8"/>
        </w:rPr>
        <w:t xml:space="preserve">, </w:t>
      </w:r>
      <w:proofErr w:type="gramStart"/>
      <w:r w:rsidRPr="00B11D0E">
        <w:rPr>
          <w:sz w:val="8"/>
        </w:rPr>
        <w:t>mitigation</w:t>
      </w:r>
      <w:proofErr w:type="gramEnd"/>
      <w:r w:rsidRPr="00B11D0E">
        <w:rPr>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B11D0E">
        <w:rPr>
          <w:sz w:val="8"/>
        </w:rPr>
        <w:t>postmission</w:t>
      </w:r>
      <w:proofErr w:type="spellEnd"/>
      <w:r w:rsidRPr="00B11D0E">
        <w:rPr>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is able to obtain the space objects orbital distribution at any moment in future. There are three basic orbital prediction algorithms: numerical method, analytical method, and </w:t>
      </w:r>
      <w:proofErr w:type="spellStart"/>
      <w:r w:rsidRPr="00B11D0E">
        <w:rPr>
          <w:sz w:val="8"/>
        </w:rPr>
        <w:t>semianalytical</w:t>
      </w:r>
      <w:proofErr w:type="spellEnd"/>
      <w:r w:rsidRPr="00B11D0E">
        <w:rPr>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B11D0E">
        <w:rPr>
          <w:sz w:val="8"/>
        </w:rPr>
        <w:t>semianalytical</w:t>
      </w:r>
      <w:proofErr w:type="spellEnd"/>
      <w:r w:rsidRPr="00B11D0E">
        <w:rPr>
          <w:sz w:val="8"/>
        </w:rPr>
        <w:t xml:space="preserve"> method. SOLEM model adopts a simplified </w:t>
      </w:r>
      <w:proofErr w:type="spellStart"/>
      <w:r w:rsidRPr="00B11D0E">
        <w:rPr>
          <w:sz w:val="8"/>
        </w:rPr>
        <w:t>semianalytical</w:t>
      </w:r>
      <w:proofErr w:type="spellEnd"/>
      <w:r w:rsidRPr="00B11D0E">
        <w:rPr>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B11D0E">
        <w:rPr>
          <w:sz w:val="8"/>
        </w:rPr>
        <w:t>nonspherical</w:t>
      </w:r>
      <w:proofErr w:type="spellEnd"/>
      <w:r w:rsidRPr="00B11D0E">
        <w:rPr>
          <w:sz w:val="8"/>
        </w:rPr>
        <w:t xml:space="preserve"> gravity perturbation J2, J3, J4, J2,2, and atmospheric drag. For high eccentricity orbits, besides the Earth’s </w:t>
      </w:r>
      <w:proofErr w:type="spellStart"/>
      <w:r w:rsidRPr="00B11D0E">
        <w:rPr>
          <w:sz w:val="8"/>
        </w:rPr>
        <w:t>nonspherical</w:t>
      </w:r>
      <w:proofErr w:type="spellEnd"/>
      <w:r w:rsidRPr="00B11D0E">
        <w:rPr>
          <w:sz w:val="8"/>
        </w:rPr>
        <w:t xml:space="preserve"> gravity and atmospheric drag, the perturbations due to solar radiation pressure and gravity of the Sun and Moon are also considered. The atmosphere density model used for </w:t>
      </w:r>
      <w:proofErr w:type="gramStart"/>
      <w:r w:rsidRPr="00B11D0E">
        <w:rPr>
          <w:sz w:val="8"/>
        </w:rPr>
        <w:t>drag</w:t>
      </w:r>
      <w:proofErr w:type="gramEnd"/>
      <w:r w:rsidRPr="00B11D0E">
        <w:rPr>
          <w:sz w:val="8"/>
        </w:rPr>
        <w:t xml:space="preserve"> calculation is the NRLMSIS00 model. The values of solar radiation flux at 10.7 cm and the geomagnetic index can be read from a configuration file which can be replaced according to assumptions. In order to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w:t>
      </w:r>
      <w:proofErr w:type="spellStart"/>
      <w:r w:rsidRPr="00B11D0E">
        <w:rPr>
          <w:sz w:val="8"/>
        </w:rPr>
        <w:t>CelesTrak</w:t>
      </w:r>
      <w:proofErr w:type="spellEnd"/>
      <w:r w:rsidRPr="00B11D0E">
        <w:rPr>
          <w:sz w:val="8"/>
        </w:rPr>
        <w:t xml:space="preserve"> website [12] considering no collision avoidance and station keeping </w:t>
      </w:r>
      <w:proofErr w:type="spellStart"/>
      <w:r w:rsidRPr="00B11D0E">
        <w:rPr>
          <w:sz w:val="8"/>
        </w:rPr>
        <w:t>manoeuvres</w:t>
      </w:r>
      <w:proofErr w:type="spellEnd"/>
      <w:r w:rsidRPr="00B11D0E">
        <w:rPr>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B11D0E">
        <w:rPr>
          <w:sz w:val="8"/>
        </w:rPr>
        <w:t>semianalytical</w:t>
      </w:r>
      <w:proofErr w:type="spellEnd"/>
      <w:r w:rsidRPr="00B11D0E">
        <w:rPr>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B11D0E">
        <w:rPr>
          <w:sz w:val="8"/>
        </w:rPr>
        <w:t>interval .</w:t>
      </w:r>
      <w:proofErr w:type="gramEnd"/>
      <w:r w:rsidRPr="00B11D0E">
        <w:rPr>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B11D0E">
        <w:rPr>
          <w:sz w:val="8"/>
        </w:rPr>
        <w:t>interval .</w:t>
      </w:r>
      <w:proofErr w:type="gramEnd"/>
      <w:r w:rsidRPr="00B11D0E">
        <w:rPr>
          <w:sz w:val="8"/>
        </w:rPr>
        <w:t xml:space="preserve"> According to Heiner </w:t>
      </w:r>
      <w:proofErr w:type="spellStart"/>
      <w:r w:rsidRPr="00B11D0E">
        <w:rPr>
          <w:sz w:val="8"/>
        </w:rPr>
        <w:t>Klinkrad</w:t>
      </w:r>
      <w:proofErr w:type="spellEnd"/>
      <w:r w:rsidRPr="00B11D0E">
        <w:rPr>
          <w:sz w:val="8"/>
        </w:rPr>
        <w:t xml:space="preserve"> [18], the approximation yields results with less than 10% error </w:t>
      </w:r>
      <w:proofErr w:type="gramStart"/>
      <w:r w:rsidRPr="00B11D0E">
        <w:rPr>
          <w:sz w:val="8"/>
        </w:rPr>
        <w:t>for .</w:t>
      </w:r>
      <w:proofErr w:type="gramEnd"/>
      <w:r w:rsidRPr="00B11D0E">
        <w:rPr>
          <w:sz w:val="8"/>
        </w:rPr>
        <w:t xml:space="preserve"> That means, </w:t>
      </w:r>
      <w:proofErr w:type="gramStart"/>
      <w:r w:rsidRPr="00B11D0E">
        <w:rPr>
          <w:sz w:val="8"/>
        </w:rPr>
        <w:t>for ,</w:t>
      </w:r>
      <w:proofErr w:type="gramEnd"/>
      <w:r w:rsidRPr="00B11D0E">
        <w:rPr>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B11D0E">
        <w:rPr>
          <w:sz w:val="8"/>
        </w:rPr>
        <w:t>threshold;</w:t>
      </w:r>
      <w:proofErr w:type="gramEnd"/>
      <w:r w:rsidRPr="00B11D0E">
        <w:rPr>
          <w:sz w:val="8"/>
        </w:rPr>
        <w:t xml:space="preserve"> i.e., where is the divided cube size. As relates to the spatial </w:t>
      </w:r>
      <w:proofErr w:type="gramStart"/>
      <w:r w:rsidRPr="00B11D0E">
        <w:rPr>
          <w:sz w:val="8"/>
        </w:rPr>
        <w:t>densities, and</w:t>
      </w:r>
      <w:proofErr w:type="gramEnd"/>
      <w:r w:rsidRPr="00B11D0E">
        <w:rPr>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B11D0E">
        <w:rPr>
          <w:sz w:val="8"/>
        </w:rPr>
        <w:t>neighbouring</w:t>
      </w:r>
      <w:proofErr w:type="spellEnd"/>
      <w:r w:rsidRPr="00B11D0E">
        <w:rPr>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B11D0E">
        <w:rPr>
          <w:sz w:val="8"/>
        </w:rPr>
        <w:t>Postmission</w:t>
      </w:r>
      <w:proofErr w:type="spellEnd"/>
      <w:r w:rsidRPr="00B11D0E">
        <w:rPr>
          <w:sz w:val="8"/>
        </w:rPr>
        <w:t xml:space="preserve"> Disposal </w:t>
      </w:r>
      <w:proofErr w:type="spellStart"/>
      <w:r w:rsidRPr="00B11D0E">
        <w:rPr>
          <w:sz w:val="8"/>
        </w:rPr>
        <w:t>Postmission</w:t>
      </w:r>
      <w:proofErr w:type="spellEnd"/>
      <w:r w:rsidRPr="00B11D0E">
        <w:rPr>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B11D0E">
        <w:rPr>
          <w:sz w:val="8"/>
        </w:rPr>
        <w:t>object ,</w:t>
      </w:r>
      <w:proofErr w:type="gramEnd"/>
      <w:r w:rsidRPr="00B11D0E">
        <w:rPr>
          <w:sz w:val="8"/>
        </w:rPr>
        <w:t xml:space="preserve"> where during the last year. Their product is the selection index for ADR. The larger the value </w:t>
      </w:r>
      <w:proofErr w:type="gramStart"/>
      <w:r w:rsidRPr="00B11D0E">
        <w:rPr>
          <w:sz w:val="8"/>
        </w:rPr>
        <w:t>of ,</w:t>
      </w:r>
      <w:proofErr w:type="gramEnd"/>
      <w:r w:rsidRPr="00B11D0E">
        <w:rPr>
          <w:sz w:val="8"/>
        </w:rPr>
        <w:t xml:space="preserve"> the more dangerous the object . At the beginning of each projection year, all objects in orbit are sorted in descending order by the value </w:t>
      </w:r>
      <w:proofErr w:type="gramStart"/>
      <w:r w:rsidRPr="00B11D0E">
        <w:rPr>
          <w:sz w:val="8"/>
        </w:rPr>
        <w:t>of .</w:t>
      </w:r>
      <w:proofErr w:type="gramEnd"/>
      <w:r w:rsidRPr="00B11D0E">
        <w:rPr>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0B11D0E">
        <w:rPr>
          <w:rStyle w:val="StyleUnderline"/>
        </w:rPr>
        <w:t xml:space="preserve">SOLEM model is able to simulate the evolution of space </w:t>
      </w:r>
      <w:r w:rsidRPr="00561818">
        <w:rPr>
          <w:rStyle w:val="StyleUnderline"/>
        </w:rPr>
        <w:t xml:space="preserve">debris under various assumptions with </w:t>
      </w:r>
      <w:r w:rsidRPr="00561818">
        <w:rPr>
          <w:rStyle w:val="Emphasis"/>
        </w:rPr>
        <w:t>high flexibility</w:t>
      </w:r>
      <w:r w:rsidRPr="00561818">
        <w:rPr>
          <w:sz w:val="8"/>
        </w:rPr>
        <w:t xml:space="preserve">. Since 2015, SOLEM, as a representative of CNSA, has participated in </w:t>
      </w:r>
      <w:proofErr w:type="gramStart"/>
      <w:r w:rsidRPr="00561818">
        <w:rPr>
          <w:sz w:val="8"/>
        </w:rPr>
        <w:t>a joint research</w:t>
      </w:r>
      <w:proofErr w:type="gramEnd"/>
      <w:r w:rsidRPr="00561818">
        <w:rPr>
          <w:sz w:val="8"/>
        </w:rPr>
        <w:t xml:space="preserve"> of IADC. With uniform input data and assumptions, SOLEM has achieved results consistent with other space debris evolution models (IADC internal reports). </w:t>
      </w:r>
      <w:r w:rsidRPr="00561818">
        <w:rPr>
          <w:rStyle w:val="StyleUnderline"/>
        </w:rPr>
        <w:t>In this paper, the effects of different mitigation measures on space debris evolution are analyzed</w:t>
      </w:r>
      <w:r w:rsidRPr="00B11D0E">
        <w:rPr>
          <w:rStyle w:val="StyleUnderline"/>
        </w:rPr>
        <w:t xml:space="preserve"> with the SOLEM model.</w:t>
      </w:r>
      <w:r>
        <w:rPr>
          <w:rStyle w:val="StyleUnderline"/>
        </w:rPr>
        <w:t xml:space="preserve"> </w:t>
      </w:r>
      <w:r w:rsidRPr="00B11D0E">
        <w:rPr>
          <w:sz w:val="8"/>
        </w:rPr>
        <w:t xml:space="preserve">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w:t>
      </w:r>
      <w:proofErr w:type="spellStart"/>
      <w:r w:rsidRPr="00B11D0E">
        <w:rPr>
          <w:sz w:val="8"/>
        </w:rPr>
        <w:t>CelesTrak</w:t>
      </w:r>
      <w:proofErr w:type="spellEnd"/>
      <w:r w:rsidRPr="00B11D0E">
        <w:rPr>
          <w:sz w:val="8"/>
        </w:rPr>
        <w:t xml:space="preserve">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w:t>
      </w:r>
      <w:proofErr w:type="spellStart"/>
      <w:r w:rsidRPr="00B11D0E">
        <w:rPr>
          <w:sz w:val="8"/>
        </w:rPr>
        <w:t>noncatastrophic</w:t>
      </w:r>
      <w:proofErr w:type="spellEnd"/>
      <w:r w:rsidRPr="00B11D0E">
        <w:rPr>
          <w:sz w:val="8"/>
        </w:rPr>
        <w:t xml:space="preserve">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00B11D0E">
        <w:rPr>
          <w:rStyle w:val="StyleUnderline"/>
        </w:rPr>
        <w:t xml:space="preserve">%, there is a clear decrease by approximately 30% in the total effective number of space objects crossing LEO orbits for the next 50 years, and then </w:t>
      </w:r>
      <w:r w:rsidRPr="00CF64E7">
        <w:rPr>
          <w:rStyle w:val="StyleUnderline"/>
          <w:highlight w:val="yellow"/>
        </w:rPr>
        <w:t xml:space="preserve">the population remains at a </w:t>
      </w:r>
      <w:r w:rsidRPr="00CF64E7">
        <w:rPr>
          <w:rStyle w:val="Emphasis"/>
          <w:highlight w:val="yellow"/>
        </w:rPr>
        <w:t>long-term stable level</w:t>
      </w:r>
      <w:r w:rsidRPr="00CF64E7">
        <w:rPr>
          <w:sz w:val="8"/>
          <w:highlight w:val="yellow"/>
        </w:rPr>
        <w:t xml:space="preserve">. </w:t>
      </w:r>
      <w:r w:rsidRPr="00CF64E7">
        <w:rPr>
          <w:rStyle w:val="StyleUnderline"/>
          <w:highlight w:val="yellow"/>
        </w:rPr>
        <w:t xml:space="preserve">The decrease in the first 50 years is </w:t>
      </w:r>
      <w:r w:rsidRPr="0010202E">
        <w:rPr>
          <w:rStyle w:val="StyleUnderline"/>
        </w:rPr>
        <w:t xml:space="preserve">mainly </w:t>
      </w:r>
      <w:r w:rsidRPr="00CF64E7">
        <w:rPr>
          <w:rStyle w:val="StyleUnderline"/>
          <w:highlight w:val="yellow"/>
        </w:rPr>
        <w:t xml:space="preserve">due to the </w:t>
      </w:r>
      <w:r w:rsidRPr="00CF64E7">
        <w:rPr>
          <w:rStyle w:val="Emphasis"/>
          <w:highlight w:val="yellow"/>
        </w:rPr>
        <w:t>natural decay of old fragments</w:t>
      </w:r>
      <w:r w:rsidRPr="00CF64E7">
        <w:rPr>
          <w:sz w:val="8"/>
          <w:highlight w:val="yellow"/>
        </w:rPr>
        <w:t>.</w:t>
      </w:r>
      <w:r w:rsidRPr="00B11D0E">
        <w:rPr>
          <w:sz w:val="8"/>
        </w:rPr>
        <w:t xml:space="preserve"> </w:t>
      </w:r>
      <w:r w:rsidRPr="00B11D0E">
        <w:rPr>
          <w:rStyle w:val="StyleUnderline"/>
        </w:rPr>
        <w:t xml:space="preserve">The number of new fragments generated by breakup events increases in nearly the whole evolution time with a low rate and finally </w:t>
      </w:r>
      <w:r w:rsidRPr="00561818">
        <w:rPr>
          <w:rStyle w:val="StyleUnderline"/>
        </w:rPr>
        <w:t>seems to stop increasing at the end of evolution</w:t>
      </w:r>
      <w:r w:rsidRPr="00561818">
        <w:rPr>
          <w:sz w:val="8"/>
        </w:rPr>
        <w:t xml:space="preserve">. The cumulative number of catastrophic collisions is decreased down to 15, and for </w:t>
      </w:r>
      <w:proofErr w:type="spellStart"/>
      <w:r w:rsidRPr="00561818">
        <w:rPr>
          <w:sz w:val="8"/>
        </w:rPr>
        <w:t>noncatastrophic</w:t>
      </w:r>
      <w:proofErr w:type="spellEnd"/>
      <w:r w:rsidRPr="00561818">
        <w:rPr>
          <w:sz w:val="8"/>
        </w:rPr>
        <w:t xml:space="preserve"> collisions the number is only 7. Generally, </w:t>
      </w:r>
      <w:r w:rsidRPr="00561818">
        <w:rPr>
          <w:rStyle w:val="StyleUnderline"/>
        </w:rPr>
        <w:t xml:space="preserve">this scenario predicts a </w:t>
      </w:r>
      <w:r w:rsidRPr="00CF64E7">
        <w:rPr>
          <w:rStyle w:val="StyleUnderline"/>
          <w:highlight w:val="yellow"/>
        </w:rPr>
        <w:t xml:space="preserve">space debris environment </w:t>
      </w:r>
      <w:r w:rsidRPr="00CF64E7">
        <w:rPr>
          <w:rStyle w:val="Emphasis"/>
          <w:highlight w:val="yellow"/>
        </w:rPr>
        <w:t>becoming better</w:t>
      </w:r>
      <w:r w:rsidRPr="00B11D0E">
        <w:rPr>
          <w:sz w:val="8"/>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It can be seen that, with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00B11D0E">
        <w:rPr>
          <w:rStyle w:val="StyleUnderline"/>
        </w:rPr>
        <w:t>Taking the IADC comparison study about “Stability of the Future LEO Environment</w:t>
      </w:r>
      <w:r w:rsidRPr="00B11D0E">
        <w:rPr>
          <w:sz w:val="8"/>
        </w:rPr>
        <w:t xml:space="preserve">” [9, 10] as a reference, </w:t>
      </w:r>
      <w:r w:rsidRPr="00B11D0E">
        <w:rPr>
          <w:rStyle w:val="StyleUnderline"/>
        </w:rPr>
        <w:t>the evolution results shown above look rather optimistic</w:t>
      </w:r>
      <w:r w:rsidRPr="00B11D0E">
        <w:rPr>
          <w:sz w:val="8"/>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00B11D0E">
        <w:rPr>
          <w:rStyle w:val="StyleUnderline"/>
        </w:rPr>
        <w:t xml:space="preserve">That might be mainly due to the differences in </w:t>
      </w:r>
      <w:r w:rsidRPr="00B11D0E">
        <w:rPr>
          <w:rStyle w:val="Emphasis"/>
        </w:rPr>
        <w:t>solar activity model</w:t>
      </w:r>
      <w:r w:rsidRPr="00B11D0E">
        <w:rPr>
          <w:rStyle w:val="StyleUnderline"/>
        </w:rPr>
        <w:t xml:space="preserve"> and the input initial population used for simulation.</w:t>
      </w:r>
      <w:r w:rsidRPr="00B11D0E">
        <w:rPr>
          <w:sz w:val="8"/>
        </w:rPr>
        <w:t xml:space="preserve"> </w:t>
      </w:r>
      <w:r w:rsidRPr="00CF64E7">
        <w:rPr>
          <w:rStyle w:val="StyleUnderline"/>
          <w:highlight w:val="yellow"/>
        </w:rPr>
        <w:t>The solar activity</w:t>
      </w:r>
      <w:r w:rsidRPr="00B11D0E">
        <w:rPr>
          <w:sz w:val="8"/>
        </w:rPr>
        <w:t xml:space="preserve"> used in this paper (Figure 9) is in a higher level than those used in [9, 10], which is shown in Figure 13. This </w:t>
      </w:r>
      <w:r w:rsidRPr="00CF64E7">
        <w:rPr>
          <w:rStyle w:val="StyleUnderline"/>
          <w:highlight w:val="yellow"/>
        </w:rPr>
        <w:t xml:space="preserve">will make </w:t>
      </w:r>
      <w:r w:rsidRPr="00CF64E7">
        <w:rPr>
          <w:rStyle w:val="Emphasis"/>
          <w:highlight w:val="yellow"/>
        </w:rPr>
        <w:t>more objects decay during the evolution.</w:t>
      </w:r>
      <w:r w:rsidRPr="00B11D0E">
        <w:rPr>
          <w:rStyle w:val="StyleUnderline"/>
        </w:rPr>
        <w:t xml:space="preserve"> B</w:t>
      </w:r>
      <w:r w:rsidRPr="00B11D0E">
        <w:rPr>
          <w:sz w:val="8"/>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it can be seen that the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w:t>
      </w:r>
      <w:proofErr w:type="gramStart"/>
      <w:r w:rsidRPr="00B11D0E">
        <w:rPr>
          <w:sz w:val="8"/>
        </w:rPr>
        <w:t>lead</w:t>
      </w:r>
      <w:proofErr w:type="gramEnd"/>
      <w:r w:rsidRPr="00B11D0E">
        <w:rPr>
          <w:sz w:val="8"/>
        </w:rPr>
        <w:t xml:space="preserve"> to a very different evolution result. 12. Summary and Future Work This paper mainly introduced the composition, </w:t>
      </w:r>
      <w:proofErr w:type="spellStart"/>
      <w:r w:rsidRPr="00B11D0E">
        <w:rPr>
          <w:sz w:val="8"/>
        </w:rPr>
        <w:t>submodel</w:t>
      </w:r>
      <w:proofErr w:type="spellEnd"/>
      <w:r w:rsidRPr="00B11D0E">
        <w:rPr>
          <w:sz w:val="8"/>
        </w:rPr>
        <w:t xml:space="preserve">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00B11D0E">
        <w:rPr>
          <w:rStyle w:val="StyleUnderline"/>
        </w:rPr>
        <w:t>The result shows</w:t>
      </w:r>
      <w:r w:rsidRPr="00B11D0E">
        <w:rPr>
          <w:sz w:val="8"/>
        </w:rPr>
        <w:t xml:space="preserve">, with higher PMD rate, </w:t>
      </w:r>
      <w:r w:rsidRPr="00CF64E7">
        <w:rPr>
          <w:rStyle w:val="StyleUnderline"/>
          <w:highlight w:val="yellow"/>
        </w:rPr>
        <w:t xml:space="preserve">the current space environment will become </w:t>
      </w:r>
      <w:r w:rsidRPr="00CF64E7">
        <w:rPr>
          <w:rStyle w:val="Emphasis"/>
          <w:highlight w:val="yellow"/>
        </w:rPr>
        <w:t>better and safer.</w:t>
      </w:r>
      <w:r>
        <w:rPr>
          <w:rStyle w:val="Emphasis"/>
        </w:rPr>
        <w:t xml:space="preserve"> </w:t>
      </w:r>
      <w:r w:rsidRPr="00B11D0E">
        <w:rPr>
          <w:sz w:val="8"/>
        </w:rPr>
        <w:t xml:space="preserve">SOLEM is a LEO space debris evolution model with high flexibility. It is capable of simulating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w:t>
      </w:r>
      <w:proofErr w:type="spellStart"/>
      <w:r w:rsidRPr="00B11D0E">
        <w:rPr>
          <w:sz w:val="8"/>
        </w:rPr>
        <w:t>postmission</w:t>
      </w:r>
      <w:proofErr w:type="spellEnd"/>
      <w:r w:rsidRPr="00B11D0E">
        <w:rPr>
          <w:sz w:val="8"/>
        </w:rPr>
        <w:t xml:space="preserve"> disposal model will be optimized, including the disposed orbit selection process and the computation time.</w:t>
      </w:r>
    </w:p>
    <w:p w14:paraId="25F5FD30" w14:textId="77777777" w:rsidR="00F5623D" w:rsidRPr="00EA643C" w:rsidRDefault="00F5623D" w:rsidP="00F5623D"/>
    <w:p w14:paraId="68FEE1FE" w14:textId="77777777" w:rsidR="00F5623D" w:rsidRDefault="00F5623D" w:rsidP="00F5623D">
      <w:pPr>
        <w:pStyle w:val="Heading4"/>
      </w:pPr>
      <w:r>
        <w:t xml:space="preserve">Their evidence </w:t>
      </w:r>
      <w:proofErr w:type="gramStart"/>
      <w:r>
        <w:t xml:space="preserve">says  </w:t>
      </w:r>
      <w:proofErr w:type="spellStart"/>
      <w:r>
        <w:t>squo</w:t>
      </w:r>
      <w:proofErr w:type="spellEnd"/>
      <w:proofErr w:type="gramEnd"/>
      <w:r>
        <w:t xml:space="preserve"> innovation + evolving regulation + maneuvering + warnings solve the </w:t>
      </w:r>
      <w:proofErr w:type="spellStart"/>
      <w:r>
        <w:t>aff</w:t>
      </w:r>
      <w:proofErr w:type="spellEnd"/>
      <w:r>
        <w:t xml:space="preserve"> in its entirety – westside reads blue</w:t>
      </w:r>
    </w:p>
    <w:p w14:paraId="1530B906" w14:textId="77777777" w:rsidR="00F5623D" w:rsidRDefault="00F5623D" w:rsidP="00F5623D">
      <w:proofErr w:type="spellStart"/>
      <w:r>
        <w:rPr>
          <w:rStyle w:val="Style13ptBold"/>
        </w:rPr>
        <w:t>Muelhaupt</w:t>
      </w:r>
      <w:proofErr w:type="spellEnd"/>
      <w:r>
        <w:rPr>
          <w:rStyle w:val="Style13ptBold"/>
        </w:rPr>
        <w:t xml:space="preserve"> et al. 19</w:t>
      </w:r>
      <w:r>
        <w:t xml:space="preserve"> – Theodore, Marlon Sorge, Jamie Morin, and Robert Wilson, 6/18/19, Center for Orbital and Reentry Debris Studies, Center for Space Policy and Strategy, The Aerospace Corporation, 30 year Space Systems Analyst and Operator, [“Space traffic management in the new space era,” Journal of Space Safety Engineering, </w:t>
      </w:r>
      <w:hyperlink r:id="rId9" w:history="1">
        <w:r>
          <w:rPr>
            <w:rStyle w:val="Hyperlink"/>
            <w:color w:val="000000"/>
            <w:u w:val="single"/>
          </w:rPr>
          <w:t>https://www.sciencedirect.com/science/article/pii/S246889671930045X?via%3Dihub</w:t>
        </w:r>
      </w:hyperlink>
      <w:r>
        <w:t>] Justin//</w:t>
      </w:r>
      <w:proofErr w:type="spellStart"/>
      <w:r>
        <w:t>rehighlighted</w:t>
      </w:r>
      <w:proofErr w:type="spellEnd"/>
      <w:r>
        <w:t xml:space="preserve"> to prove it’s a bad card</w:t>
      </w:r>
    </w:p>
    <w:p w14:paraId="0936D64D" w14:textId="77777777" w:rsidR="00F5623D" w:rsidRDefault="00F5623D" w:rsidP="00F5623D">
      <w:pPr>
        <w:rPr>
          <w:sz w:val="16"/>
        </w:rPr>
      </w:pPr>
      <w:r>
        <w:rPr>
          <w:u w:val="single"/>
        </w:rPr>
        <w:t xml:space="preserve">The last decade has seen </w:t>
      </w:r>
      <w:r>
        <w:rPr>
          <w:rStyle w:val="Emphasis"/>
          <w:highlight w:val="green"/>
        </w:rPr>
        <w:t>rapid growth</w:t>
      </w:r>
      <w:r>
        <w:rPr>
          <w:rStyle w:val="Emphasis"/>
        </w:rPr>
        <w:t xml:space="preserve"> and change</w:t>
      </w:r>
      <w:r>
        <w:rPr>
          <w:u w:val="single"/>
        </w:rPr>
        <w:t xml:space="preserve"> </w:t>
      </w:r>
      <w:r>
        <w:rPr>
          <w:highlight w:val="green"/>
          <w:u w:val="single"/>
        </w:rPr>
        <w:t>in</w:t>
      </w:r>
      <w:r>
        <w:rPr>
          <w:u w:val="single"/>
        </w:rPr>
        <w:t xml:space="preserve"> the </w:t>
      </w:r>
      <w:r>
        <w:rPr>
          <w:rStyle w:val="Emphasis"/>
        </w:rPr>
        <w:t>space industry</w:t>
      </w:r>
      <w:r>
        <w:rPr>
          <w:u w:val="single"/>
        </w:rPr>
        <w:t xml:space="preserve">, and an </w:t>
      </w:r>
      <w:r>
        <w:rPr>
          <w:rStyle w:val="Emphasis"/>
        </w:rPr>
        <w:t>explosion</w:t>
      </w:r>
      <w:r>
        <w:rPr>
          <w:u w:val="single"/>
        </w:rPr>
        <w:t xml:space="preserve"> of </w:t>
      </w:r>
      <w:r>
        <w:rPr>
          <w:rStyle w:val="Emphasis"/>
        </w:rPr>
        <w:t>commercial</w:t>
      </w:r>
      <w:r>
        <w:rPr>
          <w:u w:val="single"/>
        </w:rPr>
        <w:t xml:space="preserve"> and </w:t>
      </w:r>
      <w:r>
        <w:rPr>
          <w:rStyle w:val="Emphasis"/>
          <w:highlight w:val="green"/>
        </w:rPr>
        <w:t>private activity</w:t>
      </w:r>
      <w:r>
        <w:rPr>
          <w:sz w:val="16"/>
        </w:rPr>
        <w:t xml:space="preserve">. Terms like </w:t>
      </w:r>
      <w:proofErr w:type="spellStart"/>
      <w:r>
        <w:rPr>
          <w:sz w:val="16"/>
        </w:rPr>
        <w:t>NewSpace</w:t>
      </w:r>
      <w:proofErr w:type="spellEnd"/>
      <w:r>
        <w:rPr>
          <w:sz w:val="16"/>
        </w:rPr>
        <w:t xml:space="preserve"> or </w:t>
      </w:r>
      <w:r>
        <w:rPr>
          <w:u w:val="single"/>
        </w:rPr>
        <w:t xml:space="preserve">democratized space are often used to describe this global </w:t>
      </w:r>
      <w:r>
        <w:rPr>
          <w:highlight w:val="green"/>
          <w:u w:val="single"/>
        </w:rPr>
        <w:t>trend to</w:t>
      </w:r>
      <w:r>
        <w:rPr>
          <w:u w:val="single"/>
        </w:rPr>
        <w:t xml:space="preserve"> develop </w:t>
      </w:r>
      <w:r>
        <w:rPr>
          <w:rStyle w:val="Emphasis"/>
          <w:highlight w:val="green"/>
        </w:rPr>
        <w:t>faster</w:t>
      </w:r>
      <w:r>
        <w:rPr>
          <w:highlight w:val="green"/>
          <w:u w:val="single"/>
        </w:rPr>
        <w:t xml:space="preserve"> and </w:t>
      </w:r>
      <w:r>
        <w:rPr>
          <w:rStyle w:val="Emphasis"/>
          <w:highlight w:val="green"/>
        </w:rPr>
        <w:t>cheaper</w:t>
      </w:r>
      <w:r>
        <w:rPr>
          <w:highlight w:val="green"/>
          <w:u w:val="single"/>
        </w:rPr>
        <w:t xml:space="preserve"> </w:t>
      </w:r>
      <w:r>
        <w:rPr>
          <w:rStyle w:val="Emphasis"/>
          <w:highlight w:val="green"/>
        </w:rPr>
        <w:t>access</w:t>
      </w:r>
      <w:r>
        <w:rPr>
          <w:u w:val="single"/>
        </w:rPr>
        <w:t xml:space="preserve"> to space</w:t>
      </w:r>
      <w:r>
        <w:rPr>
          <w:sz w:val="16"/>
        </w:rPr>
        <w:t xml:space="preserve">, </w:t>
      </w:r>
      <w:r>
        <w:rPr>
          <w:highlight w:val="green"/>
          <w:u w:val="single"/>
        </w:rPr>
        <w:t>distinct from</w:t>
      </w:r>
      <w:r>
        <w:rPr>
          <w:u w:val="single"/>
        </w:rPr>
        <w:t xml:space="preserve"> more </w:t>
      </w:r>
      <w:r>
        <w:rPr>
          <w:rStyle w:val="Emphasis"/>
        </w:rPr>
        <w:t xml:space="preserve">traditional </w:t>
      </w:r>
      <w:r>
        <w:rPr>
          <w:rStyle w:val="Emphasis"/>
          <w:highlight w:val="green"/>
        </w:rPr>
        <w:t>government</w:t>
      </w:r>
      <w:r>
        <w:rPr>
          <w:rStyle w:val="Emphasis"/>
        </w:rPr>
        <w:t xml:space="preserve">-driven </w:t>
      </w:r>
      <w:r>
        <w:rPr>
          <w:rStyle w:val="Emphasis"/>
          <w:highlight w:val="green"/>
        </w:rPr>
        <w:t>activities</w:t>
      </w:r>
      <w:r>
        <w:rPr>
          <w:u w:val="single"/>
        </w:rPr>
        <w:t xml:space="preserve"> focused on </w:t>
      </w:r>
      <w:r>
        <w:rPr>
          <w:rStyle w:val="Emphasis"/>
        </w:rPr>
        <w:t>security</w:t>
      </w:r>
      <w:r>
        <w:rPr>
          <w:u w:val="single"/>
        </w:rPr>
        <w:t xml:space="preserve">, </w:t>
      </w:r>
      <w:r>
        <w:rPr>
          <w:rStyle w:val="Emphasis"/>
        </w:rPr>
        <w:t>political</w:t>
      </w:r>
      <w:r>
        <w:rPr>
          <w:u w:val="single"/>
        </w:rPr>
        <w:t xml:space="preserve">, or </w:t>
      </w:r>
      <w:r>
        <w:rPr>
          <w:rStyle w:val="Emphasis"/>
        </w:rPr>
        <w:t>scientific</w:t>
      </w:r>
      <w:r>
        <w:rPr>
          <w:u w:val="single"/>
        </w:rPr>
        <w:t xml:space="preserve"> </w:t>
      </w:r>
      <w:r>
        <w:rPr>
          <w:rStyle w:val="Emphasis"/>
        </w:rPr>
        <w:t>activities</w:t>
      </w:r>
      <w:r>
        <w:rPr>
          <w:u w:val="single"/>
        </w:rPr>
        <w:t xml:space="preserve">. </w:t>
      </w:r>
      <w:r>
        <w:rPr>
          <w:highlight w:val="green"/>
          <w:u w:val="single"/>
        </w:rPr>
        <w:t xml:space="preserve">The </w:t>
      </w:r>
      <w:r>
        <w:rPr>
          <w:u w:val="single"/>
        </w:rPr>
        <w:t xml:space="preserve">easier </w:t>
      </w:r>
      <w:r>
        <w:rPr>
          <w:highlight w:val="green"/>
          <w:u w:val="single"/>
        </w:rPr>
        <w:t>access</w:t>
      </w:r>
      <w:r>
        <w:rPr>
          <w:u w:val="single"/>
        </w:rPr>
        <w:t xml:space="preserve"> to space has </w:t>
      </w:r>
      <w:r>
        <w:rPr>
          <w:highlight w:val="green"/>
          <w:u w:val="single"/>
        </w:rPr>
        <w:t xml:space="preserve">opened </w:t>
      </w:r>
      <w:r>
        <w:rPr>
          <w:rStyle w:val="Emphasis"/>
          <w:highlight w:val="green"/>
        </w:rPr>
        <w:t>participation</w:t>
      </w:r>
      <w:r>
        <w:rPr>
          <w:highlight w:val="green"/>
          <w:u w:val="single"/>
        </w:rPr>
        <w:t xml:space="preserve"> </w:t>
      </w:r>
      <w:r>
        <w:rPr>
          <w:u w:val="single"/>
        </w:rPr>
        <w:t xml:space="preserve">to many more participants than was </w:t>
      </w:r>
      <w:r>
        <w:rPr>
          <w:rStyle w:val="Emphasis"/>
        </w:rPr>
        <w:t>historically possible</w:t>
      </w:r>
      <w:r>
        <w:rPr>
          <w:u w:val="single"/>
        </w:rPr>
        <w:t xml:space="preserve">. </w:t>
      </w:r>
      <w:r>
        <w:rPr>
          <w:highlight w:val="green"/>
          <w:u w:val="single"/>
        </w:rPr>
        <w:t xml:space="preserve">This </w:t>
      </w:r>
      <w:r>
        <w:rPr>
          <w:u w:val="single"/>
        </w:rPr>
        <w:t xml:space="preserve">new activity </w:t>
      </w:r>
      <w:r>
        <w:rPr>
          <w:highlight w:val="green"/>
          <w:u w:val="single"/>
        </w:rPr>
        <w:t>could</w:t>
      </w:r>
      <w:r>
        <w:rPr>
          <w:u w:val="single"/>
        </w:rPr>
        <w:t xml:space="preserve"> </w:t>
      </w:r>
      <w:r>
        <w:rPr>
          <w:rStyle w:val="Emphasis"/>
        </w:rPr>
        <w:t xml:space="preserve">profoundly </w:t>
      </w:r>
      <w:r>
        <w:rPr>
          <w:rStyle w:val="Emphasis"/>
          <w:highlight w:val="green"/>
        </w:rPr>
        <w:t>worsen</w:t>
      </w:r>
      <w:r>
        <w:rPr>
          <w:rStyle w:val="Emphasis"/>
        </w:rPr>
        <w:t xml:space="preserve"> the space </w:t>
      </w:r>
      <w:r>
        <w:rPr>
          <w:rStyle w:val="Emphasis"/>
          <w:highlight w:val="green"/>
        </w:rPr>
        <w:t>debris</w:t>
      </w:r>
      <w:r>
        <w:rPr>
          <w:rStyle w:val="Emphasis"/>
        </w:rPr>
        <w:t xml:space="preserve"> environment</w:t>
      </w:r>
      <w:r>
        <w:rPr>
          <w:u w:val="single"/>
        </w:rPr>
        <w:t xml:space="preserve">, particularly in </w:t>
      </w:r>
      <w:r>
        <w:rPr>
          <w:rStyle w:val="Emphasis"/>
        </w:rPr>
        <w:t>low Earth orbit</w:t>
      </w:r>
      <w:r>
        <w:rPr>
          <w:u w:val="single"/>
        </w:rPr>
        <w:t xml:space="preserve"> (LEO)</w:t>
      </w:r>
      <w:r>
        <w:rPr>
          <w:sz w:val="16"/>
        </w:rPr>
        <w:t xml:space="preserve">, but </w:t>
      </w:r>
      <w:r w:rsidRPr="0051078C">
        <w:rPr>
          <w:highlight w:val="cyan"/>
        </w:rPr>
        <w:t xml:space="preserve">there are </w:t>
      </w:r>
      <w:r w:rsidRPr="0010202E">
        <w:t xml:space="preserve">also </w:t>
      </w:r>
      <w:r w:rsidRPr="0051078C">
        <w:rPr>
          <w:highlight w:val="cyan"/>
        </w:rPr>
        <w:t xml:space="preserve">signs of progress and the outlook is encouraging. </w:t>
      </w:r>
      <w:r w:rsidRPr="0010202E">
        <w:t xml:space="preserve">Many </w:t>
      </w:r>
      <w:proofErr w:type="spellStart"/>
      <w:r w:rsidRPr="0010202E">
        <w:t>NewSpace</w:t>
      </w:r>
      <w:proofErr w:type="spellEnd"/>
      <w:r w:rsidRPr="0010202E">
        <w:t xml:space="preserve"> </w:t>
      </w:r>
      <w:r w:rsidRPr="0051078C">
        <w:rPr>
          <w:highlight w:val="cyan"/>
        </w:rPr>
        <w:t xml:space="preserve">operators are </w:t>
      </w:r>
      <w:r w:rsidRPr="0010202E">
        <w:t xml:space="preserve">actively </w:t>
      </w:r>
      <w:r w:rsidRPr="0051078C">
        <w:rPr>
          <w:highlight w:val="cyan"/>
        </w:rPr>
        <w:t>working to mitigate their impact</w:t>
      </w:r>
      <w:r w:rsidRPr="0051078C">
        <w:t>.</w:t>
      </w:r>
      <w:r>
        <w:rPr>
          <w:sz w:val="16"/>
        </w:rPr>
        <w:t xml:space="preserve"> Nevertheless, </w:t>
      </w:r>
      <w:proofErr w:type="spellStart"/>
      <w:r>
        <w:rPr>
          <w:sz w:val="16"/>
        </w:rPr>
        <w:t>NewSpace</w:t>
      </w:r>
      <w:proofErr w:type="spellEnd"/>
      <w:r>
        <w:rPr>
          <w:sz w:val="16"/>
        </w:rPr>
        <w:t xml:space="preserve"> represents a significant break with past experience and business as usual will not work in this changed environment. </w:t>
      </w:r>
      <w:r w:rsidRPr="0051078C">
        <w:rPr>
          <w:highlight w:val="cyan"/>
        </w:rPr>
        <w:t>New standards, space policy, and licensing approaches are powerful levers that can shape the future of operations and the debris environment</w:t>
      </w:r>
      <w:r>
        <w:rPr>
          <w:sz w:val="16"/>
        </w:rPr>
        <w:t xml:space="preserve">. 2. </w:t>
      </w:r>
      <w:r>
        <w:rPr>
          <w:u w:val="single"/>
        </w:rPr>
        <w:t xml:space="preserve">Characterizing </w:t>
      </w:r>
      <w:proofErr w:type="spellStart"/>
      <w:r>
        <w:rPr>
          <w:u w:val="single"/>
        </w:rPr>
        <w:t>NewSpace</w:t>
      </w:r>
      <w:proofErr w:type="spellEnd"/>
      <w:r>
        <w:rPr>
          <w:u w:val="single"/>
        </w:rPr>
        <w:t xml:space="preserve">: a </w:t>
      </w:r>
      <w:r>
        <w:rPr>
          <w:rStyle w:val="Emphasis"/>
        </w:rPr>
        <w:t>step change in the space environment</w:t>
      </w:r>
      <w:r>
        <w:rPr>
          <w:u w:val="single"/>
        </w:rPr>
        <w:t xml:space="preserve"> </w:t>
      </w:r>
      <w:proofErr w:type="gramStart"/>
      <w:r>
        <w:rPr>
          <w:sz w:val="16"/>
        </w:rPr>
        <w:t>In</w:t>
      </w:r>
      <w:proofErr w:type="gramEnd"/>
      <w:r>
        <w:rPr>
          <w:sz w:val="16"/>
        </w:rPr>
        <w:t xml:space="preserve"> just the last few years, </w:t>
      </w:r>
      <w:r>
        <w:rPr>
          <w:u w:val="single"/>
        </w:rPr>
        <w:t xml:space="preserve">commercial </w:t>
      </w:r>
      <w:r>
        <w:rPr>
          <w:highlight w:val="green"/>
          <w:u w:val="single"/>
        </w:rPr>
        <w:t>companies have</w:t>
      </w:r>
      <w:r>
        <w:rPr>
          <w:u w:val="single"/>
        </w:rPr>
        <w:t xml:space="preserve"> </w:t>
      </w:r>
      <w:r>
        <w:rPr>
          <w:rStyle w:val="Emphasis"/>
        </w:rPr>
        <w:t>proposed</w:t>
      </w:r>
      <w:r>
        <w:rPr>
          <w:u w:val="single"/>
        </w:rPr>
        <w:t xml:space="preserve">, </w:t>
      </w:r>
      <w:r>
        <w:rPr>
          <w:rStyle w:val="Emphasis"/>
        </w:rPr>
        <w:t>funded</w:t>
      </w:r>
      <w:r>
        <w:rPr>
          <w:u w:val="single"/>
        </w:rPr>
        <w:t xml:space="preserve">, and in a few cases </w:t>
      </w:r>
      <w:r>
        <w:rPr>
          <w:highlight w:val="green"/>
          <w:u w:val="single"/>
        </w:rPr>
        <w:t xml:space="preserve">begun </w:t>
      </w:r>
      <w:r>
        <w:rPr>
          <w:rStyle w:val="Emphasis"/>
          <w:highlight w:val="green"/>
        </w:rPr>
        <w:t>deployment</w:t>
      </w:r>
      <w:r>
        <w:rPr>
          <w:highlight w:val="green"/>
          <w:u w:val="single"/>
        </w:rPr>
        <w:t xml:space="preserve"> of </w:t>
      </w:r>
      <w:r>
        <w:rPr>
          <w:u w:val="single"/>
        </w:rPr>
        <w:t xml:space="preserve">very large </w:t>
      </w:r>
      <w:r>
        <w:rPr>
          <w:rStyle w:val="Emphasis"/>
        </w:rPr>
        <w:t xml:space="preserve">constellations of small to medium-sized </w:t>
      </w:r>
      <w:r>
        <w:rPr>
          <w:rStyle w:val="Emphasis"/>
          <w:highlight w:val="green"/>
        </w:rPr>
        <w:t>satellites</w:t>
      </w:r>
      <w:r>
        <w:rPr>
          <w:u w:val="single"/>
        </w:rPr>
        <w:t xml:space="preserve">. These constellations will add much more </w:t>
      </w:r>
      <w:r>
        <w:rPr>
          <w:rStyle w:val="Emphasis"/>
        </w:rPr>
        <w:t>complexity</w:t>
      </w:r>
      <w:r>
        <w:rPr>
          <w:u w:val="single"/>
        </w:rPr>
        <w:t xml:space="preserve"> to </w:t>
      </w:r>
      <w:r>
        <w:rPr>
          <w:rStyle w:val="Emphasis"/>
        </w:rPr>
        <w:t>space</w:t>
      </w:r>
      <w:r>
        <w:rPr>
          <w:u w:val="single"/>
        </w:rPr>
        <w:t xml:space="preserve"> </w:t>
      </w:r>
      <w:r>
        <w:rPr>
          <w:rStyle w:val="Emphasis"/>
        </w:rPr>
        <w:t>operations</w:t>
      </w:r>
      <w:r>
        <w:rPr>
          <w:sz w:val="16"/>
        </w:rPr>
        <w:t xml:space="preserve">. Table 1 shows some of the constellations that have been announced for launch in the next decade. </w:t>
      </w:r>
      <w:r>
        <w:rPr>
          <w:u w:val="single"/>
        </w:rPr>
        <w:t>Two dozen companies</w:t>
      </w:r>
      <w:r>
        <w:rPr>
          <w:sz w:val="16"/>
        </w:rPr>
        <w:t xml:space="preserve">, when taken together, </w:t>
      </w:r>
      <w:r>
        <w:rPr>
          <w:u w:val="single"/>
        </w:rPr>
        <w:t xml:space="preserve">have proposed placing </w:t>
      </w:r>
      <w:r>
        <w:rPr>
          <w:rStyle w:val="Emphasis"/>
        </w:rPr>
        <w:t>well over 20,000 satellites in orbit</w:t>
      </w:r>
      <w:r>
        <w:rPr>
          <w:u w:val="single"/>
        </w:rPr>
        <w:t xml:space="preserve"> in the next 10 years</w:t>
      </w:r>
      <w:r>
        <w:rPr>
          <w:sz w:val="16"/>
        </w:rPr>
        <w:t xml:space="preserve">. For perspective, </w:t>
      </w:r>
      <w:r>
        <w:rPr>
          <w:u w:val="single"/>
        </w:rPr>
        <w:t xml:space="preserve">fewer than </w:t>
      </w:r>
      <w:r>
        <w:rPr>
          <w:rStyle w:val="Emphasis"/>
        </w:rPr>
        <w:t>8100</w:t>
      </w:r>
      <w:r>
        <w:rPr>
          <w:u w:val="single"/>
        </w:rPr>
        <w:t xml:space="preserve"> payloads have been placed in Earth orbit in the </w:t>
      </w:r>
      <w:r>
        <w:rPr>
          <w:rStyle w:val="Emphasis"/>
        </w:rPr>
        <w:t>entire</w:t>
      </w:r>
      <w:r>
        <w:rPr>
          <w:u w:val="single"/>
        </w:rPr>
        <w:t xml:space="preserve"> </w:t>
      </w:r>
      <w:r>
        <w:rPr>
          <w:rStyle w:val="Emphasis"/>
        </w:rPr>
        <w:t>history</w:t>
      </w:r>
      <w:r>
        <w:rPr>
          <w:u w:val="single"/>
        </w:rPr>
        <w:t xml:space="preserve"> of the </w:t>
      </w:r>
      <w:r>
        <w:rPr>
          <w:rStyle w:val="Emphasis"/>
        </w:rPr>
        <w:t>space</w:t>
      </w:r>
      <w:r>
        <w:rPr>
          <w:u w:val="single"/>
        </w:rPr>
        <w:t xml:space="preserve"> </w:t>
      </w:r>
      <w:r>
        <w:rPr>
          <w:rStyle w:val="Emphasis"/>
        </w:rPr>
        <w:t>age</w:t>
      </w:r>
      <w:r>
        <w:rPr>
          <w:u w:val="single"/>
        </w:rPr>
        <w:t xml:space="preserve">, only </w:t>
      </w:r>
      <w:r>
        <w:rPr>
          <w:rStyle w:val="Emphasis"/>
        </w:rPr>
        <w:t>4800</w:t>
      </w:r>
      <w:r>
        <w:rPr>
          <w:u w:val="single"/>
        </w:rPr>
        <w:t xml:space="preserve"> [1] remain in orbit and approximately 1950 [2] of those are still active. And it </w:t>
      </w:r>
      <w:r>
        <w:rPr>
          <w:rStyle w:val="Emphasis"/>
        </w:rPr>
        <w:t>isn't simply numbers</w:t>
      </w:r>
      <w:r>
        <w:rPr>
          <w:u w:val="single"/>
        </w:rPr>
        <w:t xml:space="preserve"> – the mass in orbit will </w:t>
      </w:r>
      <w:r>
        <w:rPr>
          <w:rStyle w:val="Emphasis"/>
        </w:rPr>
        <w:t>increase</w:t>
      </w:r>
      <w:r>
        <w:rPr>
          <w:u w:val="single"/>
        </w:rPr>
        <w:t xml:space="preserve"> </w:t>
      </w:r>
      <w:r>
        <w:rPr>
          <w:rStyle w:val="Emphasis"/>
        </w:rPr>
        <w:t>substantially</w:t>
      </w:r>
      <w:r>
        <w:rPr>
          <w:u w:val="single"/>
        </w:rPr>
        <w:t xml:space="preserve">, and </w:t>
      </w:r>
      <w:r>
        <w:rPr>
          <w:rStyle w:val="Emphasis"/>
        </w:rPr>
        <w:t>long-term debris generation</w:t>
      </w:r>
      <w:r>
        <w:rPr>
          <w:u w:val="single"/>
        </w:rPr>
        <w:t xml:space="preserve"> is </w:t>
      </w:r>
      <w:r>
        <w:rPr>
          <w:rStyle w:val="Emphasis"/>
        </w:rPr>
        <w:t>strongly correlated with mass</w:t>
      </w:r>
      <w:r>
        <w:rPr>
          <w:u w:val="single"/>
        </w:rPr>
        <w:t xml:space="preserve">. </w:t>
      </w:r>
      <w:r>
        <w:rPr>
          <w:sz w:val="16"/>
        </w:rPr>
        <w:t xml:space="preserve">Table 1. Some announced </w:t>
      </w:r>
      <w:proofErr w:type="spellStart"/>
      <w:r>
        <w:rPr>
          <w:sz w:val="16"/>
        </w:rPr>
        <w:t>NewSpace</w:t>
      </w:r>
      <w:proofErr w:type="spellEnd"/>
      <w:r>
        <w:rPr>
          <w:sz w:val="16"/>
        </w:rPr>
        <w:t xml:space="preserve"> constellations. Operator Number of satellites Altitude (km) Country SpaceX V-band 7518 335–345 US Capella 48 350–650 US Planet Swift 6 350–650 US Black Sky 60 450 US </w:t>
      </w:r>
      <w:proofErr w:type="spellStart"/>
      <w:r>
        <w:rPr>
          <w:sz w:val="16"/>
        </w:rPr>
        <w:t>Satellogic</w:t>
      </w:r>
      <w:proofErr w:type="spellEnd"/>
      <w:r>
        <w:rPr>
          <w:sz w:val="16"/>
        </w:rPr>
        <w:t xml:space="preserve"> </w:t>
      </w:r>
      <w:proofErr w:type="spellStart"/>
      <w:r>
        <w:rPr>
          <w:sz w:val="16"/>
        </w:rPr>
        <w:t>NuSat</w:t>
      </w:r>
      <w:proofErr w:type="spellEnd"/>
      <w:r>
        <w:rPr>
          <w:sz w:val="16"/>
        </w:rPr>
        <w:t xml:space="preserve"> 300 500 Argentina Kepler 140 550 US SpaceX </w:t>
      </w:r>
      <w:proofErr w:type="spellStart"/>
      <w:r>
        <w:rPr>
          <w:sz w:val="16"/>
        </w:rPr>
        <w:t>Starlink</w:t>
      </w:r>
      <w:proofErr w:type="spellEnd"/>
      <w:r>
        <w:rPr>
          <w:sz w:val="16"/>
        </w:rPr>
        <w:t xml:space="preserve"> 1584 550 US Skybox 30 576 US Fleet 100 580 Australia Amazon Kuiper 3236 590–630 US </w:t>
      </w:r>
      <w:proofErr w:type="spellStart"/>
      <w:r>
        <w:rPr>
          <w:sz w:val="16"/>
        </w:rPr>
        <w:t>Commsat</w:t>
      </w:r>
      <w:proofErr w:type="spellEnd"/>
      <w:r>
        <w:rPr>
          <w:sz w:val="16"/>
        </w:rPr>
        <w:t xml:space="preserve"> 800 600 China </w:t>
      </w:r>
      <w:proofErr w:type="spellStart"/>
      <w:r>
        <w:rPr>
          <w:sz w:val="16"/>
        </w:rPr>
        <w:t>Kineis</w:t>
      </w:r>
      <w:proofErr w:type="spellEnd"/>
      <w:r>
        <w:rPr>
          <w:sz w:val="16"/>
        </w:rPr>
        <w:t xml:space="preserve"> 20 600 France </w:t>
      </w:r>
      <w:proofErr w:type="spellStart"/>
      <w:r>
        <w:rPr>
          <w:sz w:val="16"/>
        </w:rPr>
        <w:t>Yalini</w:t>
      </w:r>
      <w:proofErr w:type="spellEnd"/>
      <w:r>
        <w:rPr>
          <w:sz w:val="16"/>
        </w:rPr>
        <w:t xml:space="preserve"> 135 600 Canada Spire 100 651 US Planet Doves 150 675 US </w:t>
      </w:r>
      <w:proofErr w:type="spellStart"/>
      <w:r>
        <w:rPr>
          <w:sz w:val="16"/>
        </w:rPr>
        <w:t>Orbcomm</w:t>
      </w:r>
      <w:proofErr w:type="spellEnd"/>
      <w:r>
        <w:rPr>
          <w:sz w:val="16"/>
        </w:rPr>
        <w:t xml:space="preserve"> 31 750 US Iridium 72 780 US Theia 112 800 US Lucky Star 156 1000 China </w:t>
      </w:r>
      <w:proofErr w:type="spellStart"/>
      <w:r>
        <w:rPr>
          <w:sz w:val="16"/>
        </w:rPr>
        <w:t>Telesat</w:t>
      </w:r>
      <w:proofErr w:type="spellEnd"/>
      <w:r>
        <w:rPr>
          <w:sz w:val="16"/>
        </w:rPr>
        <w:t xml:space="preserve"> LEO 72 1000 Canada </w:t>
      </w:r>
      <w:proofErr w:type="spellStart"/>
      <w:r>
        <w:rPr>
          <w:sz w:val="16"/>
        </w:rPr>
        <w:t>Hongyan</w:t>
      </w:r>
      <w:proofErr w:type="spellEnd"/>
      <w:r>
        <w:rPr>
          <w:sz w:val="16"/>
        </w:rPr>
        <w:t xml:space="preserve"> 300 1100 China </w:t>
      </w:r>
      <w:proofErr w:type="spellStart"/>
      <w:r>
        <w:rPr>
          <w:sz w:val="16"/>
        </w:rPr>
        <w:t>Xinwei</w:t>
      </w:r>
      <w:proofErr w:type="spellEnd"/>
      <w:r>
        <w:rPr>
          <w:sz w:val="16"/>
        </w:rPr>
        <w:t xml:space="preserve"> 32 1100 China SpaceX </w:t>
      </w:r>
      <w:proofErr w:type="spellStart"/>
      <w:r>
        <w:rPr>
          <w:sz w:val="16"/>
        </w:rPr>
        <w:t>Starlink</w:t>
      </w:r>
      <w:proofErr w:type="spellEnd"/>
      <w:r>
        <w:rPr>
          <w:sz w:val="16"/>
        </w:rPr>
        <w:t xml:space="preserve"> 2825 1110–1325 US </w:t>
      </w:r>
      <w:proofErr w:type="spellStart"/>
      <w:r>
        <w:rPr>
          <w:sz w:val="16"/>
        </w:rPr>
        <w:t>OneWeb</w:t>
      </w:r>
      <w:proofErr w:type="spellEnd"/>
      <w:r>
        <w:rPr>
          <w:sz w:val="16"/>
        </w:rPr>
        <w:t xml:space="preserve"> 720 1200 ESA </w:t>
      </w:r>
      <w:proofErr w:type="spellStart"/>
      <w:r>
        <w:rPr>
          <w:sz w:val="16"/>
        </w:rPr>
        <w:t>Telesat</w:t>
      </w:r>
      <w:proofErr w:type="spellEnd"/>
      <w:r>
        <w:rPr>
          <w:sz w:val="16"/>
        </w:rPr>
        <w:t xml:space="preserve"> LEO 45 1248 Canada </w:t>
      </w:r>
      <w:proofErr w:type="spellStart"/>
      <w:r>
        <w:rPr>
          <w:sz w:val="16"/>
        </w:rPr>
        <w:t>Astrome</w:t>
      </w:r>
      <w:proofErr w:type="spellEnd"/>
      <w:r>
        <w:rPr>
          <w:sz w:val="16"/>
        </w:rPr>
        <w:t xml:space="preserve"> Tech 600 1400 India </w:t>
      </w:r>
      <w:proofErr w:type="spellStart"/>
      <w:r>
        <w:rPr>
          <w:sz w:val="16"/>
        </w:rPr>
        <w:t>LeoSat</w:t>
      </w:r>
      <w:proofErr w:type="spellEnd"/>
      <w:r>
        <w:rPr>
          <w:sz w:val="16"/>
        </w:rPr>
        <w:t xml:space="preserve"> 108 1400 US </w:t>
      </w:r>
      <w:proofErr w:type="spellStart"/>
      <w:r>
        <w:rPr>
          <w:sz w:val="16"/>
        </w:rPr>
        <w:t>Globalstar</w:t>
      </w:r>
      <w:proofErr w:type="spellEnd"/>
      <w:r>
        <w:rPr>
          <w:sz w:val="16"/>
        </w:rPr>
        <w:t xml:space="preserve"> 40 1412 </w:t>
      </w:r>
      <w:r w:rsidRPr="0010202E">
        <w:rPr>
          <w:sz w:val="16"/>
        </w:rPr>
        <w:t xml:space="preserve">US </w:t>
      </w:r>
      <w:r w:rsidRPr="0010202E">
        <w:rPr>
          <w:u w:val="single"/>
        </w:rPr>
        <w:t xml:space="preserve">This table is in </w:t>
      </w:r>
      <w:r w:rsidRPr="0010202E">
        <w:rPr>
          <w:rStyle w:val="Emphasis"/>
        </w:rPr>
        <w:t>constant flux</w:t>
      </w:r>
      <w:r w:rsidRPr="0010202E">
        <w:rPr>
          <w:sz w:val="16"/>
        </w:rPr>
        <w:t>. It is based largely on U.S. filings with the Federal Communications Commission (FCC) and various press releases,</w:t>
      </w:r>
      <w:r>
        <w:rPr>
          <w:sz w:val="16"/>
        </w:rPr>
        <w:t xml:space="preserve"> but </w:t>
      </w:r>
      <w:r w:rsidRPr="0051078C">
        <w:rPr>
          <w:highlight w:val="cyan"/>
        </w:rPr>
        <w:t xml:space="preserve">many of the companies here have </w:t>
      </w:r>
      <w:r w:rsidRPr="0010202E">
        <w:t xml:space="preserve">already altered or </w:t>
      </w:r>
      <w:r w:rsidRPr="0051078C">
        <w:rPr>
          <w:highlight w:val="cyan"/>
        </w:rPr>
        <w:t xml:space="preserve">abandoned </w:t>
      </w:r>
      <w:r w:rsidRPr="0010202E">
        <w:t xml:space="preserve">their original </w:t>
      </w:r>
      <w:r w:rsidRPr="0051078C">
        <w:rPr>
          <w:highlight w:val="cyan"/>
        </w:rPr>
        <w:t xml:space="preserve">plans, </w:t>
      </w:r>
      <w:r w:rsidRPr="0010202E">
        <w:t>and new systems are no doubt in work. Although many of these large constellations may never be launched as listed</w:t>
      </w:r>
      <w:r w:rsidRPr="0010202E">
        <w:rPr>
          <w:sz w:val="16"/>
        </w:rPr>
        <w:t>,</w:t>
      </w:r>
      <w:r>
        <w:rPr>
          <w:sz w:val="16"/>
        </w:rPr>
        <w:t xml:space="preserve"> </w:t>
      </w:r>
      <w:r>
        <w:rPr>
          <w:u w:val="single"/>
        </w:rPr>
        <w:t xml:space="preserve">the </w:t>
      </w:r>
      <w:r>
        <w:rPr>
          <w:highlight w:val="green"/>
          <w:u w:val="single"/>
        </w:rPr>
        <w:t xml:space="preserve">traffic </w:t>
      </w:r>
      <w:r>
        <w:rPr>
          <w:u w:val="single"/>
        </w:rPr>
        <w:t xml:space="preserve">created </w:t>
      </w:r>
      <w:r>
        <w:rPr>
          <w:highlight w:val="green"/>
          <w:u w:val="single"/>
        </w:rPr>
        <w:t xml:space="preserve">if </w:t>
      </w:r>
      <w:r>
        <w:rPr>
          <w:rStyle w:val="Emphasis"/>
          <w:highlight w:val="green"/>
        </w:rPr>
        <w:t>just half are successful</w:t>
      </w:r>
      <w:r>
        <w:rPr>
          <w:highlight w:val="green"/>
          <w:u w:val="single"/>
        </w:rPr>
        <w:t xml:space="preserve"> would be </w:t>
      </w:r>
      <w:r>
        <w:rPr>
          <w:u w:val="single"/>
        </w:rPr>
        <w:t xml:space="preserve">more than </w:t>
      </w:r>
      <w:r>
        <w:rPr>
          <w:rStyle w:val="Emphasis"/>
        </w:rPr>
        <w:t>double</w:t>
      </w:r>
      <w:r>
        <w:rPr>
          <w:u w:val="single"/>
        </w:rPr>
        <w:t xml:space="preserve"> the number of payloads launched in the last 60 years and </w:t>
      </w:r>
      <w:r>
        <w:rPr>
          <w:rStyle w:val="Emphasis"/>
        </w:rPr>
        <w:t xml:space="preserve">more than </w:t>
      </w:r>
      <w:r>
        <w:rPr>
          <w:rStyle w:val="Emphasis"/>
          <w:highlight w:val="green"/>
        </w:rPr>
        <w:t>6 times</w:t>
      </w:r>
      <w:r>
        <w:rPr>
          <w:highlight w:val="green"/>
          <w:u w:val="single"/>
        </w:rPr>
        <w:t xml:space="preserve"> </w:t>
      </w:r>
      <w:r>
        <w:rPr>
          <w:u w:val="single"/>
        </w:rPr>
        <w:t xml:space="preserve">the number of currently </w:t>
      </w:r>
      <w:r>
        <w:rPr>
          <w:highlight w:val="green"/>
          <w:u w:val="single"/>
        </w:rPr>
        <w:t>active satellites</w:t>
      </w:r>
      <w:r>
        <w:rPr>
          <w:u w:val="single"/>
        </w:rPr>
        <w:t xml:space="preserve">. </w:t>
      </w:r>
      <w:r w:rsidRPr="0051078C">
        <w:rPr>
          <w:highlight w:val="cyan"/>
        </w:rPr>
        <w:t xml:space="preserve">Current space safety, </w:t>
      </w:r>
      <w:r w:rsidRPr="0010202E">
        <w:t xml:space="preserve">space </w:t>
      </w:r>
      <w:r w:rsidRPr="0051078C">
        <w:rPr>
          <w:highlight w:val="cyan"/>
        </w:rPr>
        <w:t xml:space="preserve">surveillance, collision avoidance </w:t>
      </w:r>
      <w:r w:rsidRPr="0010202E">
        <w:t xml:space="preserve">(COLA) </w:t>
      </w:r>
      <w:r w:rsidRPr="0051078C">
        <w:rPr>
          <w:highlight w:val="cyan"/>
        </w:rPr>
        <w:t xml:space="preserve">and debris mitigation processes have been designed for and </w:t>
      </w:r>
      <w:r w:rsidRPr="0010202E">
        <w:t xml:space="preserve">have </w:t>
      </w:r>
      <w:r w:rsidRPr="0051078C">
        <w:rPr>
          <w:highlight w:val="cyan"/>
        </w:rPr>
        <w:t xml:space="preserve">evolved </w:t>
      </w:r>
      <w:r w:rsidRPr="0010202E">
        <w:t>with the current population profile, launch rates and density of LEO space</w:t>
      </w:r>
      <w:r w:rsidRPr="0010202E">
        <w:rPr>
          <w:sz w:val="16"/>
        </w:rPr>
        <w:t xml:space="preserve">. By almost any metric used to measure activity in space, whether it is payloads in orbit, the size of constellations, the rate of launches, the economic stakes, </w:t>
      </w:r>
      <w:r w:rsidRPr="0010202E">
        <w:rPr>
          <w:u w:val="single"/>
        </w:rPr>
        <w:t xml:space="preserve">the potential for </w:t>
      </w:r>
      <w:r w:rsidRPr="0010202E">
        <w:rPr>
          <w:rStyle w:val="Emphasis"/>
        </w:rPr>
        <w:t>debris creation</w:t>
      </w:r>
      <w:r w:rsidRPr="0010202E">
        <w:rPr>
          <w:u w:val="single"/>
        </w:rPr>
        <w:t xml:space="preserve">, the </w:t>
      </w:r>
      <w:r w:rsidRPr="0010202E">
        <w:rPr>
          <w:rStyle w:val="Emphasis"/>
        </w:rPr>
        <w:t>number of conjunctions</w:t>
      </w:r>
      <w:r>
        <w:rPr>
          <w:u w:val="single"/>
        </w:rPr>
        <w:t xml:space="preserve">, </w:t>
      </w:r>
      <w:proofErr w:type="spellStart"/>
      <w:r>
        <w:rPr>
          <w:u w:val="single"/>
        </w:rPr>
        <w:t>NewSpace</w:t>
      </w:r>
      <w:proofErr w:type="spellEnd"/>
      <w:r>
        <w:rPr>
          <w:u w:val="single"/>
        </w:rPr>
        <w:t xml:space="preserve"> represents a </w:t>
      </w:r>
      <w:r>
        <w:rPr>
          <w:rStyle w:val="Emphasis"/>
        </w:rPr>
        <w:t>fundamental change</w:t>
      </w:r>
      <w:r>
        <w:rPr>
          <w:u w:val="single"/>
        </w:rPr>
        <w:t xml:space="preserve">. </w:t>
      </w:r>
      <w:r>
        <w:rPr>
          <w:sz w:val="16"/>
        </w:rPr>
        <w:t xml:space="preserve">3. Compounding effects of better SSA, more satellites, and new operational concepts </w:t>
      </w:r>
      <w:proofErr w:type="gramStart"/>
      <w:r>
        <w:rPr>
          <w:sz w:val="16"/>
        </w:rPr>
        <w:t>The</w:t>
      </w:r>
      <w:proofErr w:type="gramEnd"/>
      <w:r>
        <w:rPr>
          <w:sz w:val="16"/>
        </w:rPr>
        <w:t xml:space="preserve"> changes in the space environment can be seen on this figurative map of low Earth orbit. Fig. 1 shows the LEO environment as a function of altitude. </w:t>
      </w:r>
      <w:r>
        <w:rPr>
          <w:u w:val="single"/>
        </w:rPr>
        <w:t>The number of objects found in each 10 km “bin” is plotted on the horizontal axis, while the altitude is plotted vertically</w:t>
      </w:r>
      <w:r>
        <w:rPr>
          <w:sz w:val="16"/>
        </w:rPr>
        <w:t>.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17C80784" w14:textId="77777777" w:rsidR="00F5623D" w:rsidRDefault="00F5623D" w:rsidP="00F5623D">
      <w:pPr>
        <w:rPr>
          <w:sz w:val="16"/>
        </w:rPr>
      </w:pPr>
      <w:r>
        <w:rPr>
          <w:noProof/>
          <w:sz w:val="16"/>
        </w:rPr>
        <w:drawing>
          <wp:inline distT="0" distB="0" distL="0" distR="0" wp14:anchorId="728DF0E0" wp14:editId="4A5EB8CF">
            <wp:extent cx="2487295" cy="1856105"/>
            <wp:effectExtent l="0" t="0" r="8255" b="0"/>
            <wp:docPr id="4" name="Picture 4"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7295" cy="1856105"/>
                    </a:xfrm>
                    <a:prstGeom prst="rect">
                      <a:avLst/>
                    </a:prstGeom>
                    <a:noFill/>
                    <a:ln>
                      <a:noFill/>
                    </a:ln>
                  </pic:spPr>
                </pic:pic>
              </a:graphicData>
            </a:graphic>
          </wp:inline>
        </w:drawing>
      </w:r>
    </w:p>
    <w:p w14:paraId="6FD507A0" w14:textId="77777777" w:rsidR="00F5623D" w:rsidRDefault="00F5623D" w:rsidP="00F5623D">
      <w:pPr>
        <w:rPr>
          <w:u w:val="single"/>
        </w:rPr>
      </w:pPr>
      <w:r>
        <w:rPr>
          <w:sz w:val="16"/>
        </w:rPr>
        <w:t xml:space="preserve">Fig. 1. Objects in LEO orbit by altitude per 10 km altitude bin. Elliptical orbit objects distributed by portion spent in each bin. Some notable existing resident systems are listed on the right. New residents, including some replacement systems, are on the left. (For interpretation of the references to color in this figure, the reader is referred to the web version of this article.) The red line of the current catalog does not represent the complete risk; it indicates the risk we can track and perhaps avoid. A rule of thumb is that the </w:t>
      </w:r>
      <w:r>
        <w:rPr>
          <w:u w:val="single"/>
        </w:rPr>
        <w:t xml:space="preserve">current SSN LEO catalog contains objects about 10 cm or larger. It is generally accepted that </w:t>
      </w:r>
      <w:r>
        <w:rPr>
          <w:highlight w:val="green"/>
          <w:u w:val="single"/>
        </w:rPr>
        <w:t>an impact</w:t>
      </w:r>
      <w:r>
        <w:rPr>
          <w:u w:val="single"/>
        </w:rPr>
        <w:t xml:space="preserve"> in LEO with an object 1 cm or larger will </w:t>
      </w:r>
      <w:r>
        <w:rPr>
          <w:highlight w:val="green"/>
          <w:u w:val="single"/>
        </w:rPr>
        <w:t xml:space="preserve">cause </w:t>
      </w:r>
      <w:r>
        <w:rPr>
          <w:rStyle w:val="Emphasis"/>
          <w:highlight w:val="green"/>
        </w:rPr>
        <w:t>damage</w:t>
      </w:r>
      <w:r>
        <w:rPr>
          <w:u w:val="single"/>
        </w:rPr>
        <w:t xml:space="preserve"> likely </w:t>
      </w:r>
      <w:r>
        <w:rPr>
          <w:highlight w:val="green"/>
          <w:u w:val="single"/>
        </w:rPr>
        <w:t xml:space="preserve">to be </w:t>
      </w:r>
      <w:r>
        <w:rPr>
          <w:rStyle w:val="Emphasis"/>
          <w:highlight w:val="green"/>
        </w:rPr>
        <w:t>fatal</w:t>
      </w:r>
      <w:r>
        <w:rPr>
          <w:u w:val="single"/>
        </w:rPr>
        <w:t xml:space="preserve"> to a satellite's mission</w:t>
      </w:r>
      <w:r>
        <w:rPr>
          <w:sz w:val="16"/>
        </w:rPr>
        <w:t xml:space="preserve">. Therefore, </w:t>
      </w:r>
      <w:r>
        <w:rPr>
          <w:highlight w:val="green"/>
          <w:u w:val="single"/>
        </w:rPr>
        <w:t>there is a</w:t>
      </w:r>
      <w:r>
        <w:rPr>
          <w:u w:val="single"/>
        </w:rPr>
        <w:t xml:space="preserve"> </w:t>
      </w:r>
      <w:r>
        <w:rPr>
          <w:rStyle w:val="Emphasis"/>
        </w:rPr>
        <w:t>large</w:t>
      </w:r>
      <w:r>
        <w:rPr>
          <w:u w:val="single"/>
        </w:rPr>
        <w:t xml:space="preserve"> </w:t>
      </w:r>
      <w:r>
        <w:rPr>
          <w:rStyle w:val="Emphasis"/>
        </w:rPr>
        <w:t>latent</w:t>
      </w:r>
      <w:r>
        <w:rPr>
          <w:u w:val="single"/>
        </w:rPr>
        <w:t xml:space="preserve"> </w:t>
      </w:r>
      <w:r>
        <w:rPr>
          <w:rStyle w:val="Emphasis"/>
          <w:highlight w:val="green"/>
        </w:rPr>
        <w:t>risk</w:t>
      </w:r>
      <w:r>
        <w:rPr>
          <w:highlight w:val="green"/>
          <w:u w:val="single"/>
        </w:rPr>
        <w:t xml:space="preserve"> from </w:t>
      </w:r>
      <w:r>
        <w:rPr>
          <w:rStyle w:val="Emphasis"/>
          <w:highlight w:val="green"/>
        </w:rPr>
        <w:t>unobserved debris</w:t>
      </w:r>
      <w:r>
        <w:rPr>
          <w:sz w:val="16"/>
        </w:rPr>
        <w:t xml:space="preserve">. While we cannot currently track and catalog much smaller than 10 cm, </w:t>
      </w:r>
      <w:r>
        <w:rPr>
          <w:u w:val="single"/>
        </w:rPr>
        <w:t xml:space="preserve">experiments have been performed to detect and sample </w:t>
      </w:r>
      <w:r>
        <w:rPr>
          <w:rStyle w:val="Emphasis"/>
        </w:rPr>
        <w:t>much smaller objects and statistically model</w:t>
      </w:r>
      <w:r>
        <w:rPr>
          <w:u w:val="single"/>
        </w:rPr>
        <w:t xml:space="preserve"> the population at this size</w:t>
      </w:r>
      <w:r>
        <w:rPr>
          <w:sz w:val="16"/>
        </w:rPr>
        <w:t xml:space="preserve"> [3]. The (solid) </w:t>
      </w:r>
      <w:r>
        <w:rPr>
          <w:u w:val="single"/>
        </w:rPr>
        <w:t xml:space="preserve">blue line represents the model of the 1 cm and larger debris that is likely </w:t>
      </w:r>
      <w:r>
        <w:rPr>
          <w:rStyle w:val="Emphasis"/>
        </w:rPr>
        <w:t>mission-ending</w:t>
      </w:r>
      <w:r>
        <w:rPr>
          <w:u w:val="single"/>
        </w:rPr>
        <w:t xml:space="preserve">, usually called </w:t>
      </w:r>
      <w:r>
        <w:rPr>
          <w:rStyle w:val="Emphasis"/>
          <w:highlight w:val="green"/>
        </w:rPr>
        <w:t>lethal but not trackable</w:t>
      </w:r>
      <w:r>
        <w:rPr>
          <w:sz w:val="16"/>
        </w:rPr>
        <w:t xml:space="preserve">. If LEO operators avoid collisions with all the objects in the red line, they are nonetheless inherently accepting the risk from the blue line. </w:t>
      </w:r>
      <w:r>
        <w:rPr>
          <w:u w:val="single"/>
        </w:rPr>
        <w:t xml:space="preserve">This risk is already present. </w:t>
      </w:r>
      <w:r>
        <w:rPr>
          <w:sz w:val="16"/>
        </w:rPr>
        <w:t xml:space="preserve">The (dashed) orange line is an estimate of the population at 5 cm and larger and is thus an estimate of what the catalog might conservatively be a few years after the Space Fence, a new radar system being built by the Air Force, comes </w:t>
      </w:r>
      <w:proofErr w:type="gramStart"/>
      <w:r>
        <w:rPr>
          <w:sz w:val="16"/>
        </w:rPr>
        <w:t>on line</w:t>
      </w:r>
      <w:proofErr w:type="gramEnd"/>
      <w:r>
        <w:rPr>
          <w:sz w:val="16"/>
        </w:rPr>
        <w:t xml:space="preserve"> (currently planned for 2019) [4]. </w:t>
      </w:r>
      <w:r>
        <w:rPr>
          <w:u w:val="single"/>
        </w:rPr>
        <w:t xml:space="preserve">Commercial companies offering space surveillance services, such as </w:t>
      </w:r>
      <w:proofErr w:type="spellStart"/>
      <w:r>
        <w:rPr>
          <w:u w:val="single"/>
        </w:rPr>
        <w:t>LeoLabs</w:t>
      </w:r>
      <w:proofErr w:type="spellEnd"/>
      <w:r>
        <w:rPr>
          <w:u w:val="single"/>
        </w:rPr>
        <w:t xml:space="preserve">, </w:t>
      </w:r>
      <w:proofErr w:type="spellStart"/>
      <w:r>
        <w:rPr>
          <w:u w:val="single"/>
        </w:rPr>
        <w:t>ExoAnalytics</w:t>
      </w:r>
      <w:proofErr w:type="spellEnd"/>
      <w:r>
        <w:rPr>
          <w:u w:val="single"/>
        </w:rPr>
        <w:t xml:space="preserve">, Analytic Graphics Inc., Lockheed, and Boeing, might also add to the </w:t>
      </w:r>
      <w:r>
        <w:rPr>
          <w:rStyle w:val="Emphasis"/>
        </w:rPr>
        <w:t>number of objects currently tracked</w:t>
      </w:r>
      <w:r>
        <w:rPr>
          <w:sz w:val="16"/>
        </w:rPr>
        <w:t xml:space="preserve">. Space Policy Directive 3 (SPD-3) [13] specifically seeks to expand the use of commercial SSA services. </w:t>
      </w:r>
      <w:r w:rsidRPr="0051078C">
        <w:rPr>
          <w:highlight w:val="cyan"/>
        </w:rPr>
        <w:t xml:space="preserve">Existing operators can expect a sharp increase in </w:t>
      </w:r>
      <w:r w:rsidRPr="0010202E">
        <w:t xml:space="preserve">the number of </w:t>
      </w:r>
      <w:r w:rsidRPr="0051078C">
        <w:rPr>
          <w:highlight w:val="cyan"/>
        </w:rPr>
        <w:t xml:space="preserve">warnings </w:t>
      </w:r>
      <w:r w:rsidRPr="0010202E">
        <w:t>and alerts they will receive because of the increase in the cataloged population.</w:t>
      </w:r>
      <w:r w:rsidRPr="0010202E">
        <w:rPr>
          <w:sz w:val="16"/>
        </w:rPr>
        <w:t xml:space="preserve"> Almost all the increase will come from newly detected debris [5]. The pace of safety operations for each satellite on orbit will significantly change because of the increase in the catalog from the Space Fence</w:t>
      </w:r>
      <w:r>
        <w:rPr>
          <w:sz w:val="16"/>
        </w:rPr>
        <w:t xml:space="preserve">. This effect is compounded because the </w:t>
      </w:r>
      <w:proofErr w:type="spellStart"/>
      <w:r>
        <w:rPr>
          <w:sz w:val="16"/>
        </w:rPr>
        <w:t>NewSpace</w:t>
      </w:r>
      <w:proofErr w:type="spellEnd"/>
      <w:r>
        <w:rPr>
          <w:sz w:val="16"/>
        </w:rPr>
        <w:t xml:space="preserve"> constellations described in Table 1 will drastically change the profile of satellites in LEO. The green bars in Fig. 1 represent the number of objects that will be added to the catalog (red or orange lines) from only the </w:t>
      </w:r>
      <w:proofErr w:type="spellStart"/>
      <w:r>
        <w:rPr>
          <w:sz w:val="16"/>
        </w:rPr>
        <w:t>NewSpace</w:t>
      </w:r>
      <w:proofErr w:type="spellEnd"/>
      <w:r>
        <w:rPr>
          <w:sz w:val="16"/>
        </w:rPr>
        <w:t xml:space="preserve"> large LEO constellations at their operational altitudes. This does not include the rocket stages that launch them, or satellites in the process of being phased into or removed from the operational orbits. Neighbors of one of these new constellations may face a radically different operations environment than their current practices were designed to address. Satellites in these large LEO constellations typically have planned operational lifetimes of 5–10 years. Some companies have proposed to dispose of their satellites using low thrust electric propulsion systems, which would spiral satellites down over a period of months or years from operating altitudes as high as 1500 km through lower orbits where the Hubble Space Telescope, the International Space Station, and other critical LEO satellites operate [6]. Similar propulsive techniques would raise replacement satellites from lower launch injection orbits to higher operational orbits. These </w:t>
      </w:r>
      <w:r>
        <w:rPr>
          <w:rStyle w:val="Emphasis"/>
          <w:highlight w:val="green"/>
        </w:rPr>
        <w:t>disposal</w:t>
      </w:r>
      <w:r>
        <w:rPr>
          <w:highlight w:val="green"/>
          <w:u w:val="single"/>
        </w:rPr>
        <w:t xml:space="preserve"> and </w:t>
      </w:r>
      <w:r>
        <w:rPr>
          <w:rStyle w:val="Emphasis"/>
          <w:highlight w:val="green"/>
        </w:rPr>
        <w:t xml:space="preserve">replenishment </w:t>
      </w:r>
      <w:r>
        <w:rPr>
          <w:rStyle w:val="Emphasis"/>
        </w:rPr>
        <w:t>activities</w:t>
      </w:r>
      <w:r>
        <w:rPr>
          <w:u w:val="single"/>
        </w:rPr>
        <w:t xml:space="preserve"> will </w:t>
      </w:r>
      <w:r>
        <w:rPr>
          <w:highlight w:val="green"/>
          <w:u w:val="single"/>
        </w:rPr>
        <w:t xml:space="preserve">add </w:t>
      </w:r>
      <w:r>
        <w:rPr>
          <w:rStyle w:val="Emphasis"/>
          <w:highlight w:val="green"/>
        </w:rPr>
        <w:t>thousands of satellites</w:t>
      </w:r>
      <w:r>
        <w:rPr>
          <w:rStyle w:val="Emphasis"/>
        </w:rPr>
        <w:t xml:space="preserve"> each year transiting through lower altitudes</w:t>
      </w:r>
      <w:r>
        <w:rPr>
          <w:u w:val="single"/>
        </w:rPr>
        <w:t xml:space="preserve"> and posing a risk to all resident satellites in those </w:t>
      </w:r>
      <w:r>
        <w:rPr>
          <w:rStyle w:val="Emphasis"/>
        </w:rPr>
        <w:t>lower orbits</w:t>
      </w:r>
      <w:r>
        <w:rPr>
          <w:sz w:val="16"/>
        </w:rPr>
        <w:t xml:space="preserve">. More importantly, </w:t>
      </w:r>
      <w:r>
        <w:rPr>
          <w:highlight w:val="green"/>
          <w:u w:val="single"/>
        </w:rPr>
        <w:t xml:space="preserve">failures will </w:t>
      </w:r>
      <w:r>
        <w:rPr>
          <w:rStyle w:val="Emphasis"/>
          <w:highlight w:val="green"/>
        </w:rPr>
        <w:t>occur</w:t>
      </w:r>
      <w:r>
        <w:rPr>
          <w:u w:val="single"/>
        </w:rPr>
        <w:t xml:space="preserve"> both among </w:t>
      </w:r>
      <w:r>
        <w:rPr>
          <w:rStyle w:val="Emphasis"/>
        </w:rPr>
        <w:t>transiting satellites and operational constellations</w:t>
      </w:r>
      <w:r>
        <w:rPr>
          <w:u w:val="single"/>
        </w:rPr>
        <w:t xml:space="preserve">, potentially leaving </w:t>
      </w:r>
      <w:r>
        <w:rPr>
          <w:rStyle w:val="Emphasis"/>
        </w:rPr>
        <w:t>hundreds more stranded along the transit path.</w:t>
      </w:r>
      <w:r>
        <w:rPr>
          <w:u w:val="single"/>
        </w:rPr>
        <w:t xml:space="preserve"> Aerospace studies</w:t>
      </w:r>
      <w:r>
        <w:rPr>
          <w:sz w:val="16"/>
        </w:rPr>
        <w:t xml:space="preserve"> [7–9] have </w:t>
      </w:r>
      <w:r>
        <w:rPr>
          <w:u w:val="single"/>
        </w:rPr>
        <w:t xml:space="preserve">shown that </w:t>
      </w:r>
      <w:r>
        <w:rPr>
          <w:rStyle w:val="Emphasis"/>
        </w:rPr>
        <w:t>failed satellites</w:t>
      </w:r>
      <w:r>
        <w:rPr>
          <w:u w:val="single"/>
        </w:rPr>
        <w:t xml:space="preserve">, whether they fail during operations or fail during disposal, can pose as great or even greater risk than the many thousands of </w:t>
      </w:r>
      <w:r>
        <w:rPr>
          <w:rStyle w:val="Emphasis"/>
        </w:rPr>
        <w:t>operational satellites</w:t>
      </w:r>
      <w:r>
        <w:rPr>
          <w:sz w:val="16"/>
        </w:rPr>
        <w:t xml:space="preserve"> (Fig. 2). </w:t>
      </w:r>
      <w:r>
        <w:rPr>
          <w:u w:val="single"/>
        </w:rPr>
        <w:t xml:space="preserve">Given the </w:t>
      </w:r>
      <w:r>
        <w:rPr>
          <w:rStyle w:val="Emphasis"/>
        </w:rPr>
        <w:t>rapid flux in the proposed</w:t>
      </w:r>
      <w:r>
        <w:rPr>
          <w:u w:val="single"/>
        </w:rPr>
        <w:t xml:space="preserve"> </w:t>
      </w:r>
      <w:r>
        <w:rPr>
          <w:rStyle w:val="Emphasis"/>
        </w:rPr>
        <w:t>large LEO constellations</w:t>
      </w:r>
      <w:r>
        <w:rPr>
          <w:u w:val="single"/>
        </w:rPr>
        <w:t xml:space="preserve"> (LLC), we created a Future Constellations Model (FCM) with elements that represented the </w:t>
      </w:r>
      <w:r>
        <w:rPr>
          <w:rStyle w:val="Emphasis"/>
        </w:rPr>
        <w:t>characteristics</w:t>
      </w:r>
      <w:r>
        <w:rPr>
          <w:u w:val="single"/>
        </w:rPr>
        <w:t xml:space="preserve"> of the different systems being proposed</w:t>
      </w:r>
      <w:r>
        <w:rPr>
          <w:sz w:val="16"/>
        </w:rPr>
        <w:t xml:space="preserve">. In our models, </w:t>
      </w:r>
      <w:r>
        <w:rPr>
          <w:u w:val="single"/>
        </w:rPr>
        <w:t xml:space="preserve">almost all the </w:t>
      </w:r>
      <w:r>
        <w:rPr>
          <w:rStyle w:val="Emphasis"/>
          <w:highlight w:val="green"/>
        </w:rPr>
        <w:t>collisions</w:t>
      </w:r>
      <w:r>
        <w:rPr>
          <w:highlight w:val="green"/>
          <w:u w:val="single"/>
        </w:rPr>
        <w:t xml:space="preserve"> and</w:t>
      </w:r>
      <w:r>
        <w:rPr>
          <w:u w:val="single"/>
        </w:rPr>
        <w:t xml:space="preserve"> the </w:t>
      </w:r>
      <w:r>
        <w:rPr>
          <w:rStyle w:val="Emphasis"/>
        </w:rPr>
        <w:t xml:space="preserve">resulting </w:t>
      </w:r>
      <w:r>
        <w:rPr>
          <w:rStyle w:val="Emphasis"/>
          <w:highlight w:val="green"/>
        </w:rPr>
        <w:t>debris</w:t>
      </w:r>
      <w:r>
        <w:rPr>
          <w:u w:val="single"/>
        </w:rPr>
        <w:t xml:space="preserve"> from those collisions </w:t>
      </w:r>
      <w:r>
        <w:rPr>
          <w:highlight w:val="green"/>
          <w:u w:val="single"/>
        </w:rPr>
        <w:t xml:space="preserve">occur because of </w:t>
      </w:r>
      <w:r>
        <w:rPr>
          <w:rStyle w:val="Emphasis"/>
          <w:highlight w:val="green"/>
        </w:rPr>
        <w:t>failed systems</w:t>
      </w:r>
      <w:r>
        <w:rPr>
          <w:sz w:val="16"/>
        </w:rPr>
        <w:t xml:space="preserve">. </w:t>
      </w:r>
      <w:r w:rsidRPr="0051078C">
        <w:rPr>
          <w:highlight w:val="cyan"/>
        </w:rPr>
        <w:t xml:space="preserve">Most </w:t>
      </w:r>
      <w:r w:rsidRPr="0010202E">
        <w:t xml:space="preserve">large constellation </w:t>
      </w:r>
      <w:r w:rsidRPr="0051078C">
        <w:rPr>
          <w:highlight w:val="cyan"/>
        </w:rPr>
        <w:t xml:space="preserve">operators intend to perform </w:t>
      </w:r>
      <w:r w:rsidRPr="0010202E">
        <w:t xml:space="preserve">active </w:t>
      </w:r>
      <w:r w:rsidRPr="0051078C">
        <w:rPr>
          <w:highlight w:val="cyan"/>
        </w:rPr>
        <w:t xml:space="preserve">collision avoidance </w:t>
      </w:r>
      <w:r w:rsidRPr="0010202E">
        <w:t>for active systems</w:t>
      </w:r>
      <w:r w:rsidRPr="0010202E">
        <w:rPr>
          <w:sz w:val="16"/>
        </w:rPr>
        <w:t xml:space="preserve">, whether operational or in some stage of check-out or disposal, but failed satellites are assumed to be incapable of maneuver. Fig. 2 also shows that </w:t>
      </w:r>
      <w:r w:rsidRPr="0010202E">
        <w:rPr>
          <w:u w:val="single"/>
        </w:rPr>
        <w:t xml:space="preserve">satellites in the disposal phase can </w:t>
      </w:r>
      <w:r w:rsidRPr="0010202E">
        <w:rPr>
          <w:rStyle w:val="Emphasis"/>
        </w:rPr>
        <w:t>contribute to collisions similarly to satellites</w:t>
      </w:r>
      <w:r w:rsidRPr="0010202E">
        <w:rPr>
          <w:u w:val="single"/>
        </w:rPr>
        <w:t xml:space="preserve"> in the operational phase. </w:t>
      </w:r>
      <w:r w:rsidRPr="0010202E">
        <w:rPr>
          <w:sz w:val="16"/>
        </w:rPr>
        <w:t xml:space="preserve">Fig 2 </w:t>
      </w:r>
      <w:proofErr w:type="gramStart"/>
      <w:r w:rsidRPr="0010202E">
        <w:rPr>
          <w:sz w:val="16"/>
        </w:rPr>
        <w:t>Download :</w:t>
      </w:r>
      <w:proofErr w:type="gramEnd"/>
      <w:r w:rsidRPr="0010202E">
        <w:rPr>
          <w:sz w:val="16"/>
        </w:rPr>
        <w:t xml:space="preserve"> Download full-size image Fig. 2. Collisions during operations and disposal over 10 years for various </w:t>
      </w:r>
      <w:proofErr w:type="spellStart"/>
      <w:r w:rsidRPr="0010202E">
        <w:rPr>
          <w:sz w:val="16"/>
        </w:rPr>
        <w:t>NewSpace</w:t>
      </w:r>
      <w:proofErr w:type="spellEnd"/>
      <w:r w:rsidRPr="0010202E">
        <w:rPr>
          <w:sz w:val="16"/>
        </w:rPr>
        <w:t xml:space="preserve"> Future Constellation Models (FCMs). 4. A notional illustration of workload </w:t>
      </w:r>
      <w:proofErr w:type="gramStart"/>
      <w:r w:rsidRPr="0010202E">
        <w:rPr>
          <w:u w:val="single"/>
        </w:rPr>
        <w:t>The</w:t>
      </w:r>
      <w:proofErr w:type="gramEnd"/>
      <w:r w:rsidRPr="0010202E">
        <w:rPr>
          <w:u w:val="single"/>
        </w:rPr>
        <w:t xml:space="preserve"> highest risk to operational satellites comes from the </w:t>
      </w:r>
      <w:r w:rsidRPr="0010202E">
        <w:rPr>
          <w:rStyle w:val="Emphasis"/>
        </w:rPr>
        <w:t>lethal but non-trackable debris that is depicted</w:t>
      </w:r>
      <w:r w:rsidRPr="0010202E">
        <w:rPr>
          <w:sz w:val="16"/>
        </w:rPr>
        <w:t xml:space="preserve"> in the blue line in Fig. 2. However, </w:t>
      </w:r>
      <w:r w:rsidRPr="0010202E">
        <w:t xml:space="preserve">operators perform collision avoidance only on the objects that can be tracked and cataloged. Advances in tracking and </w:t>
      </w:r>
      <w:proofErr w:type="spellStart"/>
      <w:r w:rsidRPr="0010202E">
        <w:t>NewSpace</w:t>
      </w:r>
      <w:proofErr w:type="spellEnd"/>
      <w:r w:rsidRPr="0010202E">
        <w:t xml:space="preserve"> launches will both act to increase this workload</w:t>
      </w:r>
      <w:r w:rsidRPr="0010202E">
        <w:rPr>
          <w:sz w:val="16"/>
        </w:rPr>
        <w:t>. A key element of</w:t>
      </w:r>
      <w:r>
        <w:rPr>
          <w:sz w:val="16"/>
        </w:rPr>
        <w:t xml:space="preserve"> the problem is that </w:t>
      </w:r>
      <w:r>
        <w:rPr>
          <w:u w:val="single"/>
        </w:rPr>
        <w:t xml:space="preserve">an </w:t>
      </w:r>
      <w:r>
        <w:rPr>
          <w:highlight w:val="green"/>
          <w:u w:val="single"/>
        </w:rPr>
        <w:t xml:space="preserve">increase in </w:t>
      </w:r>
      <w:r>
        <w:rPr>
          <w:u w:val="single"/>
        </w:rPr>
        <w:t xml:space="preserve">the LEO population will lead to an increase in close approaches to existing satellites [5], and the </w:t>
      </w:r>
      <w:r>
        <w:rPr>
          <w:rStyle w:val="Emphasis"/>
          <w:highlight w:val="green"/>
        </w:rPr>
        <w:t xml:space="preserve">potential for </w:t>
      </w:r>
      <w:r>
        <w:rPr>
          <w:rStyle w:val="Emphasis"/>
        </w:rPr>
        <w:t xml:space="preserve">accidental </w:t>
      </w:r>
      <w:r>
        <w:rPr>
          <w:rStyle w:val="Emphasis"/>
          <w:highlight w:val="green"/>
        </w:rPr>
        <w:t>collisions</w:t>
      </w:r>
      <w:r>
        <w:rPr>
          <w:sz w:val="16"/>
        </w:rPr>
        <w:t xml:space="preserve">. </w:t>
      </w:r>
      <w:r w:rsidRPr="0010202E">
        <w:t>Conjunction prediction, collision probability (Pc), and maneuver planning for most existing satellite operators is a time- and personnel-intensive operation. Orbit analysts, and propulsion, navigation, and communications systems personnel are involved in evaluating and planning maneuvers over several days and must do so even if the ultimate decision is to “fly through” a close approach.</w:t>
      </w:r>
      <w:r w:rsidRPr="0010202E">
        <w:rPr>
          <w:sz w:val="16"/>
        </w:rPr>
        <w:t xml:space="preserve"> Since most existing systems have small numbers of vehicles and the number of conjunctions any given operator experiences is relatively small, COLA remains a manual process. For systems not designed with automated maneuver planning, a COLA assessment that progresses all the way to a maneuver plan can consume considerable effort, whether or not the maneuver is executed. If a large constellation is deployed next to an existing resident system, the existing system may experience many conjunctions and alerts due to its close proximity of the dense new constellation. A sufficiently large constellation will, in effect</w:t>
      </w:r>
      <w:r>
        <w:rPr>
          <w:sz w:val="16"/>
        </w:rPr>
        <w:t xml:space="preserve">, form a “shell” where frequent opportunities for conjunctions will be created. For example, Fig. 3 depicts a fictional scenario where 1225 “New” satellites are distributed in 35 planes in circular orbits at 1000 km altitude, at 98° inclination. These are placed near a hypothetical “Old” six-satellite constellation operating in a nearly circular orbit at the same altitude and 63° inclination. Following a common operations practice, we assume that the </w:t>
      </w:r>
      <w:proofErr w:type="gramStart"/>
      <w:r>
        <w:rPr>
          <w:sz w:val="16"/>
        </w:rPr>
        <w:t>Old</w:t>
      </w:r>
      <w:proofErr w:type="gramEnd"/>
      <w:r>
        <w:rPr>
          <w:sz w:val="16"/>
        </w:rPr>
        <w:t xml:space="preserve"> satellite operators flag a conjunction at Pc&gt; 10−7, start COLA assessment with additional tracking at Pc&gt; 10−6, and plan a COLA maneuver when the Pc&gt; 10−5. A conjunction with Pc &gt; 10−4 would typically be considered a significant risk leading most operators to maneuver. Fig 3 </w:t>
      </w:r>
      <w:proofErr w:type="gramStart"/>
      <w:r>
        <w:rPr>
          <w:sz w:val="16"/>
        </w:rPr>
        <w:t>Download :</w:t>
      </w:r>
      <w:proofErr w:type="gramEnd"/>
      <w:r>
        <w:rPr>
          <w:sz w:val="16"/>
        </w:rPr>
        <w:t xml:space="preserve"> Download full-size image Fig. 3. “New” large LEO constellation at same average altitude as “Old” existing constellation. Currently, the </w:t>
      </w:r>
      <w:proofErr w:type="gramStart"/>
      <w:r>
        <w:rPr>
          <w:sz w:val="16"/>
        </w:rPr>
        <w:t>Old</w:t>
      </w:r>
      <w:proofErr w:type="gramEnd"/>
      <w:r>
        <w:rPr>
          <w:sz w:val="16"/>
        </w:rPr>
        <w:t xml:space="preserve"> system in this example would typically see a warning (Pc &gt; 10−6) a few times a month at this altitude, and of those, a few per year might cross the maneuver threshold. For the operations center, this would be multiplied by the number of satellites in the constellation. When the New system parks nearby, the number of COLA alerts jumps substantially. But the number of alerts depends entirely on the error bubble, (covariance) used. If the typical errors of the public external tracking data and the orbit propagation methods that are widely available (General Perturbations, or GP) are used for both constellations, over a 30-day period we see 129 conjunctions that cross the threshold for COLA assessment (Pc&gt; 10−6), and 53 that cross the maneuver planning threshold (Pc&gt; 10−5) (Fig. 4). This is nearly 2 per day. This could be an enormous workload for a manual process. If a high accuracy catalog (Special Perturbations, or “SP”) and a high-fidelity propagator with its typical covariances is used, the number of conjunctions goes from 129 to a more manageable 10. SP data is maintained by the Air Force, but it is not widely available. It is interesting to note that nine of those 10 crossed the maneuver-planning threshold, and of those, four crossed the Pc&gt; 10−4 where many operators would choose to execute a maneuver. Compared to GP, the SP-quality data resulted in far fewer warnings and flagged four very close conjunctions. The operations center would have been able to concentrate on fewer “false alarms”. We also computed the case where GPS-quality owner-operator data was used for both systems, in which we assumed near-real-time owner-operator position data of very high quality was provided by both operators and used in the collision analysis. In this case, NONE of the conjunctions resulted in a warning and no COLA alerts were generated. The closest approach was 99 m, with a Pc of 3.7 × 10−7 using SP. But because of the quality of the GPS-based position data, this conjunction did not raise an alert because the </w:t>
      </w:r>
      <w:proofErr w:type="gramStart"/>
      <w:r>
        <w:rPr>
          <w:sz w:val="16"/>
        </w:rPr>
        <w:t>fully-informed</w:t>
      </w:r>
      <w:proofErr w:type="gramEnd"/>
      <w:r>
        <w:rPr>
          <w:sz w:val="16"/>
        </w:rPr>
        <w:t xml:space="preserve"> operators could be confident that a collision would not occur. Fig 4 </w:t>
      </w:r>
      <w:proofErr w:type="gramStart"/>
      <w:r>
        <w:rPr>
          <w:sz w:val="16"/>
        </w:rPr>
        <w:t>Download :</w:t>
      </w:r>
      <w:proofErr w:type="gramEnd"/>
      <w:r>
        <w:rPr>
          <w:sz w:val="16"/>
        </w:rPr>
        <w:t xml:space="preserve"> Download full-size image Fig. 4. Number of COLA alerts in 30 days for various qualities of position knowledge when a fictional new system is deployed near an existing one. In the example, an operations center for the </w:t>
      </w:r>
      <w:proofErr w:type="gramStart"/>
      <w:r>
        <w:rPr>
          <w:sz w:val="16"/>
        </w:rPr>
        <w:t>Old</w:t>
      </w:r>
      <w:proofErr w:type="gramEnd"/>
      <w:r>
        <w:rPr>
          <w:sz w:val="16"/>
        </w:rPr>
        <w:t xml:space="preserve"> constellation of six satellites could go from about one COLA assessment a week to nearly one per day per satellite, if only the published satellite catalog is available. If a new constellation operates too close to an existing system, the operator workload may become unreasonable using existing processes. But high accuracy data makes this manageable, and GPS-quality owner-operator data for both systems makes the problem vanish. Since these constellations are likely to be operated by different companies or governments, sharing high-quality position data would likely require an active space traffic management organization. Existing operators will not necessarily have large constellations parked nearby, but they will nonetheless be affected by the new activity. The </w:t>
      </w:r>
      <w:proofErr w:type="gramStart"/>
      <w:r>
        <w:rPr>
          <w:sz w:val="16"/>
        </w:rPr>
        <w:t>new large</w:t>
      </w:r>
      <w:proofErr w:type="gramEnd"/>
      <w:r>
        <w:rPr>
          <w:sz w:val="16"/>
        </w:rPr>
        <w:t xml:space="preserve"> constellations’ satellites typically will have relatively short lifetimes and will need frequent replenishment. The traffic transiting up and down will be substantial, and failures could leave stranded objects at intermediate altitudes, permanently increasing the collision risk. 5. Conjunction warning overload </w:t>
      </w:r>
      <w:proofErr w:type="spellStart"/>
      <w:r>
        <w:rPr>
          <w:sz w:val="16"/>
        </w:rPr>
        <w:t>NewSpace</w:t>
      </w:r>
      <w:proofErr w:type="spellEnd"/>
      <w:r>
        <w:rPr>
          <w:sz w:val="16"/>
        </w:rPr>
        <w:t xml:space="preserve"> operators will face a different challenge due to the vast increase in numbers of satellites. While there are likely as many operational plans as there are operators, a large constellation must consider close approaches with itself. Even if there are no neighboring systems, self-conjunctions can occur between two members of the same constellation. Depending on the configuration, a given operator could see hundreds to thousands of self-conjunctions that cross typical warning thresholds each day using current practices. This could be an issue for a space traffic management (STM) agency, even if it is not an issue for the operator. Aerospace models show that for one possible </w:t>
      </w:r>
      <w:proofErr w:type="spellStart"/>
      <w:r>
        <w:rPr>
          <w:sz w:val="16"/>
        </w:rPr>
        <w:t>NewSpace</w:t>
      </w:r>
      <w:proofErr w:type="spellEnd"/>
      <w:r>
        <w:rPr>
          <w:sz w:val="16"/>
        </w:rPr>
        <w:t xml:space="preserve"> constellation, </w:t>
      </w:r>
      <w:r>
        <w:rPr>
          <w:u w:val="single"/>
        </w:rPr>
        <w:t xml:space="preserve">more than </w:t>
      </w:r>
      <w:r>
        <w:rPr>
          <w:rStyle w:val="Emphasis"/>
          <w:highlight w:val="green"/>
        </w:rPr>
        <w:t>500,000 self-conjunctions each year</w:t>
      </w:r>
      <w:r>
        <w:rPr>
          <w:u w:val="single"/>
        </w:rPr>
        <w:t xml:space="preserve"> could result that </w:t>
      </w:r>
      <w:r>
        <w:rPr>
          <w:highlight w:val="green"/>
          <w:u w:val="single"/>
        </w:rPr>
        <w:t>cross</w:t>
      </w:r>
      <w:r>
        <w:rPr>
          <w:u w:val="single"/>
        </w:rPr>
        <w:t xml:space="preserve"> the </w:t>
      </w:r>
      <w:r>
        <w:rPr>
          <w:rStyle w:val="Emphasis"/>
          <w:highlight w:val="green"/>
        </w:rPr>
        <w:t>typical</w:t>
      </w:r>
      <w:r>
        <w:rPr>
          <w:rStyle w:val="Emphasis"/>
        </w:rPr>
        <w:t xml:space="preserve"> Pc &gt; 10−6 warning </w:t>
      </w:r>
      <w:r>
        <w:rPr>
          <w:rStyle w:val="Emphasis"/>
          <w:highlight w:val="green"/>
        </w:rPr>
        <w:t>threshold</w:t>
      </w:r>
      <w:r>
        <w:rPr>
          <w:sz w:val="16"/>
        </w:rPr>
        <w:t xml:space="preserve">. If no action were taken, we would expect 2–3 collisions per year. This is clearly unacceptable. Thus, current </w:t>
      </w:r>
      <w:r>
        <w:rPr>
          <w:u w:val="single"/>
        </w:rPr>
        <w:t xml:space="preserve">tracking accuracy and processes might produce </w:t>
      </w:r>
      <w:r>
        <w:rPr>
          <w:rStyle w:val="Emphasis"/>
          <w:highlight w:val="green"/>
        </w:rPr>
        <w:t xml:space="preserve">millions of warnings </w:t>
      </w:r>
      <w:r>
        <w:rPr>
          <w:rStyle w:val="Emphasis"/>
        </w:rPr>
        <w:t>per year</w:t>
      </w:r>
      <w:r>
        <w:rPr>
          <w:u w:val="single"/>
        </w:rPr>
        <w:t xml:space="preserve"> for </w:t>
      </w:r>
      <w:proofErr w:type="spellStart"/>
      <w:r>
        <w:rPr>
          <w:u w:val="single"/>
        </w:rPr>
        <w:t>NewSpace</w:t>
      </w:r>
      <w:proofErr w:type="spellEnd"/>
      <w:r>
        <w:rPr>
          <w:u w:val="single"/>
        </w:rPr>
        <w:t xml:space="preserve"> operators to prevent </w:t>
      </w:r>
      <w:r>
        <w:rPr>
          <w:rStyle w:val="Emphasis"/>
        </w:rPr>
        <w:t>half a dozen actual collisions</w:t>
      </w:r>
      <w:r>
        <w:rPr>
          <w:sz w:val="16"/>
        </w:rPr>
        <w:t xml:space="preserve">. Under current practices </w:t>
      </w:r>
      <w:r>
        <w:rPr>
          <w:highlight w:val="green"/>
          <w:u w:val="single"/>
        </w:rPr>
        <w:t>operators</w:t>
      </w:r>
      <w:r>
        <w:rPr>
          <w:u w:val="single"/>
        </w:rPr>
        <w:t xml:space="preserve"> would need to </w:t>
      </w:r>
      <w:r>
        <w:rPr>
          <w:highlight w:val="green"/>
          <w:u w:val="single"/>
        </w:rPr>
        <w:t xml:space="preserve">sort through </w:t>
      </w:r>
      <w:r>
        <w:rPr>
          <w:u w:val="single"/>
        </w:rPr>
        <w:t xml:space="preserve">an </w:t>
      </w:r>
      <w:r>
        <w:rPr>
          <w:rStyle w:val="Emphasis"/>
        </w:rPr>
        <w:t xml:space="preserve">enormous </w:t>
      </w:r>
      <w:r>
        <w:rPr>
          <w:rStyle w:val="Emphasis"/>
          <w:highlight w:val="green"/>
        </w:rPr>
        <w:t xml:space="preserve">haystack to find </w:t>
      </w:r>
      <w:r>
        <w:rPr>
          <w:rStyle w:val="Emphasis"/>
        </w:rPr>
        <w:t xml:space="preserve">the </w:t>
      </w:r>
      <w:r>
        <w:rPr>
          <w:rStyle w:val="Emphasis"/>
          <w:highlight w:val="green"/>
        </w:rPr>
        <w:t>needles</w:t>
      </w:r>
      <w:r>
        <w:rPr>
          <w:u w:val="single"/>
        </w:rPr>
        <w:t xml:space="preserve">, and because a </w:t>
      </w:r>
      <w:r>
        <w:rPr>
          <w:rStyle w:val="Emphasis"/>
        </w:rPr>
        <w:t>handful of actual collisions will occur</w:t>
      </w:r>
      <w:r>
        <w:rPr>
          <w:u w:val="single"/>
        </w:rPr>
        <w:t xml:space="preserve">, the </w:t>
      </w:r>
      <w:r>
        <w:rPr>
          <w:highlight w:val="green"/>
          <w:u w:val="single"/>
        </w:rPr>
        <w:t xml:space="preserve">warnings cannot be </w:t>
      </w:r>
      <w:r>
        <w:rPr>
          <w:rStyle w:val="Emphasis"/>
          <w:highlight w:val="green"/>
        </w:rPr>
        <w:t>ignored</w:t>
      </w:r>
      <w:r>
        <w:rPr>
          <w:u w:val="single"/>
        </w:rPr>
        <w:t xml:space="preserve">. </w:t>
      </w:r>
    </w:p>
    <w:p w14:paraId="5A927990" w14:textId="77777777" w:rsidR="00F5623D" w:rsidRDefault="00F5623D" w:rsidP="00F5623D">
      <w:pPr>
        <w:rPr>
          <w:u w:val="single"/>
        </w:rPr>
      </w:pPr>
    </w:p>
    <w:p w14:paraId="5A2CFB03" w14:textId="77777777" w:rsidR="00F5623D" w:rsidRDefault="00F5623D" w:rsidP="00F5623D">
      <w:pPr>
        <w:pStyle w:val="Heading4"/>
      </w:pPr>
      <w:r>
        <w:t>Risk is low – sat designs and cleanup checks.</w:t>
      </w:r>
    </w:p>
    <w:p w14:paraId="0AA67CAF" w14:textId="77777777" w:rsidR="00F5623D" w:rsidRDefault="00F5623D" w:rsidP="00F5623D">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1"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3009E9D7" w14:textId="77777777" w:rsidR="00F5623D" w:rsidRDefault="00F5623D" w:rsidP="00F5623D">
      <w:pPr>
        <w:rPr>
          <w:sz w:val="16"/>
        </w:rPr>
      </w:pPr>
      <w:r w:rsidRPr="008714E3">
        <w:rPr>
          <w:sz w:val="16"/>
        </w:rPr>
        <w:t xml:space="preserve">To conclude, </w:t>
      </w:r>
      <w:r w:rsidRPr="0010202E">
        <w:rPr>
          <w:rStyle w:val="StyleUnderline"/>
        </w:rPr>
        <w:t>orbital debris</w:t>
      </w:r>
      <w:r w:rsidRPr="0010202E">
        <w:rPr>
          <w:sz w:val="16"/>
        </w:rPr>
        <w:t xml:space="preserve"> is a current issue and </w:t>
      </w:r>
      <w:r w:rsidRPr="0010202E">
        <w:rPr>
          <w:rStyle w:val="StyleUnderline"/>
        </w:rPr>
        <w:t>has</w:t>
      </w:r>
      <w:r w:rsidRPr="0010202E">
        <w:rPr>
          <w:sz w:val="16"/>
        </w:rPr>
        <w:t xml:space="preserve"> the </w:t>
      </w:r>
      <w:r w:rsidRPr="0010202E">
        <w:rPr>
          <w:rStyle w:val="StyleUnderline"/>
        </w:rPr>
        <w:t>potential to be a serious problem in the coming decades and centuries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t>
      </w:r>
      <w:r w:rsidRPr="0010202E">
        <w:rPr>
          <w:rStyle w:val="StyleUnderline"/>
        </w:rPr>
        <w:t xml:space="preserve">which can </w:t>
      </w:r>
      <w:r w:rsidRPr="0010202E">
        <w:rPr>
          <w:rStyle w:val="Emphasis"/>
        </w:rPr>
        <w:t>mitigate</w:t>
      </w:r>
      <w:r w:rsidRPr="0010202E">
        <w:rPr>
          <w:rStyle w:val="StyleUnderline"/>
        </w:rPr>
        <w:t xml:space="preserve"> this disastrous scenario</w:t>
      </w:r>
      <w:r w:rsidRPr="0010202E">
        <w:rPr>
          <w:sz w:val="16"/>
        </w:rPr>
        <w:t xml:space="preserve">. </w:t>
      </w:r>
      <w:r w:rsidRPr="0010202E">
        <w:rPr>
          <w:rStyle w:val="StyleUnderline"/>
        </w:rPr>
        <w:t>The space community is still re</w:t>
      </w:r>
      <w:r w:rsidRPr="008714E3">
        <w:rPr>
          <w:rStyle w:val="StyleUnderline"/>
        </w:rPr>
        <w:t xml:space="preserv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075CB3A7" w14:textId="77777777" w:rsidR="00F5623D" w:rsidRPr="00CE4E36" w:rsidRDefault="00F5623D" w:rsidP="00F5623D"/>
    <w:p w14:paraId="0A64B948" w14:textId="77777777" w:rsidR="00F5623D" w:rsidRDefault="00F5623D" w:rsidP="00F5623D">
      <w:pPr>
        <w:rPr>
          <w:sz w:val="16"/>
        </w:rPr>
      </w:pPr>
    </w:p>
    <w:p w14:paraId="5524A7B1" w14:textId="77777777" w:rsidR="00F5623D" w:rsidRDefault="00F5623D" w:rsidP="00F5623D">
      <w:pPr>
        <w:pStyle w:val="Heading4"/>
      </w:pPr>
      <w:r>
        <w:t xml:space="preserve">Kessler Syndrome false – less debris and existing guidelines solve </w:t>
      </w:r>
    </w:p>
    <w:p w14:paraId="7A421567" w14:textId="77777777" w:rsidR="00F5623D" w:rsidRDefault="00F5623D" w:rsidP="00F5623D">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2"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543C0408" w14:textId="77777777" w:rsidR="00F5623D" w:rsidRPr="0021035F" w:rsidRDefault="00F5623D" w:rsidP="00F5623D">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w:t>
      </w:r>
      <w:r w:rsidRPr="0010202E">
        <w:rPr>
          <w:sz w:val="16"/>
        </w:rPr>
        <w:t>render access to low Earth orbit all but impossible – a process commonly referred to as the ‘</w:t>
      </w:r>
      <w:r w:rsidRPr="0010202E">
        <w:rPr>
          <w:rStyle w:val="Emphasis"/>
        </w:rPr>
        <w:t>Kessler</w:t>
      </w:r>
      <w:r w:rsidRPr="0010202E">
        <w:rPr>
          <w:rStyle w:val="StyleUnderline"/>
        </w:rPr>
        <w:t xml:space="preserve"> Syndrome’</w:t>
      </w:r>
      <w:r w:rsidRPr="0010202E">
        <w:rPr>
          <w:sz w:val="16"/>
        </w:rPr>
        <w:t xml:space="preserve"> after the debris scientist Donald Kessler – </w:t>
      </w:r>
      <w:r w:rsidRPr="0010202E">
        <w:rPr>
          <w:rStyle w:val="StyleUnderline"/>
        </w:rPr>
        <w:t xml:space="preserve">the reality is not likely to be on the scale of these predictions or the events depicted in </w:t>
      </w:r>
      <w:r w:rsidRPr="0010202E">
        <w:rPr>
          <w:rStyle w:val="Emphasis"/>
        </w:rPr>
        <w:t>the film Gravity</w:t>
      </w:r>
      <w:r w:rsidRPr="0010202E">
        <w:rPr>
          <w:rStyle w:val="StyleUnderline"/>
        </w:rPr>
        <w:t>.</w:t>
      </w:r>
      <w:r w:rsidRPr="0010202E">
        <w:rPr>
          <w:sz w:val="16"/>
        </w:rPr>
        <w:t xml:space="preserve"> Indeed, </w:t>
      </w:r>
      <w:r w:rsidRPr="0010202E">
        <w:rPr>
          <w:rStyle w:val="StyleUnderline"/>
        </w:rPr>
        <w:t>results</w:t>
      </w:r>
      <w:r w:rsidRPr="00490E90">
        <w:rPr>
          <w:rStyle w:val="StyleUnderline"/>
        </w:rPr>
        <w:t xml:space="preserve">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show an expected increase</w:t>
      </w:r>
      <w:r w:rsidRPr="00490E90">
        <w:rPr>
          <w:rStyle w:val="StyleUnderline"/>
        </w:rPr>
        <w:t xml:space="preserve"> in the debris population </w:t>
      </w:r>
      <w:r w:rsidRPr="0056473B">
        <w:rPr>
          <w:rStyle w:val="StyleUnderline"/>
          <w:highlight w:val="green"/>
        </w:rPr>
        <w:t>of</w:t>
      </w:r>
      <w:r w:rsidRPr="00490E90">
        <w:rPr>
          <w:rStyle w:val="StyleUnderline"/>
        </w:rPr>
        <w:t xml:space="preserve"> only </w:t>
      </w:r>
      <w:r w:rsidRPr="0056473B">
        <w:rPr>
          <w:rStyle w:val="StyleUnderline"/>
          <w:highlight w:val="green"/>
        </w:rPr>
        <w:t xml:space="preserve">30% after </w:t>
      </w:r>
      <w:r w:rsidRPr="0056473B">
        <w:rPr>
          <w:rStyle w:val="Emphasis"/>
          <w:highlight w:val="green"/>
        </w:rPr>
        <w:t>200 years</w:t>
      </w:r>
      <w:r w:rsidRPr="0056473B">
        <w:rPr>
          <w:rStyle w:val="StyleUnderline"/>
          <w:highlight w:val="green"/>
        </w:rPr>
        <w:t xml:space="preserve"> with continued launch activity. </w:t>
      </w:r>
      <w:r w:rsidRPr="0056473B">
        <w:rPr>
          <w:rStyle w:val="Emphasis"/>
          <w:highlight w:val="green"/>
        </w:rPr>
        <w:t>Collisions</w:t>
      </w:r>
      <w:r w:rsidRPr="00490E90">
        <w:rPr>
          <w:rStyle w:val="StyleUnderline"/>
        </w:rPr>
        <w:t xml:space="preserve"> are still predicted to occur, but this is </w:t>
      </w:r>
      <w:r w:rsidRPr="0056473B">
        <w:rPr>
          <w:rStyle w:val="StyleUnderline"/>
          <w:highlight w:val="green"/>
        </w:rPr>
        <w:t>far from</w:t>
      </w:r>
      <w:r w:rsidRPr="00490E90">
        <w:rPr>
          <w:rStyle w:val="StyleUnderline"/>
        </w:rPr>
        <w:t xml:space="preserve"> the </w:t>
      </w:r>
      <w:r w:rsidRPr="0056473B">
        <w:rPr>
          <w:rStyle w:val="Emphasis"/>
          <w:highlight w:val="green"/>
        </w:rPr>
        <w:t xml:space="preserve">catastrophic </w:t>
      </w:r>
      <w:r w:rsidRPr="0010202E">
        <w:rPr>
          <w:rStyle w:val="Emphasis"/>
        </w:rPr>
        <w:t>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10202E">
        <w:rPr>
          <w:rStyle w:val="Emphasis"/>
        </w:rPr>
        <w:t xml:space="preserve">mitigation </w:t>
      </w:r>
      <w:r w:rsidRPr="0056473B">
        <w:rPr>
          <w:rStyle w:val="Emphasis"/>
          <w:highlight w:val="green"/>
        </w:rPr>
        <w:t>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1D738B3D" w14:textId="77777777" w:rsidR="00F5623D" w:rsidRDefault="00F5623D" w:rsidP="00F5623D"/>
    <w:p w14:paraId="74B15EF3" w14:textId="77777777" w:rsidR="00F5623D" w:rsidRPr="001279EC" w:rsidRDefault="00F5623D" w:rsidP="00F5623D">
      <w:pPr>
        <w:pStyle w:val="Heading4"/>
      </w:pPr>
      <w:r>
        <w:t>G</w:t>
      </w:r>
      <w:r w:rsidRPr="001279EC">
        <w:t>lobal ADR development already exists</w:t>
      </w:r>
      <w:r>
        <w:t xml:space="preserve"> – solves.</w:t>
      </w:r>
    </w:p>
    <w:p w14:paraId="53948E88" w14:textId="77777777" w:rsidR="00F5623D" w:rsidRPr="001279EC" w:rsidRDefault="00F5623D" w:rsidP="00F5623D">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052CD3CC" w14:textId="77777777" w:rsidR="00F5623D" w:rsidRPr="001279EC" w:rsidRDefault="00F5623D" w:rsidP="00F5623D">
      <w:r w:rsidRPr="0010202E">
        <w:t>The first type of dual-use spacecraft—called active debris removal (</w:t>
      </w:r>
      <w:r w:rsidRPr="0010202E">
        <w:rPr>
          <w:rStyle w:val="Emphasis"/>
        </w:rPr>
        <w:t>ADR</w:t>
      </w:r>
      <w:r w:rsidRPr="0010202E">
        <w:t>)—</w:t>
      </w:r>
      <w:r w:rsidRPr="0010202E">
        <w:rPr>
          <w:rStyle w:val="StyleUnderline"/>
        </w:rPr>
        <w:t xml:space="preserve">are designed to deal with the rapidly growing problem of space debris. </w:t>
      </w:r>
      <w:r w:rsidRPr="0010202E">
        <w:t xml:space="preserve">One </w:t>
      </w:r>
      <w:r w:rsidRPr="0010202E">
        <w:rPr>
          <w:rStyle w:val="StyleUnderline"/>
        </w:rPr>
        <w:t>preliminary ADR exam</w:t>
      </w:r>
      <w:r w:rsidRPr="001279EC">
        <w:rPr>
          <w:rStyle w:val="StyleUnderline"/>
        </w:rPr>
        <w:t xml:space="preserve">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 xml:space="preserve">launched the </w:t>
      </w:r>
      <w:r w:rsidRPr="0010202E">
        <w:rPr>
          <w:rStyle w:val="StyleUnderline"/>
        </w:rPr>
        <w:t>"</w:t>
      </w:r>
      <w:r w:rsidRPr="0010202E">
        <w:rPr>
          <w:rStyle w:val="Emphasis"/>
        </w:rPr>
        <w:t>Aolong-1</w:t>
      </w:r>
      <w:r w:rsidRPr="0010202E">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w:t>
      </w:r>
      <w:r w:rsidRPr="0010202E">
        <w:t xml:space="preserve">which are </w:t>
      </w:r>
      <w:r w:rsidRPr="0056473B">
        <w:rPr>
          <w:highlight w:val="green"/>
        </w:rPr>
        <w:t xml:space="preserve">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10AF30DC" w14:textId="16B4624C" w:rsidR="00062127" w:rsidRDefault="00062127" w:rsidP="00F5623D">
      <w:pPr>
        <w:pStyle w:val="Heading4"/>
      </w:pPr>
      <w:bookmarkStart w:id="0" w:name="_Hlk30232579"/>
      <w:r>
        <w:t xml:space="preserve">They have no evidence that the actions this modelling motivates is sufficient to solve climate change you should tie them to their evidence considering none of the highlighted portion argues that it creates </w:t>
      </w:r>
    </w:p>
    <w:p w14:paraId="66F092E3" w14:textId="4B90E508" w:rsidR="00F5623D" w:rsidRPr="00F47ACC" w:rsidRDefault="00F5623D" w:rsidP="00F5623D">
      <w:pPr>
        <w:pStyle w:val="Heading4"/>
      </w:pPr>
      <w:r>
        <w:t>Sat attacks don’t cause nuke war</w:t>
      </w:r>
    </w:p>
    <w:p w14:paraId="36400095" w14:textId="77777777" w:rsidR="00F5623D" w:rsidRPr="00043596" w:rsidRDefault="00F5623D" w:rsidP="00F5623D">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3" w:history="1">
        <w:r w:rsidRPr="00A405BA">
          <w:rPr>
            <w:rStyle w:val="Hyperlink"/>
          </w:rPr>
          <w:t>https://apps.dtic.mil/dtic/tr/fulltext/u2/1062004.pdf</w:t>
        </w:r>
      </w:hyperlink>
      <w:r>
        <w:t>]</w:t>
      </w:r>
    </w:p>
    <w:p w14:paraId="5063201B" w14:textId="77777777" w:rsidR="00F5623D" w:rsidRPr="00F47ACC" w:rsidRDefault="00F5623D" w:rsidP="00F5623D">
      <w:pPr>
        <w:rPr>
          <w:sz w:val="16"/>
        </w:rPr>
      </w:pPr>
      <w:r w:rsidRPr="00F47ACC">
        <w:rPr>
          <w:sz w:val="16"/>
        </w:rPr>
        <w:t>PREVENTING AGGRESSION IN SPACE</w:t>
      </w:r>
    </w:p>
    <w:p w14:paraId="05D38CB2" w14:textId="77777777" w:rsidR="00F5623D" w:rsidRDefault="00F5623D" w:rsidP="00F5623D">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w:t>
      </w:r>
      <w:r w:rsidRPr="0010202E">
        <w:rPr>
          <w:sz w:val="16"/>
        </w:rPr>
        <w:t xml:space="preserve">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0202E">
        <w:rPr>
          <w:rStyle w:val="StyleUnderline"/>
        </w:rPr>
        <w:t>during the Cold War</w:t>
      </w:r>
      <w:r w:rsidRPr="0010202E">
        <w:rPr>
          <w:sz w:val="16"/>
        </w:rPr>
        <w:t xml:space="preserve"> because </w:t>
      </w:r>
      <w:r w:rsidRPr="0010202E">
        <w:rPr>
          <w:rStyle w:val="StyleUnderline"/>
        </w:rPr>
        <w:t>both sides viewed</w:t>
      </w:r>
      <w:r w:rsidRPr="0010202E">
        <w:rPr>
          <w:sz w:val="16"/>
        </w:rPr>
        <w:t xml:space="preserve"> an </w:t>
      </w:r>
      <w:r w:rsidRPr="0010202E">
        <w:rPr>
          <w:rStyle w:val="StyleUnderline"/>
        </w:rPr>
        <w:t>attack on</w:t>
      </w:r>
      <w:r w:rsidRPr="0010202E">
        <w:rPr>
          <w:sz w:val="16"/>
        </w:rPr>
        <w:t xml:space="preserve"> military </w:t>
      </w:r>
      <w:r w:rsidRPr="0010202E">
        <w:rPr>
          <w:rStyle w:val="Emphasis"/>
        </w:rPr>
        <w:t>sat</w:t>
      </w:r>
      <w:r w:rsidRPr="0010202E">
        <w:rPr>
          <w:sz w:val="16"/>
        </w:rPr>
        <w:t>ellite</w:t>
      </w:r>
      <w:r w:rsidRPr="0010202E">
        <w:rPr>
          <w:rStyle w:val="Emphasis"/>
        </w:rPr>
        <w:t>s</w:t>
      </w:r>
      <w:r w:rsidRPr="0010202E">
        <w:rPr>
          <w:rStyle w:val="StyleUnderline"/>
        </w:rPr>
        <w:t xml:space="preserve"> as</w:t>
      </w:r>
      <w:r w:rsidRPr="0010202E">
        <w:rPr>
          <w:sz w:val="16"/>
        </w:rPr>
        <w:t xml:space="preserve"> highly </w:t>
      </w:r>
      <w:r w:rsidRPr="0010202E">
        <w:rPr>
          <w:rStyle w:val="StyleUnderline"/>
        </w:rPr>
        <w:t>escalatory</w:t>
      </w:r>
      <w:r w:rsidRPr="0010202E">
        <w:rPr>
          <w:sz w:val="16"/>
        </w:rPr>
        <w:t>, and such an action would likely result in general nuclear war.7F</w:t>
      </w:r>
      <w:r w:rsidRPr="00F47ACC">
        <w:rPr>
          <w:sz w:val="16"/>
        </w:rPr>
        <w:t xml:space="preserve"> 7 </w:t>
      </w:r>
      <w:r w:rsidRPr="00A53BF8">
        <w:rPr>
          <w:highlight w:val="green"/>
          <w:u w:val="single"/>
        </w:rPr>
        <w:t>In today’s</w:t>
      </w:r>
      <w:r w:rsidRPr="00F47ACC">
        <w:rPr>
          <w:u w:val="single"/>
        </w:rPr>
        <w:t xml:space="preserve"> more </w:t>
      </w:r>
      <w:r w:rsidRPr="00561818">
        <w:rPr>
          <w:rStyle w:val="Emphasis"/>
        </w:rPr>
        <w:t xml:space="preserve">nuanced </w:t>
      </w:r>
      <w:r w:rsidRPr="00A53BF8">
        <w:rPr>
          <w:rStyle w:val="Emphasis"/>
          <w:highlight w:val="green"/>
        </w:rPr>
        <w:t>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p>
    <w:bookmarkEnd w:id="0"/>
    <w:p w14:paraId="1FC936D2" w14:textId="77777777" w:rsidR="00F5623D" w:rsidRPr="00147FA8" w:rsidRDefault="00F5623D" w:rsidP="00F5623D">
      <w:pPr>
        <w:pStyle w:val="Heading4"/>
      </w:pPr>
      <w:r w:rsidRPr="00147FA8">
        <w:t xml:space="preserve">Solar flares </w:t>
      </w:r>
      <w:r>
        <w:t>are an alt cause</w:t>
      </w:r>
    </w:p>
    <w:p w14:paraId="0548EBF0" w14:textId="77777777" w:rsidR="00F5623D" w:rsidRPr="00147FA8" w:rsidRDefault="00F5623D" w:rsidP="00F5623D">
      <w:r w:rsidRPr="00147FA8">
        <w:rPr>
          <w:rStyle w:val="Style13ptBold"/>
        </w:rPr>
        <w:t>Wild 15</w:t>
      </w:r>
      <w:r w:rsidRPr="00147FA8">
        <w:t xml:space="preserve"> (Jim Wild, Professor of Space Physics at Lancaster University, “With So Much Vested </w:t>
      </w:r>
      <w:proofErr w:type="gramStart"/>
      <w:r w:rsidRPr="00147FA8">
        <w:t>In</w:t>
      </w:r>
      <w:proofErr w:type="gramEnd"/>
      <w:r w:rsidRPr="00147FA8">
        <w:t xml:space="preserve"> Satellites, </w:t>
      </w:r>
      <w:r w:rsidRPr="00A53BF8">
        <w:rPr>
          <w:rStyle w:val="StyleUnderline"/>
          <w:highlight w:val="green"/>
        </w:rPr>
        <w:t>Solar Storms</w:t>
      </w:r>
      <w:r w:rsidRPr="00147FA8">
        <w:t xml:space="preserve"> Could Bring Life To A Standstill,” July 30, 2015, https://theconversation.com/with-so-much-vested-in-satellites-solar-storms-could-bring-life-to-a-standstill-45204)</w:t>
      </w:r>
    </w:p>
    <w:p w14:paraId="598FFAE7" w14:textId="77777777" w:rsidR="00F5623D" w:rsidRPr="00147FA8" w:rsidRDefault="00F5623D" w:rsidP="00F5623D">
      <w:pPr>
        <w:rPr>
          <w:sz w:val="16"/>
        </w:rPr>
      </w:pPr>
      <w:r w:rsidRPr="00147FA8">
        <w:rPr>
          <w:rStyle w:val="StyleUnderline"/>
        </w:rPr>
        <w:t xml:space="preserve">These </w:t>
      </w:r>
      <w:r w:rsidRPr="00A53BF8">
        <w:rPr>
          <w:rStyle w:val="StyleUnderline"/>
          <w:highlight w:val="green"/>
        </w:rPr>
        <w:t>can disrupt satellite operations</w:t>
      </w:r>
      <w:r w:rsidRPr="00147FA8">
        <w:rPr>
          <w:sz w:val="16"/>
        </w:rPr>
        <w:t xml:space="preserve"> by </w:t>
      </w:r>
      <w:r w:rsidRPr="00147FA8">
        <w:rPr>
          <w:rStyle w:val="StyleUnderline"/>
        </w:rPr>
        <w:t>depositing electrical charge within the on-board electronics</w:t>
      </w:r>
      <w:r w:rsidRPr="00147FA8">
        <w:rPr>
          <w:sz w:val="16"/>
        </w:rPr>
        <w:t xml:space="preserve">, triggering phantom </w:t>
      </w:r>
      <w:proofErr w:type="gramStart"/>
      <w:r w:rsidRPr="00147FA8">
        <w:rPr>
          <w:sz w:val="16"/>
        </w:rPr>
        <w:t>commands</w:t>
      </w:r>
      <w:proofErr w:type="gramEnd"/>
      <w:r w:rsidRPr="00147FA8">
        <w:rPr>
          <w:sz w:val="16"/>
        </w:rPr>
        <w:t xml:space="preserve"> or </w:t>
      </w:r>
      <w:r w:rsidRPr="00A53BF8">
        <w:rPr>
          <w:rStyle w:val="StyleUnderline"/>
          <w:highlight w:val="green"/>
        </w:rPr>
        <w:t>overloading</w:t>
      </w:r>
      <w:r w:rsidRPr="00147FA8">
        <w:rPr>
          <w:sz w:val="16"/>
        </w:rPr>
        <w:t xml:space="preserve"> and damaging </w:t>
      </w:r>
      <w:r w:rsidRPr="00147FA8">
        <w:rPr>
          <w:rStyle w:val="StyleUnderline"/>
        </w:rPr>
        <w:t xml:space="preserve">sensitive </w:t>
      </w:r>
      <w:r w:rsidRPr="00A53BF8">
        <w:rPr>
          <w:rStyle w:val="StyleUnderline"/>
          <w:highlight w:val="green"/>
        </w:rPr>
        <w:t>components</w:t>
      </w:r>
      <w:r w:rsidRPr="00147FA8">
        <w:rPr>
          <w:sz w:val="16"/>
        </w:rPr>
        <w:t xml:space="preserve">. The effects of </w:t>
      </w:r>
      <w:r w:rsidRPr="00147FA8">
        <w:rPr>
          <w:rStyle w:val="StyleUnderline"/>
        </w:rPr>
        <w:t>space weather</w:t>
      </w:r>
      <w:r w:rsidRPr="00147FA8">
        <w:rPr>
          <w:sz w:val="16"/>
        </w:rPr>
        <w:t xml:space="preserve"> on the Earth’s upper atmosphere </w:t>
      </w:r>
      <w:r w:rsidRPr="00147FA8">
        <w:rPr>
          <w:rStyle w:val="StyleUnderline"/>
        </w:rPr>
        <w:t>disrupts radio signals</w:t>
      </w:r>
      <w:r w:rsidRPr="00147FA8">
        <w:rPr>
          <w:sz w:val="16"/>
        </w:rPr>
        <w:t xml:space="preserve"> transmitted by navigation satellites, potentially introducing positioning errors or, in more severe cases, </w:t>
      </w:r>
      <w:r w:rsidRPr="00A53BF8">
        <w:rPr>
          <w:rStyle w:val="Emphasis"/>
          <w:highlight w:val="green"/>
        </w:rPr>
        <w:t>rendering them unusable</w:t>
      </w:r>
      <w:r w:rsidRPr="00A53BF8">
        <w:rPr>
          <w:sz w:val="16"/>
          <w:highlight w:val="green"/>
        </w:rPr>
        <w:t>.</w:t>
      </w:r>
    </w:p>
    <w:p w14:paraId="039949E9" w14:textId="77777777" w:rsidR="00F5623D" w:rsidRPr="00690F03" w:rsidRDefault="00F5623D" w:rsidP="00F5623D">
      <w:pPr>
        <w:rPr>
          <w:sz w:val="16"/>
        </w:rPr>
      </w:pPr>
      <w:r w:rsidRPr="00A53BF8">
        <w:rPr>
          <w:rStyle w:val="StyleUnderline"/>
          <w:highlight w:val="green"/>
        </w:rPr>
        <w:t xml:space="preserve">These are </w:t>
      </w:r>
      <w:r w:rsidRPr="00A53BF8">
        <w:rPr>
          <w:rStyle w:val="Emphasis"/>
          <w:highlight w:val="green"/>
        </w:rPr>
        <w:t>not theoretical</w:t>
      </w:r>
      <w:r w:rsidRPr="00147FA8">
        <w:rPr>
          <w:sz w:val="16"/>
        </w:rPr>
        <w:t xml:space="preserve"> hazards: in recent decades, </w:t>
      </w:r>
      <w:r w:rsidRPr="0010202E">
        <w:rPr>
          <w:sz w:val="16"/>
        </w:rPr>
        <w:t xml:space="preserve">solar storms have caused </w:t>
      </w:r>
      <w:r w:rsidRPr="0010202E">
        <w:rPr>
          <w:rStyle w:val="StyleUnderline"/>
        </w:rPr>
        <w:t>outages for a number of satellites</w:t>
      </w:r>
      <w:r w:rsidRPr="0010202E">
        <w:rPr>
          <w:sz w:val="16"/>
        </w:rPr>
        <w:t xml:space="preserve"> services – and a handful of satellites have been lost altogether. These </w:t>
      </w:r>
      <w:r w:rsidRPr="0010202E">
        <w:rPr>
          <w:rStyle w:val="Emphasis"/>
        </w:rPr>
        <w:t>were costly events</w:t>
      </w:r>
      <w:r w:rsidRPr="0010202E">
        <w:rPr>
          <w:sz w:val="16"/>
        </w:rPr>
        <w:t xml:space="preserve"> – satellite operator losses have run into hundreds of millions of dollars. The wider social and economic impact was relatively limited, but even so it’s unclear how</w:t>
      </w:r>
      <w:r w:rsidRPr="00147FA8">
        <w:rPr>
          <w:sz w:val="16"/>
        </w:rPr>
        <w:t xml:space="preserve"> our growing amount of space infrastructure would fare against the more extreme space weather that we might face.</w:t>
      </w:r>
    </w:p>
    <w:p w14:paraId="2AB528E4" w14:textId="77777777" w:rsidR="00F5623D" w:rsidRPr="00EA643C" w:rsidRDefault="00F5623D" w:rsidP="00F5623D"/>
    <w:p w14:paraId="5D354781" w14:textId="77777777" w:rsidR="00F5623D" w:rsidRDefault="00F5623D" w:rsidP="00F5623D">
      <w:pPr>
        <w:pStyle w:val="Heading4"/>
      </w:pPr>
      <w:r>
        <w:t xml:space="preserve">escalation relies on militarization that they </w:t>
      </w:r>
      <w:proofErr w:type="spellStart"/>
      <w:proofErr w:type="gramStart"/>
      <w:r>
        <w:t>cant</w:t>
      </w:r>
      <w:proofErr w:type="spellEnd"/>
      <w:proofErr w:type="gramEnd"/>
      <w:r>
        <w:t xml:space="preserve"> solve for – their card is about the space force and ASATS already in development </w:t>
      </w:r>
    </w:p>
    <w:sectPr w:rsidR="00F562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15850286736"/>
    <w:docVar w:name="VerbatimVersion" w:val="5.1"/>
  </w:docVars>
  <w:rsids>
    <w:rsidRoot w:val="00F5623D"/>
    <w:rsid w:val="000139A3"/>
    <w:rsid w:val="00062127"/>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5623D"/>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55667"/>
  <w15:chartTrackingRefBased/>
  <w15:docId w15:val="{E3E086ED-C3D5-4C55-8A64-D300C4B9E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5623D"/>
    <w:rPr>
      <w:rFonts w:ascii="Calibri" w:hAnsi="Calibri"/>
    </w:rPr>
  </w:style>
  <w:style w:type="paragraph" w:styleId="Heading1">
    <w:name w:val="heading 1"/>
    <w:aliases w:val="Pocket"/>
    <w:basedOn w:val="Normal"/>
    <w:next w:val="Normal"/>
    <w:link w:val="Heading1Char"/>
    <w:qFormat/>
    <w:rsid w:val="00F562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5623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5623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F5623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562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623D"/>
  </w:style>
  <w:style w:type="character" w:customStyle="1" w:styleId="Heading1Char">
    <w:name w:val="Heading 1 Char"/>
    <w:aliases w:val="Pocket Char"/>
    <w:basedOn w:val="DefaultParagraphFont"/>
    <w:link w:val="Heading1"/>
    <w:rsid w:val="00F5623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5623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5623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5623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F5623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5623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F5623D"/>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F5623D"/>
    <w:rPr>
      <w:color w:val="auto"/>
      <w:u w:val="none"/>
    </w:rPr>
  </w:style>
  <w:style w:type="character" w:styleId="FollowedHyperlink">
    <w:name w:val="FollowedHyperlink"/>
    <w:basedOn w:val="DefaultParagraphFont"/>
    <w:uiPriority w:val="99"/>
    <w:semiHidden/>
    <w:unhideWhenUsed/>
    <w:rsid w:val="00F5623D"/>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F5623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F5623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hyperlink" Target="https://apps.dtic.mil/dtic/tr/fulltext/u2/1062004.pdf" TargetMode="External"/><Relationship Id="rId3" Type="http://schemas.openxmlformats.org/officeDocument/2006/relationships/styles" Target="styles.xml"/><Relationship Id="rId7" Type="http://schemas.openxmlformats.org/officeDocument/2006/relationships/hyperlink" Target="https://journals.sagepub.com/doi/full/10.1177/0967010619895660" TargetMode="External"/><Relationship Id="rId12" Type="http://schemas.openxmlformats.org/officeDocument/2006/relationships/hyperlink" Target="https://room.eu.com/article/Space_debris_Kessler_Syndrome_and_the_unreasonable_expectation_of_certain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aw.upenn.edu/live/files/7892-havercroft-and-duvallcritical-astropoliticspdf" TargetMode="External"/><Relationship Id="rId11" Type="http://schemas.openxmlformats.org/officeDocument/2006/relationships/hyperlink" Target="https://pdfs.semanticscholar.org/d703/101d657334d2e1575d08005e290578770cd1.pdf?_ga=2.70400848.1753078645.1567896134-909185996.1567896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sciencedirect.com/science/article/pii/S246889671930045X?via%3Dihub"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TotalTime>
  <Pages>1</Pages>
  <Words>17282</Words>
  <Characters>98508</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2022-01-15T15:16:00Z</dcterms:created>
  <dcterms:modified xsi:type="dcterms:W3CDTF">2022-01-15T15:40:00Z</dcterms:modified>
</cp:coreProperties>
</file>