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95BCD" w14:textId="27D793BD" w:rsidR="00F255AE" w:rsidRDefault="00F255AE" w:rsidP="00F255AE">
      <w:pPr>
        <w:pStyle w:val="Heading2"/>
      </w:pPr>
      <w:r>
        <w:t>This aff or a variation for lay judges</w:t>
      </w:r>
    </w:p>
    <w:p w14:paraId="2EC3A74F" w14:textId="77777777" w:rsidR="00F255AE" w:rsidRDefault="00F255AE" w:rsidP="00F255AE">
      <w:pPr>
        <w:pStyle w:val="Heading4"/>
      </w:pPr>
      <w:r>
        <w:t>My framework is one that maximizes life and minimizing death</w:t>
      </w:r>
    </w:p>
    <w:p w14:paraId="22F64164" w14:textId="27080C59" w:rsidR="00F255AE" w:rsidRPr="00244048" w:rsidRDefault="00F255AE" w:rsidP="00F255AE">
      <w:pPr>
        <w:pStyle w:val="Heading4"/>
      </w:pPr>
      <w:r>
        <w:t>This means at the end of the debate whoever saves</w:t>
      </w:r>
      <w:r w:rsidR="006C0C72">
        <w:t>s</w:t>
      </w:r>
      <w:r>
        <w:t xml:space="preserve"> the most lives wins the debate</w:t>
      </w:r>
    </w:p>
    <w:p w14:paraId="5C375BF0" w14:textId="77777777" w:rsidR="00F255AE" w:rsidRDefault="00F255AE" w:rsidP="00F255AE">
      <w:pPr>
        <w:pStyle w:val="Heading4"/>
      </w:pPr>
      <w:r>
        <w:t>I affirm that The United States of America ought to recognize an unconditional right of workers to strike.</w:t>
      </w:r>
    </w:p>
    <w:p w14:paraId="52CEF262" w14:textId="77777777" w:rsidR="00F255AE" w:rsidRDefault="00F255AE" w:rsidP="00F255AE"/>
    <w:p w14:paraId="68357E87" w14:textId="77777777" w:rsidR="00F255AE" w:rsidRDefault="00F255AE" w:rsidP="00F255AE">
      <w:pPr>
        <w:pStyle w:val="Heading4"/>
      </w:pPr>
      <w:r>
        <w:t xml:space="preserve">The right to strike is </w:t>
      </w:r>
      <w:r>
        <w:rPr>
          <w:u w:val="single"/>
        </w:rPr>
        <w:t>Customary International Law</w:t>
      </w:r>
      <w:r>
        <w:t xml:space="preserve">, but the US </w:t>
      </w:r>
      <w:r w:rsidRPr="00875A8F">
        <w:rPr>
          <w:u w:val="single"/>
        </w:rPr>
        <w:t>fails</w:t>
      </w:r>
      <w:r>
        <w:t xml:space="preserve"> to meet </w:t>
      </w:r>
      <w:r>
        <w:rPr>
          <w:i/>
        </w:rPr>
        <w:t>these</w:t>
      </w:r>
      <w:r>
        <w:t xml:space="preserve"> standards. IF other governments perceive our lack of participation everyone will refuse to comply with this law – that causes a </w:t>
      </w:r>
      <w:r w:rsidRPr="00C7074B">
        <w:t>crisis</w:t>
      </w:r>
      <w:r>
        <w:t xml:space="preserve">. </w:t>
      </w:r>
    </w:p>
    <w:p w14:paraId="6743F495" w14:textId="77777777" w:rsidR="00F255AE" w:rsidRPr="00D2046C" w:rsidRDefault="00F255AE" w:rsidP="00F255AE">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6" w:history="1">
        <w:r w:rsidRPr="00111F4F">
          <w:rPr>
            <w:rStyle w:val="Hyperlink"/>
          </w:rPr>
          <w:t>https://digitalcommons.law.yale.edu/cgi/viewcontent.cgi?article=1710&amp;context=yjil</w:t>
        </w:r>
      </w:hyperlink>
      <w:r>
        <w:t>] Justin ** Brackets in original</w:t>
      </w:r>
    </w:p>
    <w:p w14:paraId="350AD56A" w14:textId="77777777" w:rsidR="00F255AE" w:rsidRPr="00875A8F" w:rsidRDefault="00F255AE" w:rsidP="00F255AE">
      <w:pPr>
        <w:rPr>
          <w:u w:val="single"/>
        </w:rPr>
      </w:pPr>
      <w:r w:rsidRPr="001130DA">
        <w:rPr>
          <w:sz w:val="16"/>
        </w:rPr>
        <w:t xml:space="preserve">II. </w:t>
      </w:r>
      <w:r w:rsidRPr="00875A8F">
        <w:rPr>
          <w:u w:val="single"/>
        </w:rPr>
        <w:t>THE</w:t>
      </w:r>
      <w:r w:rsidRPr="003E22A7">
        <w:rPr>
          <w:u w:val="single"/>
        </w:rPr>
        <w:t xml:space="preserve"> </w:t>
      </w:r>
      <w:r w:rsidRPr="001130DA">
        <w:rPr>
          <w:rStyle w:val="Emphasis"/>
        </w:rPr>
        <w:t>INTERNATIONAL RIGHT TO STRIKE AS CIL</w:t>
      </w:r>
      <w:r>
        <w:rPr>
          <w:rStyle w:val="Emphasis"/>
        </w:rPr>
        <w:t xml:space="preserve"> </w:t>
      </w:r>
      <w:r w:rsidRPr="003E22A7">
        <w:rPr>
          <w:u w:val="single"/>
        </w:rPr>
        <w:t xml:space="preserve">That an </w:t>
      </w:r>
      <w:r w:rsidRPr="00425E77">
        <w:rPr>
          <w:rStyle w:val="Emphasis"/>
        </w:rPr>
        <w:t>international right to strike</w:t>
      </w:r>
      <w:r w:rsidRPr="003E22A7">
        <w:rPr>
          <w:u w:val="single"/>
        </w:rPr>
        <w:t xml:space="preserve"> is widely recognized by governments does not mean the right has </w:t>
      </w:r>
      <w:r w:rsidRPr="00425E77">
        <w:rPr>
          <w:rStyle w:val="Emphasis"/>
        </w:rPr>
        <w:t>assumed the status of CIL</w:t>
      </w:r>
      <w:r w:rsidRPr="003E22A7">
        <w:rPr>
          <w:u w:val="single"/>
        </w:rPr>
        <w:t>. This Part seeks to forge that link</w:t>
      </w:r>
      <w:r w:rsidRPr="001130DA">
        <w:rPr>
          <w:sz w:val="16"/>
        </w:rPr>
        <w:t xml:space="preserve">, to show how </w:t>
      </w:r>
      <w:r w:rsidRPr="003E22A7">
        <w:rPr>
          <w:u w:val="single"/>
        </w:rPr>
        <w:t xml:space="preserve">the </w:t>
      </w:r>
      <w:r w:rsidRPr="008D2E40">
        <w:rPr>
          <w:highlight w:val="green"/>
          <w:u w:val="single"/>
        </w:rPr>
        <w:t xml:space="preserve">international right to strike </w:t>
      </w:r>
      <w:r w:rsidRPr="008D2E40">
        <w:rPr>
          <w:rStyle w:val="Emphasis"/>
          <w:highlight w:val="green"/>
        </w:rPr>
        <w:t>qualifies as CIL</w:t>
      </w:r>
      <w:r w:rsidRPr="003E22A7">
        <w:rPr>
          <w:u w:val="single"/>
        </w:rPr>
        <w:t>.</w:t>
      </w:r>
      <w:r w:rsidRPr="001130DA">
        <w:rPr>
          <w:sz w:val="16"/>
        </w:rPr>
        <w:t xml:space="preserve"> It begins (II.A) by identifying the two basic elements of CIL and explaining why the right to strike is an integral textual and conceptual component of FOA. It then establishes (II.B and C) that FOA and the right to strike satisfy both elements of CIL—a general practice accepted by States, stemming from a sense of legal obligation. While there are variations and qualifiers at the national level, the contours of CIL status are clear: a basic right subject to three substantive restrictions; a recognition that strikers retain their employment relationship during the strike itself; and certain procedural prerequisites or limitations. 105</w:t>
      </w:r>
      <w:r>
        <w:rPr>
          <w:sz w:val="16"/>
        </w:rPr>
        <w:t xml:space="preserve"> </w:t>
      </w:r>
      <w:r w:rsidRPr="001130DA">
        <w:rPr>
          <w:sz w:val="16"/>
        </w:rPr>
        <w:t xml:space="preserve">This Part next demonstrates (II.D) that </w:t>
      </w:r>
      <w:r w:rsidRPr="003E22A7">
        <w:rPr>
          <w:u w:val="single"/>
        </w:rPr>
        <w:t xml:space="preserve">the </w:t>
      </w:r>
      <w:r w:rsidRPr="00425E77">
        <w:rPr>
          <w:rStyle w:val="Emphasis"/>
        </w:rPr>
        <w:t xml:space="preserve">two </w:t>
      </w:r>
      <w:r w:rsidRPr="008D2E40">
        <w:rPr>
          <w:rStyle w:val="Emphasis"/>
          <w:highlight w:val="green"/>
        </w:rPr>
        <w:t>U.S. practices</w:t>
      </w:r>
      <w:r w:rsidRPr="00425E77">
        <w:rPr>
          <w:rStyle w:val="Emphasis"/>
        </w:rPr>
        <w:t xml:space="preserve"> discussed earlier</w:t>
      </w:r>
      <w:r w:rsidRPr="003E22A7">
        <w:rPr>
          <w:u w:val="single"/>
        </w:rPr>
        <w:t xml:space="preserve"> as </w:t>
      </w:r>
      <w:r w:rsidRPr="00425E77">
        <w:rPr>
          <w:rStyle w:val="Emphasis"/>
        </w:rPr>
        <w:t>deviating from the international right to strike</w:t>
      </w:r>
      <w:r w:rsidRPr="001130DA">
        <w:rPr>
          <w:sz w:val="16"/>
        </w:rPr>
        <w:t>—</w:t>
      </w:r>
      <w:r w:rsidRPr="008D2E40">
        <w:rPr>
          <w:rStyle w:val="Emphasis"/>
          <w:highlight w:val="green"/>
        </w:rPr>
        <w:t xml:space="preserve">denying </w:t>
      </w:r>
      <w:r w:rsidRPr="00425E77">
        <w:rPr>
          <w:rStyle w:val="Emphasis"/>
        </w:rPr>
        <w:t xml:space="preserve">all public </w:t>
      </w:r>
      <w:r w:rsidRPr="008D2E40">
        <w:rPr>
          <w:rStyle w:val="Emphasis"/>
          <w:highlight w:val="green"/>
        </w:rPr>
        <w:t>employees the right</w:t>
      </w:r>
      <w:r w:rsidRPr="008D2E40">
        <w:rPr>
          <w:highlight w:val="green"/>
          <w:u w:val="single"/>
        </w:rPr>
        <w:t xml:space="preserve"> and </w:t>
      </w:r>
      <w:r w:rsidRPr="008D2E40">
        <w:rPr>
          <w:rStyle w:val="Emphasis"/>
          <w:highlight w:val="green"/>
        </w:rPr>
        <w:t>authorizing permanent replacement</w:t>
      </w:r>
      <w:r w:rsidRPr="00425E77">
        <w:rPr>
          <w:rStyle w:val="Emphasis"/>
        </w:rPr>
        <w:t xml:space="preserve"> of lawful strikers</w:t>
      </w:r>
      <w:r w:rsidRPr="001130DA">
        <w:rPr>
          <w:sz w:val="16"/>
        </w:rPr>
        <w:t xml:space="preserve">— </w:t>
      </w:r>
      <w:r w:rsidRPr="008D2E40">
        <w:rPr>
          <w:highlight w:val="green"/>
          <w:u w:val="single"/>
        </w:rPr>
        <w:t xml:space="preserve">contravene </w:t>
      </w:r>
      <w:r w:rsidRPr="00425E77">
        <w:rPr>
          <w:rStyle w:val="Emphasis"/>
        </w:rPr>
        <w:t xml:space="preserve">core aspects of </w:t>
      </w:r>
      <w:r w:rsidRPr="008D2E40">
        <w:rPr>
          <w:rStyle w:val="Emphasis"/>
          <w:highlight w:val="green"/>
        </w:rPr>
        <w:t>the right to strike as CIL</w:t>
      </w:r>
      <w:r w:rsidRPr="00425E77">
        <w:rPr>
          <w:rStyle w:val="Emphasis"/>
        </w:rPr>
        <w:t>.</w:t>
      </w:r>
      <w:r w:rsidRPr="001130DA">
        <w:rPr>
          <w:sz w:val="16"/>
        </w:rPr>
        <w:t xml:space="preserve"> Finally (II.E), </w:t>
      </w:r>
      <w:r w:rsidRPr="003E22A7">
        <w:rPr>
          <w:u w:val="single"/>
        </w:rPr>
        <w:t xml:space="preserve">this Part introduces the </w:t>
      </w:r>
      <w:r w:rsidRPr="00425E77">
        <w:rPr>
          <w:rStyle w:val="Emphasis"/>
        </w:rPr>
        <w:t>complexities of the U.S. position on FOA and the right to strike as international rights</w:t>
      </w:r>
      <w:r w:rsidRPr="003E22A7">
        <w:rPr>
          <w:u w:val="single"/>
        </w:rPr>
        <w:t xml:space="preserve">, </w:t>
      </w:r>
      <w:r w:rsidRPr="008D2E40">
        <w:rPr>
          <w:highlight w:val="green"/>
          <w:u w:val="single"/>
        </w:rPr>
        <w:t>reflected in</w:t>
      </w:r>
      <w:r w:rsidRPr="003E22A7">
        <w:rPr>
          <w:u w:val="single"/>
        </w:rPr>
        <w:t xml:space="preserve"> the </w:t>
      </w:r>
      <w:r w:rsidRPr="008D2E40">
        <w:rPr>
          <w:rStyle w:val="Emphasis"/>
          <w:highlight w:val="green"/>
        </w:rPr>
        <w:t>failure to ratify Convention 87</w:t>
      </w:r>
      <w:r w:rsidRPr="003E22A7">
        <w:rPr>
          <w:u w:val="single"/>
        </w:rPr>
        <w:t xml:space="preserve"> while both Congress and the executive branch </w:t>
      </w:r>
      <w:r w:rsidRPr="00425E77">
        <w:rPr>
          <w:rStyle w:val="Emphasis"/>
        </w:rPr>
        <w:t>embrace Convention 87 principles including the right to strike.</w:t>
      </w:r>
      <w:r>
        <w:rPr>
          <w:rStyle w:val="Emphasis"/>
        </w:rPr>
        <w:t xml:space="preserve"> </w:t>
      </w:r>
      <w:r w:rsidRPr="001130DA">
        <w:rPr>
          <w:sz w:val="16"/>
        </w:rPr>
        <w:t>A. Initial Definitions and Considerations</w:t>
      </w:r>
      <w:r>
        <w:rPr>
          <w:sz w:val="16"/>
        </w:rPr>
        <w:t xml:space="preserve"> </w:t>
      </w:r>
      <w:r w:rsidRPr="001130DA">
        <w:rPr>
          <w:sz w:val="16"/>
        </w:rPr>
        <w:t xml:space="preserve">1. </w:t>
      </w:r>
      <w:r w:rsidRPr="00ED5AB7">
        <w:rPr>
          <w:rStyle w:val="Emphasis"/>
        </w:rPr>
        <w:t>CIL Standards</w:t>
      </w:r>
      <w:r>
        <w:rPr>
          <w:rStyle w:val="Emphasis"/>
        </w:rPr>
        <w:t xml:space="preserve"> </w:t>
      </w:r>
      <w:r w:rsidRPr="003E22A7">
        <w:rPr>
          <w:u w:val="single"/>
        </w:rPr>
        <w:t xml:space="preserve">The </w:t>
      </w:r>
      <w:r w:rsidRPr="008D2E40">
        <w:rPr>
          <w:highlight w:val="green"/>
          <w:u w:val="single"/>
        </w:rPr>
        <w:t>two</w:t>
      </w:r>
      <w:r w:rsidRPr="003E22A7">
        <w:rPr>
          <w:u w:val="single"/>
        </w:rPr>
        <w:t xml:space="preserve"> basic </w:t>
      </w:r>
      <w:r w:rsidRPr="008D2E40">
        <w:rPr>
          <w:highlight w:val="green"/>
          <w:u w:val="single"/>
        </w:rPr>
        <w:t>elements that determine</w:t>
      </w:r>
      <w:r w:rsidRPr="003E22A7">
        <w:rPr>
          <w:u w:val="single"/>
        </w:rPr>
        <w:t xml:space="preserve"> the existence and content of </w:t>
      </w:r>
      <w:r w:rsidRPr="008D2E40">
        <w:rPr>
          <w:highlight w:val="green"/>
          <w:u w:val="single"/>
        </w:rPr>
        <w:t>a rule of CIL are</w:t>
      </w:r>
      <w:r w:rsidRPr="003E22A7">
        <w:rPr>
          <w:u w:val="single"/>
        </w:rPr>
        <w:t xml:space="preserve"> first</w:t>
      </w:r>
      <w:r w:rsidRPr="001130DA">
        <w:rPr>
          <w:sz w:val="16"/>
        </w:rPr>
        <w:t xml:space="preserve">, </w:t>
      </w:r>
      <w:r w:rsidRPr="003E22A7">
        <w:rPr>
          <w:u w:val="single"/>
        </w:rPr>
        <w:t xml:space="preserve">the </w:t>
      </w:r>
      <w:r w:rsidRPr="00ED5AB7">
        <w:rPr>
          <w:rStyle w:val="Emphasis"/>
        </w:rPr>
        <w:t xml:space="preserve">requirement of </w:t>
      </w:r>
      <w:r w:rsidRPr="008D2E40">
        <w:rPr>
          <w:rStyle w:val="Emphasis"/>
          <w:highlight w:val="green"/>
        </w:rPr>
        <w:t>a general practice</w:t>
      </w:r>
      <w:r w:rsidRPr="00ED5AB7">
        <w:rPr>
          <w:rStyle w:val="Emphasis"/>
        </w:rPr>
        <w:t xml:space="preserve"> by States</w:t>
      </w:r>
      <w:r w:rsidRPr="003E22A7">
        <w:rPr>
          <w:u w:val="single"/>
        </w:rPr>
        <w:t xml:space="preserve">, </w:t>
      </w:r>
      <w:r w:rsidRPr="008D2E40">
        <w:rPr>
          <w:highlight w:val="green"/>
          <w:u w:val="single"/>
        </w:rPr>
        <w:t>and</w:t>
      </w:r>
      <w:r w:rsidRPr="003E22A7">
        <w:rPr>
          <w:u w:val="single"/>
        </w:rPr>
        <w:t xml:space="preserve"> second, </w:t>
      </w:r>
      <w:r w:rsidRPr="008D2E40">
        <w:rPr>
          <w:highlight w:val="green"/>
          <w:u w:val="single"/>
        </w:rPr>
        <w:t xml:space="preserve">the </w:t>
      </w:r>
      <w:r w:rsidRPr="00875A8F">
        <w:rPr>
          <w:u w:val="single"/>
        </w:rPr>
        <w:t xml:space="preserve">requirement that </w:t>
      </w:r>
      <w:r w:rsidRPr="00ED5AB7">
        <w:rPr>
          <w:rStyle w:val="Emphasis"/>
        </w:rPr>
        <w:t xml:space="preserve">the general </w:t>
      </w:r>
      <w:r w:rsidRPr="008D2E40">
        <w:rPr>
          <w:rStyle w:val="Emphasis"/>
          <w:highlight w:val="green"/>
        </w:rPr>
        <w:t>practice be undertaken from</w:t>
      </w:r>
      <w:r w:rsidRPr="00ED5AB7">
        <w:rPr>
          <w:rStyle w:val="Emphasis"/>
        </w:rPr>
        <w:t xml:space="preserve"> a sense of legal right or obligation</w:t>
      </w:r>
      <w:r w:rsidRPr="001130DA">
        <w:rPr>
          <w:sz w:val="16"/>
        </w:rPr>
        <w:t xml:space="preserve"> (</w:t>
      </w:r>
      <w:r w:rsidRPr="008D2E40">
        <w:rPr>
          <w:rStyle w:val="Emphasis"/>
          <w:highlight w:val="green"/>
        </w:rPr>
        <w:t>opinio juris</w:t>
      </w:r>
      <w:r w:rsidRPr="001130DA">
        <w:rPr>
          <w:sz w:val="16"/>
        </w:rPr>
        <w:t xml:space="preserve">).106 </w:t>
      </w:r>
      <w:r w:rsidRPr="00ED5AB7">
        <w:rPr>
          <w:sz w:val="16"/>
        </w:rPr>
        <w:t>The first element is objective</w:t>
      </w:r>
      <w:r w:rsidRPr="001130DA">
        <w:rPr>
          <w:sz w:val="16"/>
        </w:rPr>
        <w:t xml:space="preserve">: </w:t>
      </w:r>
      <w:r w:rsidRPr="00ED5AB7">
        <w:rPr>
          <w:sz w:val="16"/>
        </w:rPr>
        <w:t>whether there is a sufficiently widespread and consistent practice of States endorsing and adhering to the rule. Evidence of such a general practice may include governmental conduct in connection with treaties; legislative or administrative acts; decisions of national courts; conduct in relation to resolutions adopted by an international organization; diplomatic acts and correspondence; and executive operational conduct on the ground</w:t>
      </w:r>
      <w:r w:rsidRPr="001130DA">
        <w:rPr>
          <w:sz w:val="16"/>
        </w:rPr>
        <w:t xml:space="preserve">.107 </w:t>
      </w:r>
      <w:r w:rsidRPr="00ED5AB7">
        <w:rPr>
          <w:sz w:val="16"/>
        </w:rPr>
        <w:t>The second element, opinio juris, is more subjective:</w:t>
      </w:r>
      <w:r w:rsidRPr="003E22A7">
        <w:rPr>
          <w:u w:val="single"/>
        </w:rPr>
        <w:t xml:space="preserve"> </w:t>
      </w:r>
      <w:r w:rsidRPr="008D2E40">
        <w:rPr>
          <w:highlight w:val="green"/>
          <w:u w:val="single"/>
        </w:rPr>
        <w:t>the</w:t>
      </w:r>
      <w:r w:rsidRPr="003E22A7">
        <w:rPr>
          <w:u w:val="single"/>
        </w:rPr>
        <w:t xml:space="preserve"> general </w:t>
      </w:r>
      <w:r w:rsidRPr="008D2E40">
        <w:rPr>
          <w:highlight w:val="green"/>
          <w:u w:val="single"/>
        </w:rPr>
        <w:t xml:space="preserve">practice </w:t>
      </w:r>
      <w:r w:rsidRPr="00875A8F">
        <w:rPr>
          <w:u w:val="single"/>
        </w:rPr>
        <w:t xml:space="preserve">must be </w:t>
      </w:r>
      <w:r w:rsidRPr="008D2E40">
        <w:rPr>
          <w:rStyle w:val="Emphasis"/>
          <w:highlight w:val="green"/>
        </w:rPr>
        <w:t>undertaken based on it</w:t>
      </w:r>
      <w:r w:rsidRPr="00ED5AB7">
        <w:rPr>
          <w:rStyle w:val="Emphasis"/>
        </w:rPr>
        <w:t xml:space="preserve">s acceptance </w:t>
      </w:r>
      <w:r w:rsidRPr="008D2E40">
        <w:rPr>
          <w:rStyle w:val="Emphasis"/>
          <w:highlight w:val="green"/>
        </w:rPr>
        <w:t>as law, rather than</w:t>
      </w:r>
      <w:r w:rsidRPr="00ED5AB7">
        <w:rPr>
          <w:rStyle w:val="Emphasis"/>
        </w:rPr>
        <w:t xml:space="preserve"> being accepted based on mere usage or habit or some </w:t>
      </w:r>
      <w:r w:rsidRPr="008D2E40">
        <w:rPr>
          <w:rStyle w:val="Emphasis"/>
          <w:highlight w:val="green"/>
        </w:rPr>
        <w:t>pragmatic motive</w:t>
      </w:r>
      <w:r w:rsidRPr="001130DA">
        <w:rPr>
          <w:sz w:val="16"/>
        </w:rPr>
        <w:t xml:space="preserve">. As is true for general practice, </w:t>
      </w:r>
      <w:r w:rsidRPr="00ED5AB7">
        <w:rPr>
          <w:sz w:val="16"/>
        </w:rPr>
        <w:t>evidence of acceptance as law may come in a range of forms. These include public statements</w:t>
      </w:r>
      <w:r w:rsidRPr="001130DA">
        <w:rPr>
          <w:sz w:val="16"/>
        </w:rPr>
        <w:t xml:space="preserve"> made on behalf of States; </w:t>
      </w:r>
      <w:r w:rsidRPr="00ED5AB7">
        <w:rPr>
          <w:sz w:val="16"/>
        </w:rPr>
        <w:t>government legal opinions; decisions of national courts; treaty provisions; diplomatic correspondence; and conduct related to resolutions adopted by an international organization.108</w:t>
      </w:r>
      <w:r>
        <w:rPr>
          <w:u w:val="single"/>
        </w:rPr>
        <w:t xml:space="preserve"> </w:t>
      </w:r>
      <w:r w:rsidRPr="001130DA">
        <w:rPr>
          <w:sz w:val="16"/>
        </w:rPr>
        <w:t xml:space="preserve">2. </w:t>
      </w:r>
      <w:r w:rsidRPr="003E22A7">
        <w:rPr>
          <w:u w:val="single"/>
        </w:rPr>
        <w:t xml:space="preserve">The </w:t>
      </w:r>
      <w:r w:rsidRPr="00ED5AB7">
        <w:rPr>
          <w:rStyle w:val="Emphasis"/>
        </w:rPr>
        <w:t xml:space="preserve">Right to Strike as Integral to </w:t>
      </w:r>
      <w:r w:rsidRPr="008D2E40">
        <w:rPr>
          <w:rStyle w:val="Emphasis"/>
          <w:highlight w:val="green"/>
        </w:rPr>
        <w:t>FOA</w:t>
      </w:r>
      <w:r>
        <w:rPr>
          <w:rStyle w:val="Emphasis"/>
        </w:rPr>
        <w:t xml:space="preserve"> </w:t>
      </w:r>
      <w:r w:rsidRPr="003E22A7">
        <w:rPr>
          <w:u w:val="single"/>
        </w:rPr>
        <w:t xml:space="preserve">Freedom of association </w:t>
      </w:r>
      <w:r w:rsidRPr="008D2E40">
        <w:rPr>
          <w:highlight w:val="green"/>
          <w:u w:val="single"/>
        </w:rPr>
        <w:t>is</w:t>
      </w:r>
      <w:r w:rsidRPr="003E22A7">
        <w:rPr>
          <w:u w:val="single"/>
        </w:rPr>
        <w:t xml:space="preserve"> </w:t>
      </w:r>
      <w:r w:rsidRPr="00ED5AB7">
        <w:rPr>
          <w:rStyle w:val="Emphasis"/>
        </w:rPr>
        <w:t xml:space="preserve">one of </w:t>
      </w:r>
      <w:r w:rsidRPr="008D2E40">
        <w:rPr>
          <w:rStyle w:val="Emphasis"/>
          <w:highlight w:val="green"/>
        </w:rPr>
        <w:t>the core principles on</w:t>
      </w:r>
      <w:r w:rsidRPr="00ED5AB7">
        <w:rPr>
          <w:rStyle w:val="Emphasis"/>
        </w:rPr>
        <w:t xml:space="preserve"> which </w:t>
      </w:r>
      <w:r w:rsidRPr="008D2E40">
        <w:rPr>
          <w:rStyle w:val="Emphasis"/>
          <w:highlight w:val="green"/>
        </w:rPr>
        <w:t>the ILO</w:t>
      </w:r>
      <w:r w:rsidRPr="00ED5AB7">
        <w:rPr>
          <w:rStyle w:val="Emphasis"/>
        </w:rPr>
        <w:t xml:space="preserve"> was founded and continues to exist</w:t>
      </w:r>
      <w:r w:rsidRPr="001130DA">
        <w:rPr>
          <w:sz w:val="16"/>
        </w:rPr>
        <w:t xml:space="preserve">. 109 As set forth under Convention 87, </w:t>
      </w:r>
      <w:r w:rsidRPr="008D2E40">
        <w:rPr>
          <w:highlight w:val="green"/>
          <w:u w:val="single"/>
        </w:rPr>
        <w:t xml:space="preserve">FOA </w:t>
      </w:r>
      <w:r w:rsidRPr="008D2E40">
        <w:rPr>
          <w:rStyle w:val="Emphasis"/>
          <w:highlight w:val="green"/>
        </w:rPr>
        <w:t>includes</w:t>
      </w:r>
      <w:r w:rsidRPr="00ED5AB7">
        <w:rPr>
          <w:rStyle w:val="Emphasis"/>
        </w:rPr>
        <w:t xml:space="preserve"> a series of integral elements</w:t>
      </w:r>
      <w:r w:rsidRPr="003E22A7">
        <w:rPr>
          <w:u w:val="single"/>
        </w:rPr>
        <w:t xml:space="preserve">, of which </w:t>
      </w:r>
      <w:r w:rsidRPr="008D2E40">
        <w:rPr>
          <w:highlight w:val="green"/>
          <w:u w:val="single"/>
        </w:rPr>
        <w:t xml:space="preserve">the </w:t>
      </w:r>
      <w:r w:rsidRPr="008D2E40">
        <w:rPr>
          <w:rStyle w:val="Emphasis"/>
          <w:highlight w:val="green"/>
        </w:rPr>
        <w:t>right to strike</w:t>
      </w:r>
      <w:r w:rsidRPr="00ED5AB7">
        <w:rPr>
          <w:rStyle w:val="Emphasis"/>
        </w:rPr>
        <w:t xml:space="preserve"> is one</w:t>
      </w:r>
      <w:r w:rsidRPr="003E22A7">
        <w:rPr>
          <w:u w:val="single"/>
        </w:rPr>
        <w:t xml:space="preserve">. The </w:t>
      </w:r>
      <w:r w:rsidRPr="008D2E40">
        <w:rPr>
          <w:rStyle w:val="Emphasis"/>
          <w:highlight w:val="green"/>
        </w:rPr>
        <w:t>two ILO</w:t>
      </w:r>
      <w:r w:rsidRPr="00A56669">
        <w:rPr>
          <w:rStyle w:val="Emphasis"/>
        </w:rPr>
        <w:t xml:space="preserve"> supervisory </w:t>
      </w:r>
      <w:r w:rsidRPr="008D2E40">
        <w:rPr>
          <w:rStyle w:val="Emphasis"/>
          <w:highlight w:val="green"/>
        </w:rPr>
        <w:t>mechanisms</w:t>
      </w:r>
      <w:r w:rsidRPr="003E22A7">
        <w:rPr>
          <w:u w:val="single"/>
        </w:rPr>
        <w:t xml:space="preserve"> that have </w:t>
      </w:r>
      <w:r w:rsidRPr="00A56669">
        <w:rPr>
          <w:rStyle w:val="Emphasis"/>
        </w:rPr>
        <w:t xml:space="preserve">regularly applied or </w:t>
      </w:r>
      <w:r w:rsidRPr="008D2E40">
        <w:rPr>
          <w:rStyle w:val="Emphasis"/>
          <w:highlight w:val="green"/>
        </w:rPr>
        <w:t>interpreted Convention 87</w:t>
      </w:r>
      <w:r w:rsidRPr="003E22A7">
        <w:rPr>
          <w:u w:val="single"/>
        </w:rPr>
        <w:t xml:space="preserve"> have understood it </w:t>
      </w:r>
      <w:r w:rsidRPr="008D2E40">
        <w:rPr>
          <w:rStyle w:val="Emphasis"/>
          <w:highlight w:val="green"/>
        </w:rPr>
        <w:t>to include the right to strike</w:t>
      </w:r>
      <w:r w:rsidRPr="003E22A7">
        <w:rPr>
          <w:u w:val="single"/>
        </w:rPr>
        <w:t xml:space="preserve"> from the early days of the Convention’s existence</w:t>
      </w:r>
      <w:r w:rsidRPr="001130DA">
        <w:rPr>
          <w:sz w:val="16"/>
        </w:rPr>
        <w:t xml:space="preserve">.110 </w:t>
      </w:r>
      <w:r w:rsidRPr="003E22A7">
        <w:rPr>
          <w:u w:val="single"/>
        </w:rPr>
        <w:t xml:space="preserve">Leading U.N. human rights covenants also </w:t>
      </w:r>
      <w:r w:rsidRPr="00A56669">
        <w:rPr>
          <w:rStyle w:val="Emphasis"/>
        </w:rPr>
        <w:t>recognize FOA as a basic right</w:t>
      </w:r>
      <w:r w:rsidRPr="003E22A7">
        <w:rPr>
          <w:u w:val="single"/>
        </w:rPr>
        <w:t>, including the right to strike as a component</w:t>
      </w:r>
      <w:r w:rsidRPr="001130DA">
        <w:rPr>
          <w:sz w:val="16"/>
        </w:rPr>
        <w:t xml:space="preserve">. 111 And </w:t>
      </w:r>
      <w:r w:rsidRPr="003E22A7">
        <w:rPr>
          <w:u w:val="single"/>
        </w:rPr>
        <w:t>the labor provisions of the 2019 U.S.-Mexico-Canada trade agreement include the following statement</w:t>
      </w:r>
      <w:r w:rsidRPr="001130DA">
        <w:rPr>
          <w:sz w:val="16"/>
        </w:rPr>
        <w:t xml:space="preserve">: “For </w:t>
      </w:r>
      <w:r w:rsidRPr="001130DA">
        <w:rPr>
          <w:sz w:val="16"/>
        </w:rPr>
        <w:lastRenderedPageBreak/>
        <w:t xml:space="preserve">greater certainty, </w:t>
      </w:r>
      <w:r w:rsidRPr="003E22A7">
        <w:rPr>
          <w:u w:val="single"/>
        </w:rPr>
        <w:t xml:space="preserve">the right to strike is linked to the </w:t>
      </w:r>
      <w:r w:rsidRPr="00A56669">
        <w:rPr>
          <w:rStyle w:val="Emphasis"/>
        </w:rPr>
        <w:t xml:space="preserve">right to </w:t>
      </w:r>
      <w:r w:rsidRPr="008D2E40">
        <w:rPr>
          <w:rStyle w:val="Emphasis"/>
          <w:highlight w:val="green"/>
        </w:rPr>
        <w:t>freedom of association</w:t>
      </w:r>
      <w:r w:rsidRPr="00A56669">
        <w:rPr>
          <w:rStyle w:val="Emphasis"/>
        </w:rPr>
        <w:t xml:space="preserve">, which </w:t>
      </w:r>
      <w:r w:rsidRPr="008D2E40">
        <w:rPr>
          <w:rStyle w:val="Emphasis"/>
          <w:highlight w:val="green"/>
        </w:rPr>
        <w:t>cannot be realized without</w:t>
      </w:r>
      <w:r w:rsidRPr="00A56669">
        <w:rPr>
          <w:rStyle w:val="Emphasis"/>
        </w:rPr>
        <w:t xml:space="preserve"> protecting </w:t>
      </w:r>
      <w:r w:rsidRPr="008D2E40">
        <w:rPr>
          <w:rStyle w:val="Emphasis"/>
          <w:highlight w:val="green"/>
        </w:rPr>
        <w:t>the right to strike</w:t>
      </w:r>
      <w:r w:rsidRPr="001130DA">
        <w:rPr>
          <w:sz w:val="16"/>
        </w:rPr>
        <w:t xml:space="preserve">.”112 Accordingly, </w:t>
      </w:r>
      <w:r w:rsidRPr="003E22A7">
        <w:rPr>
          <w:u w:val="single"/>
        </w:rPr>
        <w:t xml:space="preserve">if FOA is seen as </w:t>
      </w:r>
      <w:r w:rsidRPr="00A56669">
        <w:rPr>
          <w:rStyle w:val="Emphasis"/>
        </w:rPr>
        <w:t>Customary International Law</w:t>
      </w:r>
      <w:r w:rsidRPr="003E22A7">
        <w:rPr>
          <w:u w:val="single"/>
        </w:rPr>
        <w:t xml:space="preserve"> (CIL), and the right to strike is an essential component of FOA, then the right to strike should also be understood to be part of CIL.</w:t>
      </w:r>
      <w:r>
        <w:rPr>
          <w:u w:val="single"/>
        </w:rPr>
        <w:t xml:space="preserve"> </w:t>
      </w:r>
      <w:r w:rsidRPr="001130DA">
        <w:rPr>
          <w:sz w:val="16"/>
        </w:rPr>
        <w:t xml:space="preserve">Consider in this regard the following integral elements of Convention 87. The fact that </w:t>
      </w:r>
      <w:r w:rsidRPr="00ED5AB7">
        <w:rPr>
          <w:sz w:val="16"/>
        </w:rPr>
        <w:t>as part of FOA, workers and employers “shall have the right to establish and . . . to join organizations of their own choosing without previous authorization”</w:t>
      </w:r>
      <w:r w:rsidRPr="001130DA">
        <w:rPr>
          <w:sz w:val="16"/>
        </w:rPr>
        <w:t xml:space="preserve">113 </w:t>
      </w:r>
      <w:r w:rsidRPr="00ED5AB7">
        <w:rPr>
          <w:sz w:val="16"/>
        </w:rPr>
        <w:t>means the State may not impose unreasonably high membership requirements that hinder the establishment of organizations</w:t>
      </w:r>
      <w:r w:rsidRPr="001130DA">
        <w:rPr>
          <w:sz w:val="16"/>
        </w:rPr>
        <w:t xml:space="preserve">, </w:t>
      </w:r>
      <w:r w:rsidRPr="00ED5AB7">
        <w:rPr>
          <w:sz w:val="16"/>
        </w:rPr>
        <w:t>or require that members may not join several different organizations</w:t>
      </w:r>
      <w:r w:rsidRPr="001130DA">
        <w:rPr>
          <w:sz w:val="16"/>
        </w:rPr>
        <w:t xml:space="preserve">. 114 Similarly, </w:t>
      </w:r>
      <w:r w:rsidRPr="00ED5AB7">
        <w:rPr>
          <w:sz w:val="16"/>
        </w:rPr>
        <w:t>the fact that under FOA, workers and employers</w:t>
      </w:r>
      <w:r w:rsidRPr="001130DA">
        <w:rPr>
          <w:sz w:val="16"/>
        </w:rPr>
        <w:t xml:space="preserve"> “</w:t>
      </w:r>
      <w:r w:rsidRPr="00ED5AB7">
        <w:rPr>
          <w:sz w:val="16"/>
        </w:rPr>
        <w:t>shall have the right to . . . elect their representatives in full freedom [and that] public authorities shall refrain from any interference which would restrict this right or impede the lawful exercise thereof</w:t>
      </w:r>
      <w:r w:rsidRPr="001130DA">
        <w:rPr>
          <w:sz w:val="16"/>
        </w:rPr>
        <w:t xml:space="preserve">,”115 </w:t>
      </w:r>
      <w:r w:rsidRPr="00ED5AB7">
        <w:rPr>
          <w:sz w:val="16"/>
        </w:rPr>
        <w:t>means the State may not impose limits on candidates due to their nationality, literacy, political opinions, moral standing, or for workers, their non-employment in the employer’s occupation or enterprise</w:t>
      </w:r>
      <w:r w:rsidRPr="001130DA">
        <w:rPr>
          <w:sz w:val="16"/>
        </w:rPr>
        <w:t xml:space="preserve">. 116 And the fact that </w:t>
      </w:r>
      <w:r w:rsidRPr="00ED5AB7">
        <w:rPr>
          <w:sz w:val="16"/>
        </w:rPr>
        <w:t>as part of FOA, workers “shall have the right . . . to organize their. . . activities and to formulate their programs” free “from any interference [by the public authorities]”117 means that worker organizations, in order to defend the occupational interests of their members, have the right to hold trade union meetings</w:t>
      </w:r>
      <w:r w:rsidRPr="001130DA">
        <w:rPr>
          <w:sz w:val="16"/>
        </w:rPr>
        <w:t xml:space="preserve">, </w:t>
      </w:r>
      <w:r w:rsidRPr="00ED5AB7">
        <w:rPr>
          <w:sz w:val="16"/>
        </w:rPr>
        <w:t>the right to have access to places of work and to communicate with management, and the right to organize nonviolent protest action including strikes</w:t>
      </w:r>
      <w:r w:rsidRPr="001130DA">
        <w:rPr>
          <w:sz w:val="16"/>
        </w:rPr>
        <w:t>. 118</w:t>
      </w:r>
      <w:r>
        <w:rPr>
          <w:sz w:val="16"/>
        </w:rPr>
        <w:t xml:space="preserve"> </w:t>
      </w:r>
      <w:r w:rsidRPr="001130DA">
        <w:rPr>
          <w:sz w:val="16"/>
        </w:rPr>
        <w:t xml:space="preserve">B. </w:t>
      </w:r>
      <w:r w:rsidRPr="005901B7">
        <w:rPr>
          <w:u w:val="single"/>
        </w:rPr>
        <w:t xml:space="preserve">FOA and the </w:t>
      </w:r>
      <w:r w:rsidRPr="00A56669">
        <w:rPr>
          <w:rStyle w:val="Emphasis"/>
        </w:rPr>
        <w:t>Right to Strike as General Practice</w:t>
      </w:r>
      <w:r>
        <w:rPr>
          <w:rStyle w:val="Emphasis"/>
        </w:rPr>
        <w:t xml:space="preserve"> </w:t>
      </w:r>
      <w:r w:rsidRPr="005901B7">
        <w:rPr>
          <w:u w:val="single"/>
        </w:rPr>
        <w:t xml:space="preserve">There is ample support that </w:t>
      </w:r>
      <w:r w:rsidRPr="008D2E40">
        <w:rPr>
          <w:highlight w:val="green"/>
          <w:u w:val="single"/>
        </w:rPr>
        <w:t>FOA is widely accepted</w:t>
      </w:r>
      <w:r w:rsidRPr="005901B7">
        <w:rPr>
          <w:u w:val="single"/>
        </w:rPr>
        <w:t xml:space="preserve"> in objective terms. </w:t>
      </w:r>
      <w:r w:rsidRPr="008D2E40">
        <w:rPr>
          <w:highlight w:val="green"/>
          <w:u w:val="single"/>
        </w:rPr>
        <w:t>Convention 87</w:t>
      </w:r>
      <w:r w:rsidRPr="005901B7">
        <w:rPr>
          <w:u w:val="single"/>
        </w:rPr>
        <w:t xml:space="preserve"> has been </w:t>
      </w:r>
      <w:r w:rsidRPr="008D2E40">
        <w:rPr>
          <w:rStyle w:val="Emphasis"/>
          <w:highlight w:val="green"/>
        </w:rPr>
        <w:t>ratified by 155 countries</w:t>
      </w:r>
      <w:r w:rsidRPr="00A56669">
        <w:rPr>
          <w:rStyle w:val="Emphasis"/>
        </w:rPr>
        <w:t>, or 83 percent of the 187 ILO Member States</w:t>
      </w:r>
      <w:r w:rsidRPr="001130DA">
        <w:rPr>
          <w:sz w:val="16"/>
        </w:rPr>
        <w:t xml:space="preserve">. 119 In addition, </w:t>
      </w:r>
      <w:r w:rsidRPr="005901B7">
        <w:rPr>
          <w:u w:val="single"/>
        </w:rPr>
        <w:t xml:space="preserve">the ILO Constitution, endorsed by all members, specifies the </w:t>
      </w:r>
      <w:r w:rsidRPr="00A56669">
        <w:rPr>
          <w:rStyle w:val="Emphasis"/>
        </w:rPr>
        <w:t>critical role of FOA both in its 1919 founding document</w:t>
      </w:r>
      <w:r w:rsidRPr="005901B7">
        <w:rPr>
          <w:u w:val="single"/>
        </w:rPr>
        <w:t xml:space="preserve"> and the </w:t>
      </w:r>
      <w:r w:rsidRPr="00A56669">
        <w:rPr>
          <w:rStyle w:val="Emphasis"/>
        </w:rPr>
        <w:t>1944 Declaration of Philadelphia as a constitutional addition</w:t>
      </w:r>
      <w:r w:rsidRPr="001130DA">
        <w:rPr>
          <w:sz w:val="16"/>
        </w:rPr>
        <w:t xml:space="preserve">.120 More recently, ILO Declarations issued in 1998 and 2008, again embraced by all members, make clear that </w:t>
      </w:r>
      <w:r w:rsidRPr="005901B7">
        <w:rPr>
          <w:u w:val="single"/>
        </w:rPr>
        <w:t>even Member States that have not ratified Convention 87 are obligated to act in good faith to respect and effectuate FOA principles.</w:t>
      </w:r>
      <w:r w:rsidRPr="001130DA">
        <w:rPr>
          <w:sz w:val="16"/>
        </w:rPr>
        <w:t>121</w:t>
      </w:r>
      <w:r>
        <w:rPr>
          <w:sz w:val="16"/>
        </w:rPr>
        <w:t xml:space="preserve"> </w:t>
      </w:r>
      <w:r w:rsidRPr="001130DA">
        <w:rPr>
          <w:sz w:val="16"/>
        </w:rPr>
        <w:t xml:space="preserve">Beyond the ILO realm, </w:t>
      </w:r>
      <w:r w:rsidRPr="005901B7">
        <w:rPr>
          <w:u w:val="single"/>
        </w:rPr>
        <w:t xml:space="preserve">workers’ </w:t>
      </w:r>
      <w:r w:rsidRPr="00A56669">
        <w:rPr>
          <w:rStyle w:val="Emphasis"/>
        </w:rPr>
        <w:t>freedom of association</w:t>
      </w:r>
      <w:r w:rsidRPr="005901B7">
        <w:rPr>
          <w:u w:val="single"/>
        </w:rPr>
        <w:t xml:space="preserve">, including the right to form and join trade unions and expressly </w:t>
      </w:r>
      <w:r w:rsidRPr="00F807D1">
        <w:rPr>
          <w:u w:val="single"/>
        </w:rPr>
        <w:t xml:space="preserve">the </w:t>
      </w:r>
      <w:r w:rsidRPr="00F807D1">
        <w:rPr>
          <w:rStyle w:val="Emphasis"/>
        </w:rPr>
        <w:t>right to strike</w:t>
      </w:r>
      <w:r w:rsidRPr="00F807D1">
        <w:rPr>
          <w:u w:val="single"/>
        </w:rPr>
        <w:t>, is recognized in the International Covenant on Economic, Social and Cultural Rights (</w:t>
      </w:r>
      <w:r w:rsidRPr="00F807D1">
        <w:rPr>
          <w:rStyle w:val="Emphasis"/>
        </w:rPr>
        <w:t>ICESCR</w:t>
      </w:r>
      <w:r w:rsidRPr="00F807D1">
        <w:rPr>
          <w:u w:val="single"/>
        </w:rPr>
        <w:t xml:space="preserve">), adopted by the </w:t>
      </w:r>
      <w:r w:rsidRPr="00F807D1">
        <w:rPr>
          <w:rStyle w:val="Emphasis"/>
        </w:rPr>
        <w:t>United Nations General Assembly to be effective</w:t>
      </w:r>
      <w:r w:rsidRPr="00F807D1">
        <w:rPr>
          <w:sz w:val="16"/>
        </w:rPr>
        <w:t xml:space="preserve"> 1976.122 </w:t>
      </w:r>
      <w:r w:rsidRPr="00F807D1">
        <w:rPr>
          <w:u w:val="single"/>
        </w:rPr>
        <w:t>The Covenant has been ratified by 171 countries, including two of the four large-population countries that have not ratified Convention</w:t>
      </w:r>
      <w:r w:rsidRPr="00F807D1">
        <w:rPr>
          <w:sz w:val="16"/>
        </w:rPr>
        <w:t xml:space="preserve"> 87.123 </w:t>
      </w:r>
      <w:r w:rsidRPr="00F807D1">
        <w:rPr>
          <w:u w:val="single"/>
        </w:rPr>
        <w:t>Another major UN Human Rightstreaty, the International Covenant on Civil and Political Rights (</w:t>
      </w:r>
      <w:r w:rsidRPr="00F807D1">
        <w:rPr>
          <w:rStyle w:val="Emphasis"/>
        </w:rPr>
        <w:t>ICCPR</w:t>
      </w:r>
      <w:r w:rsidRPr="00F807D1">
        <w:rPr>
          <w:u w:val="single"/>
        </w:rPr>
        <w:t>), also adopted by the U.N. General Assembly to be effective in 1976, recognizes FOA including the right to form and join trade unions</w:t>
      </w:r>
      <w:r w:rsidRPr="00F807D1">
        <w:rPr>
          <w:sz w:val="16"/>
        </w:rPr>
        <w:t xml:space="preserve">. 124 </w:t>
      </w:r>
      <w:r w:rsidRPr="00F807D1">
        <w:rPr>
          <w:u w:val="single"/>
        </w:rPr>
        <w:t>The ICCPR has been ratified by 173 countries, including three of the four largepopulation countries that have not ratified Convention 87</w:t>
      </w:r>
      <w:r w:rsidRPr="00F807D1">
        <w:rPr>
          <w:sz w:val="16"/>
        </w:rPr>
        <w:t xml:space="preserve">; </w:t>
      </w:r>
      <w:r w:rsidRPr="00F807D1">
        <w:rPr>
          <w:u w:val="single"/>
        </w:rPr>
        <w:t xml:space="preserve">its human rights committee has consistently recognized the </w:t>
      </w:r>
      <w:r w:rsidRPr="00F807D1">
        <w:rPr>
          <w:rStyle w:val="Emphasis"/>
        </w:rPr>
        <w:t>right to strike as part of FOA under the Covenant</w:t>
      </w:r>
      <w:r w:rsidRPr="00F807D1">
        <w:rPr>
          <w:sz w:val="16"/>
        </w:rPr>
        <w:t>. 125 Indeed, of the 187 ILO Member States, only 11 relatively smallpopulation countries have not ratified at least one of Convention 87, the ICESCR, or the ICCPR.126</w:t>
      </w:r>
      <w:r>
        <w:rPr>
          <w:sz w:val="16"/>
        </w:rPr>
        <w:t xml:space="preserve"> </w:t>
      </w:r>
      <w:r w:rsidRPr="00F807D1">
        <w:rPr>
          <w:u w:val="single"/>
        </w:rPr>
        <w:t xml:space="preserve">FOA is also expressly </w:t>
      </w:r>
      <w:r w:rsidRPr="00F807D1">
        <w:rPr>
          <w:rStyle w:val="Emphasis"/>
        </w:rPr>
        <w:t>recognized in a labor setting in the European Convention on Human Rights, which has been ratified by all 48 countries in the Council of Europe</w:t>
      </w:r>
      <w:r w:rsidRPr="00F807D1">
        <w:rPr>
          <w:u w:val="single"/>
        </w:rPr>
        <w:t>. 127 At a national level, the vast majority of constitutions provide for freedom of association, although some use general language that (unlike the international instruments just mentioned) does not specify workers or trade unions. 128</w:t>
      </w:r>
      <w:r>
        <w:rPr>
          <w:u w:val="single"/>
        </w:rPr>
        <w:t xml:space="preserve"> </w:t>
      </w:r>
      <w:r w:rsidRPr="00F807D1">
        <w:rPr>
          <w:sz w:val="16"/>
        </w:rPr>
        <w:t>Apart from States’ nearly-universal embrace of FOA as a general matter, the right to strike itself has been broadly accepted by governments. As noted earlier, more than 90 countries have made a public commitment to the right to strike in their constitutions. 129 These commitments have translated to actual practice when national courts have relied on guidance from the CEACR and CFA in assuring compliance with their constitutional right to strike. Judicial interpretation of the international right as part of applying a domestic constitution often involves assuring compliance by governments or employers,130 though it also may require compliance by unions. 131 And compliance with the international right to strike may even emanate from application of a national constitution that endorses FOA without being explicit about the right to strike.132</w:t>
      </w:r>
      <w:r>
        <w:rPr>
          <w:sz w:val="16"/>
        </w:rPr>
        <w:t xml:space="preserve"> </w:t>
      </w:r>
      <w:r w:rsidRPr="00F807D1">
        <w:rPr>
          <w:sz w:val="16"/>
        </w:rPr>
        <w:t>Among the many national courts that have invoked the CEACR and/or CFA in support of a right to strike,133 two other cases worth noting involve Brazil and Kenya because neither country has ratified Convention 87. In 2012, the Labour Court in Brazil ordered reinstatement of workers terminated for participating in a work stoppage. 134 Under Brazil’s Constitution, “norms that define fundamental rights and guarantees are directly applicable.”135 Given that the Court found that the employer’s conduct had violated the principle of freedom of association and the free exercise of the right to strike, it seems that the “principle of freedom of association” was being directly applied as a matter of customary international law rather than through a ratified treaty or convention.136 In 2013, the Industrial Court of Kenya ordered the reinstatement of five workers dismissed for participating in a strike and strike-related activities. The Court’s reasoning derived from Kenya’s general participation in the ILO, including “respect for International Labour Standards,” rather than direct application of fundamental norms as in the Brazil case.137 The Industrial Court invoked a report by the CEACR and decisions by the CFA to support its decision; its recognition of FOA as an accepted international standard suggests that reports from the ILO supervisory bodies served as evidence of CIL.138</w:t>
      </w:r>
      <w:r>
        <w:rPr>
          <w:sz w:val="16"/>
        </w:rPr>
        <w:t xml:space="preserve"> </w:t>
      </w:r>
      <w:r w:rsidRPr="00F807D1">
        <w:rPr>
          <w:sz w:val="16"/>
          <w:szCs w:val="16"/>
        </w:rPr>
        <w:t xml:space="preserve">Finally, states’ widespread practice is reflected in the negotiation of trade agreements over the past two decades that recognize both FOA and the right to strike. Since 2003, labor provisions in U.S. trade agreements have regularly featured linkages to FOA as one of the fundamental ILO norms. 139 The commitment by </w:t>
      </w:r>
      <w:r w:rsidRPr="00F807D1">
        <w:rPr>
          <w:sz w:val="16"/>
          <w:szCs w:val="16"/>
        </w:rPr>
        <w:lastRenderedPageBreak/>
        <w:t>signatory states to FOA as understood under the 1998 ILO Declaration has been progressively strengthened during this period—from providing that parties “shall strive to ensure” protection of FOA under domestic laws140 to specifying that parties shall “adopt and maintain [FOA rights] in [their] statutes and regulations, and practices thereunder.”141 The latest trade agreement, involving the United States, Mexico, and Canada (approved as a successor to NAFTA) expressly provides that the right to FOA necessarily includes protection for the right to strike.142 Trade agreements involving EU countries also feature commitments to respect and implement under domestic law the principles of FOA as understood in the ILO context. 143 This wide network of similarly worded, mostly bilateral trade agreements addressing the subject of FOA constitutes additional evidence of general practice for CIL purposes. 144</w:t>
      </w:r>
      <w:r>
        <w:rPr>
          <w:sz w:val="16"/>
          <w:szCs w:val="16"/>
        </w:rPr>
        <w:t xml:space="preserve"> </w:t>
      </w:r>
      <w:r w:rsidRPr="00F807D1">
        <w:rPr>
          <w:u w:val="single"/>
        </w:rPr>
        <w:t>The pervasive nature of actual practice regarding FOA and the right to strike does not mean that the right’s content is static or fixed. To be sure</w:t>
      </w:r>
      <w:r w:rsidRPr="005833EA">
        <w:rPr>
          <w:u w:val="single"/>
        </w:rPr>
        <w:t xml:space="preserve">, </w:t>
      </w:r>
      <w:r w:rsidRPr="008D2E40">
        <w:rPr>
          <w:highlight w:val="green"/>
          <w:u w:val="single"/>
        </w:rPr>
        <w:t xml:space="preserve">there is </w:t>
      </w:r>
      <w:r w:rsidRPr="001130DA">
        <w:rPr>
          <w:u w:val="single"/>
        </w:rPr>
        <w:t>broad acceptance of</w:t>
      </w:r>
      <w:r w:rsidRPr="005833EA">
        <w:rPr>
          <w:u w:val="single"/>
        </w:rPr>
        <w:t xml:space="preserve"> the </w:t>
      </w:r>
      <w:r w:rsidRPr="008D2E40">
        <w:rPr>
          <w:highlight w:val="green"/>
          <w:u w:val="single"/>
        </w:rPr>
        <w:t>two</w:t>
      </w:r>
      <w:r w:rsidRPr="005833EA">
        <w:rPr>
          <w:u w:val="single"/>
        </w:rPr>
        <w:t xml:space="preserve"> previously discussed </w:t>
      </w:r>
      <w:r w:rsidRPr="008D2E40">
        <w:rPr>
          <w:highlight w:val="green"/>
          <w:u w:val="single"/>
        </w:rPr>
        <w:t xml:space="preserve">features </w:t>
      </w:r>
      <w:r w:rsidRPr="001130DA">
        <w:rPr>
          <w:u w:val="single"/>
        </w:rPr>
        <w:t xml:space="preserve">on </w:t>
      </w:r>
      <w:r w:rsidRPr="008D2E40">
        <w:rPr>
          <w:highlight w:val="green"/>
          <w:u w:val="single"/>
        </w:rPr>
        <w:t xml:space="preserve">which U.S. law is </w:t>
      </w:r>
      <w:r w:rsidRPr="008D2E40">
        <w:rPr>
          <w:rStyle w:val="Emphasis"/>
          <w:highlight w:val="green"/>
        </w:rPr>
        <w:t>out of step</w:t>
      </w:r>
      <w:r w:rsidRPr="005833EA">
        <w:rPr>
          <w:u w:val="single"/>
        </w:rPr>
        <w:t xml:space="preserve">: the </w:t>
      </w:r>
      <w:r w:rsidRPr="008D2E40">
        <w:rPr>
          <w:highlight w:val="green"/>
          <w:u w:val="single"/>
        </w:rPr>
        <w:t xml:space="preserve">prohibition on </w:t>
      </w:r>
      <w:r w:rsidRPr="008D2E40">
        <w:rPr>
          <w:rStyle w:val="Emphasis"/>
          <w:highlight w:val="green"/>
        </w:rPr>
        <w:t>permanent replacements</w:t>
      </w:r>
      <w:r w:rsidRPr="005833EA">
        <w:rPr>
          <w:u w:val="single"/>
        </w:rPr>
        <w:t xml:space="preserve">145 </w:t>
      </w:r>
      <w:r w:rsidRPr="008D2E40">
        <w:rPr>
          <w:highlight w:val="green"/>
          <w:u w:val="single"/>
        </w:rPr>
        <w:t xml:space="preserve">and </w:t>
      </w:r>
      <w:r w:rsidRPr="008D2E40">
        <w:rPr>
          <w:rStyle w:val="Emphasis"/>
          <w:highlight w:val="green"/>
        </w:rPr>
        <w:t>public employees’ right to strike</w:t>
      </w:r>
      <w:r w:rsidRPr="00A56669">
        <w:rPr>
          <w:rStyle w:val="Emphasis"/>
        </w:rPr>
        <w:t xml:space="preserve"> with certain exceptions</w:t>
      </w:r>
      <w:r w:rsidRPr="001130DA">
        <w:rPr>
          <w:sz w:val="16"/>
        </w:rPr>
        <w:t xml:space="preserve">. 146 And </w:t>
      </w:r>
      <w:r w:rsidRPr="005833EA">
        <w:rPr>
          <w:u w:val="single"/>
        </w:rPr>
        <w:t>although particular limits on the right may vary from one country to another</w:t>
      </w:r>
      <w:r w:rsidRPr="001130DA">
        <w:rPr>
          <w:sz w:val="16"/>
        </w:rPr>
        <w:t xml:space="preserve">, </w:t>
      </w:r>
      <w:r w:rsidRPr="005833EA">
        <w:rPr>
          <w:u w:val="single"/>
        </w:rPr>
        <w:t xml:space="preserve">there is an </w:t>
      </w:r>
      <w:r w:rsidRPr="00A56669">
        <w:rPr>
          <w:rStyle w:val="Emphasis"/>
        </w:rPr>
        <w:t>international consensus</w:t>
      </w:r>
      <w:r w:rsidRPr="005833EA">
        <w:rPr>
          <w:u w:val="single"/>
        </w:rPr>
        <w:t xml:space="preserve"> that the </w:t>
      </w:r>
      <w:r w:rsidRPr="00A56669">
        <w:rPr>
          <w:rStyle w:val="Emphasis"/>
        </w:rPr>
        <w:t>right exists and that any limits should be reasonable</w:t>
      </w:r>
      <w:r w:rsidRPr="001130DA">
        <w:rPr>
          <w:sz w:val="16"/>
        </w:rPr>
        <w:t xml:space="preserve">.147 </w:t>
      </w:r>
      <w:r w:rsidRPr="005833EA">
        <w:rPr>
          <w:u w:val="single"/>
        </w:rPr>
        <w:t>The International Court of Justice (ICJ) does not require uniformity in practice in order to establish CIL, and indeed, it has countenanced some degree of variation</w:t>
      </w:r>
      <w:r w:rsidRPr="001130DA">
        <w:rPr>
          <w:sz w:val="16"/>
        </w:rPr>
        <w:t>:</w:t>
      </w:r>
      <w:r>
        <w:rPr>
          <w:sz w:val="16"/>
        </w:rPr>
        <w:t xml:space="preserve"> </w:t>
      </w:r>
      <w:r w:rsidRPr="005833EA">
        <w:rPr>
          <w:u w:val="single"/>
        </w:rPr>
        <w:t xml:space="preserve">The </w:t>
      </w:r>
      <w:r w:rsidRPr="00A56669">
        <w:rPr>
          <w:rStyle w:val="Emphasis"/>
        </w:rPr>
        <w:t>Court does not consider that, for a rule to be established as customary</w:t>
      </w:r>
      <w:r w:rsidRPr="005833EA">
        <w:rPr>
          <w:u w:val="single"/>
        </w:rPr>
        <w:t xml:space="preserve">, the corresponding practice must be in </w:t>
      </w:r>
      <w:r w:rsidRPr="00A56669">
        <w:rPr>
          <w:rStyle w:val="Emphasis"/>
        </w:rPr>
        <w:t>absolutely rigorous conformity</w:t>
      </w:r>
      <w:r w:rsidRPr="005833EA">
        <w:rPr>
          <w:u w:val="single"/>
        </w:rPr>
        <w:t xml:space="preserve"> with the rule. In order to deduce the existence of customary rules, the Court deems it sufficient that the conduct of States should, in general be consistent with such rules</w:t>
      </w:r>
      <w:r w:rsidRPr="001130DA">
        <w:rPr>
          <w:sz w:val="16"/>
        </w:rPr>
        <w:t>.148</w:t>
      </w:r>
      <w:r>
        <w:rPr>
          <w:sz w:val="16"/>
        </w:rPr>
        <w:t xml:space="preserve"> </w:t>
      </w:r>
      <w:r w:rsidRPr="001130DA">
        <w:rPr>
          <w:sz w:val="16"/>
        </w:rPr>
        <w:t xml:space="preserve">C. </w:t>
      </w:r>
      <w:r w:rsidRPr="0098613E">
        <w:rPr>
          <w:rStyle w:val="Emphasis"/>
        </w:rPr>
        <w:t>FOA</w:t>
      </w:r>
      <w:r w:rsidRPr="00117DE5">
        <w:rPr>
          <w:u w:val="single"/>
        </w:rPr>
        <w:t xml:space="preserve"> and the </w:t>
      </w:r>
      <w:r w:rsidRPr="008D2E40">
        <w:rPr>
          <w:rStyle w:val="Emphasis"/>
          <w:highlight w:val="green"/>
        </w:rPr>
        <w:t>Right to Strike as Opinio Juris</w:t>
      </w:r>
      <w:r>
        <w:rPr>
          <w:rStyle w:val="Emphasis"/>
        </w:rPr>
        <w:t xml:space="preserve"> </w:t>
      </w:r>
      <w:r w:rsidRPr="00117DE5">
        <w:rPr>
          <w:u w:val="single"/>
        </w:rPr>
        <w:t xml:space="preserve">There is also considerable support for the proposition that the general practice of states on FOA and the right to strike stems from </w:t>
      </w:r>
      <w:r w:rsidRPr="0098613E">
        <w:rPr>
          <w:rStyle w:val="Emphasis"/>
        </w:rPr>
        <w:t>acceptance as a matter of legal obligation</w:t>
      </w:r>
      <w:r w:rsidRPr="001130DA">
        <w:rPr>
          <w:sz w:val="16"/>
        </w:rPr>
        <w:t xml:space="preserve">. Admittedly, </w:t>
      </w:r>
      <w:r w:rsidRPr="008D2E40">
        <w:rPr>
          <w:highlight w:val="green"/>
          <w:u w:val="single"/>
        </w:rPr>
        <w:t>while</w:t>
      </w:r>
      <w:r w:rsidRPr="00117DE5">
        <w:rPr>
          <w:u w:val="single"/>
        </w:rPr>
        <w:t xml:space="preserve"> the existence of </w:t>
      </w:r>
      <w:r w:rsidRPr="008D2E40">
        <w:rPr>
          <w:highlight w:val="green"/>
          <w:u w:val="single"/>
        </w:rPr>
        <w:t xml:space="preserve">opinio juris may be </w:t>
      </w:r>
      <w:r w:rsidRPr="008D2E40">
        <w:rPr>
          <w:rStyle w:val="Emphasis"/>
          <w:highlight w:val="green"/>
        </w:rPr>
        <w:t>inferred</w:t>
      </w:r>
      <w:r w:rsidRPr="0098613E">
        <w:rPr>
          <w:rStyle w:val="Emphasis"/>
        </w:rPr>
        <w:t xml:space="preserve"> from a general practice</w:t>
      </w:r>
      <w:r w:rsidRPr="00117DE5">
        <w:rPr>
          <w:u w:val="single"/>
        </w:rPr>
        <w:t xml:space="preserve">, </w:t>
      </w:r>
      <w:r w:rsidRPr="008D2E40">
        <w:rPr>
          <w:highlight w:val="green"/>
          <w:u w:val="single"/>
        </w:rPr>
        <w:t>the</w:t>
      </w:r>
      <w:r w:rsidRPr="00117DE5">
        <w:rPr>
          <w:u w:val="single"/>
        </w:rPr>
        <w:t xml:space="preserve"> International Court of Justice </w:t>
      </w:r>
      <w:r w:rsidRPr="008D2E40">
        <w:rPr>
          <w:highlight w:val="green"/>
          <w:u w:val="single"/>
        </w:rPr>
        <w:t>(ICJ) has</w:t>
      </w:r>
      <w:r w:rsidRPr="00117DE5">
        <w:rPr>
          <w:u w:val="single"/>
        </w:rPr>
        <w:t xml:space="preserve"> at times </w:t>
      </w:r>
      <w:r w:rsidRPr="008D2E40">
        <w:rPr>
          <w:highlight w:val="green"/>
          <w:u w:val="single"/>
        </w:rPr>
        <w:t xml:space="preserve">noted the </w:t>
      </w:r>
      <w:r w:rsidRPr="008D2E40">
        <w:rPr>
          <w:rStyle w:val="Emphasis"/>
          <w:highlight w:val="green"/>
        </w:rPr>
        <w:t>insufficiency or inconclusiveness of such practice</w:t>
      </w:r>
      <w:r w:rsidRPr="00117DE5">
        <w:rPr>
          <w:u w:val="single"/>
        </w:rPr>
        <w:t xml:space="preserve">, </w:t>
      </w:r>
      <w:r w:rsidRPr="0098613E">
        <w:rPr>
          <w:u w:val="single"/>
        </w:rPr>
        <w:t xml:space="preserve">instead seeking </w:t>
      </w:r>
      <w:r w:rsidRPr="0098613E">
        <w:rPr>
          <w:rStyle w:val="Emphasis"/>
        </w:rPr>
        <w:t>confirmation that “[states’] conduct is ‘evidence of a belief that this practice is rendered obligatory by the existence of a rule of law</w:t>
      </w:r>
      <w:r w:rsidRPr="0098613E">
        <w:rPr>
          <w:u w:val="single"/>
        </w:rPr>
        <w:t xml:space="preserve"> requiring it</w:t>
      </w:r>
      <w:r w:rsidRPr="0098613E">
        <w:rPr>
          <w:sz w:val="16"/>
        </w:rPr>
        <w:t xml:space="preserve">.’”149 </w:t>
      </w:r>
      <w:r w:rsidRPr="0098613E">
        <w:rPr>
          <w:u w:val="single"/>
        </w:rPr>
        <w:t>Trade agreements</w:t>
      </w:r>
      <w:r w:rsidRPr="0098613E">
        <w:rPr>
          <w:sz w:val="16"/>
        </w:rPr>
        <w:t xml:space="preserve">, for instance, </w:t>
      </w:r>
      <w:r w:rsidRPr="0098613E">
        <w:rPr>
          <w:u w:val="single"/>
        </w:rPr>
        <w:t>may rep</w:t>
      </w:r>
      <w:r w:rsidRPr="00D2046C">
        <w:rPr>
          <w:u w:val="single"/>
        </w:rPr>
        <w:t>resent treaty law and may qualify as evidence of general practice, but they are typically entered into by States that have specific economic or political objectives rather than from a desire to embrace obligations arising under international law</w:t>
      </w:r>
      <w:r w:rsidRPr="001130DA">
        <w:rPr>
          <w:sz w:val="16"/>
        </w:rPr>
        <w:t xml:space="preserve">.150 Further, it is possible that </w:t>
      </w:r>
      <w:r w:rsidRPr="00D2046C">
        <w:rPr>
          <w:u w:val="single"/>
        </w:rPr>
        <w:t xml:space="preserve">even with respect to ILO conventions, </w:t>
      </w:r>
      <w:r w:rsidRPr="008D2E40">
        <w:rPr>
          <w:rStyle w:val="Emphasis"/>
          <w:highlight w:val="green"/>
        </w:rPr>
        <w:t>widespread ratification</w:t>
      </w:r>
      <w:r w:rsidRPr="00D2046C">
        <w:rPr>
          <w:u w:val="single"/>
        </w:rPr>
        <w:t xml:space="preserve"> is in part a function of </w:t>
      </w:r>
      <w:r w:rsidRPr="0098613E">
        <w:rPr>
          <w:rStyle w:val="Emphasis"/>
        </w:rPr>
        <w:t>acculturation</w:t>
      </w:r>
      <w:r w:rsidRPr="00D2046C">
        <w:rPr>
          <w:u w:val="single"/>
        </w:rPr>
        <w:t xml:space="preserve">, insofar as </w:t>
      </w:r>
      <w:r w:rsidRPr="0098613E">
        <w:rPr>
          <w:rStyle w:val="Emphasis"/>
        </w:rPr>
        <w:t xml:space="preserve">endorsements across a region </w:t>
      </w:r>
      <w:r w:rsidRPr="008D2E40">
        <w:rPr>
          <w:rStyle w:val="Emphasis"/>
          <w:highlight w:val="green"/>
        </w:rPr>
        <w:t>contribute to socialized acceptance of norms on FOA, reassuring</w:t>
      </w:r>
      <w:r w:rsidRPr="0098613E">
        <w:rPr>
          <w:rStyle w:val="Emphasis"/>
        </w:rPr>
        <w:t xml:space="preserve"> peer </w:t>
      </w:r>
      <w:r w:rsidRPr="008D2E40">
        <w:rPr>
          <w:rStyle w:val="Emphasis"/>
          <w:highlight w:val="green"/>
        </w:rPr>
        <w:t>countries</w:t>
      </w:r>
      <w:r w:rsidRPr="0098613E">
        <w:rPr>
          <w:rStyle w:val="Emphasis"/>
        </w:rPr>
        <w:t xml:space="preserve"> that protecting rights to association </w:t>
      </w:r>
      <w:r w:rsidRPr="008D2E40">
        <w:rPr>
          <w:rStyle w:val="Emphasis"/>
          <w:highlight w:val="green"/>
        </w:rPr>
        <w:t>including the right to strike will not place them in</w:t>
      </w:r>
      <w:r w:rsidRPr="0098613E">
        <w:rPr>
          <w:rStyle w:val="Emphasis"/>
        </w:rPr>
        <w:t xml:space="preserve"> an </w:t>
      </w:r>
      <w:r w:rsidRPr="008D2E40">
        <w:rPr>
          <w:rStyle w:val="Emphasis"/>
          <w:highlight w:val="green"/>
        </w:rPr>
        <w:t>inferior competitive position</w:t>
      </w:r>
      <w:r w:rsidRPr="00D2046C">
        <w:rPr>
          <w:u w:val="single"/>
        </w:rPr>
        <w:t>.</w:t>
      </w:r>
      <w:r w:rsidRPr="001130DA">
        <w:rPr>
          <w:sz w:val="16"/>
        </w:rPr>
        <w:t>151</w:t>
      </w:r>
      <w:r>
        <w:rPr>
          <w:sz w:val="16"/>
        </w:rPr>
        <w:t xml:space="preserve"> </w:t>
      </w:r>
      <w:r w:rsidRPr="001130DA">
        <w:rPr>
          <w:sz w:val="16"/>
        </w:rPr>
        <w:t xml:space="preserve">That said, the ICJ often does infer the existence of opinio juris from a general practice and/or from determinations by national or international tribunals.152 And there are ample reasons to draw such an inference here. To start, </w:t>
      </w:r>
      <w:r w:rsidRPr="008D2E40">
        <w:rPr>
          <w:highlight w:val="green"/>
          <w:u w:val="single"/>
        </w:rPr>
        <w:t>FOA is</w:t>
      </w:r>
      <w:r w:rsidRPr="00D2046C">
        <w:rPr>
          <w:u w:val="single"/>
        </w:rPr>
        <w:t xml:space="preserve"> </w:t>
      </w:r>
      <w:r w:rsidRPr="0098613E">
        <w:rPr>
          <w:rStyle w:val="Emphasis"/>
        </w:rPr>
        <w:t xml:space="preserve">consciously </w:t>
      </w:r>
      <w:r w:rsidRPr="008D2E40">
        <w:rPr>
          <w:rStyle w:val="Emphasis"/>
          <w:highlight w:val="green"/>
        </w:rPr>
        <w:t>accepted</w:t>
      </w:r>
      <w:r w:rsidRPr="00D2046C">
        <w:rPr>
          <w:u w:val="single"/>
        </w:rPr>
        <w:t xml:space="preserve"> as an obligation by ILO member </w:t>
      </w:r>
      <w:r w:rsidRPr="0098613E">
        <w:rPr>
          <w:rStyle w:val="Emphasis"/>
        </w:rPr>
        <w:t>states not simply through ratification of Convention 87</w:t>
      </w:r>
      <w:r w:rsidRPr="001130DA">
        <w:rPr>
          <w:sz w:val="16"/>
        </w:rPr>
        <w:t xml:space="preserve"> (covering more than 80 percent of them) </w:t>
      </w:r>
      <w:r w:rsidRPr="00D2046C">
        <w:rPr>
          <w:u w:val="single"/>
        </w:rPr>
        <w:t xml:space="preserve">but </w:t>
      </w:r>
      <w:r w:rsidRPr="008D2E40">
        <w:rPr>
          <w:highlight w:val="green"/>
          <w:u w:val="single"/>
        </w:rPr>
        <w:t xml:space="preserve">by </w:t>
      </w:r>
      <w:r w:rsidRPr="008D2E40">
        <w:rPr>
          <w:rStyle w:val="Emphasis"/>
          <w:highlight w:val="green"/>
        </w:rPr>
        <w:t>virtue of membership</w:t>
      </w:r>
      <w:r w:rsidRPr="00D2046C">
        <w:rPr>
          <w:u w:val="single"/>
        </w:rPr>
        <w:t xml:space="preserve"> itself. </w:t>
      </w:r>
      <w:r w:rsidRPr="008D2E40">
        <w:rPr>
          <w:highlight w:val="green"/>
          <w:u w:val="single"/>
        </w:rPr>
        <w:t>The ILO</w:t>
      </w:r>
      <w:r w:rsidRPr="00D2046C">
        <w:rPr>
          <w:u w:val="single"/>
        </w:rPr>
        <w:t xml:space="preserve"> Constitution </w:t>
      </w:r>
      <w:r w:rsidRPr="008D2E40">
        <w:rPr>
          <w:highlight w:val="green"/>
          <w:u w:val="single"/>
        </w:rPr>
        <w:t xml:space="preserve">expressly </w:t>
      </w:r>
      <w:r w:rsidRPr="008D2E40">
        <w:rPr>
          <w:rStyle w:val="Emphasis"/>
          <w:highlight w:val="green"/>
        </w:rPr>
        <w:t>requires support for FOA</w:t>
      </w:r>
      <w:r w:rsidRPr="00D2046C">
        <w:rPr>
          <w:u w:val="single"/>
        </w:rPr>
        <w:t xml:space="preserve"> principles, and these principles are further </w:t>
      </w:r>
      <w:r w:rsidRPr="001130DA">
        <w:rPr>
          <w:u w:val="single"/>
        </w:rPr>
        <w:t>imbedded through</w:t>
      </w:r>
      <w:r w:rsidRPr="00D2046C">
        <w:rPr>
          <w:u w:val="single"/>
        </w:rPr>
        <w:t xml:space="preserve"> a </w:t>
      </w:r>
      <w:r w:rsidRPr="0098613E">
        <w:rPr>
          <w:rStyle w:val="Emphasis"/>
        </w:rPr>
        <w:t>tripartite governance structure that allocates power-sharing roles</w:t>
      </w:r>
      <w:r w:rsidRPr="00D2046C">
        <w:rPr>
          <w:u w:val="single"/>
        </w:rPr>
        <w:t xml:space="preserve"> to worker organizations alongside governments and employers</w:t>
      </w:r>
      <w:r w:rsidRPr="001130DA">
        <w:rPr>
          <w:sz w:val="16"/>
        </w:rPr>
        <w:t xml:space="preserve">.153 Thus, </w:t>
      </w:r>
      <w:r w:rsidRPr="00D2046C">
        <w:rPr>
          <w:u w:val="single"/>
        </w:rPr>
        <w:t>ILO members understand there is an underlying obligation to respect FOA in law and practice</w:t>
      </w:r>
      <w:r w:rsidRPr="001130DA">
        <w:rPr>
          <w:sz w:val="16"/>
        </w:rPr>
        <w:t>.154</w:t>
      </w:r>
      <w:r>
        <w:rPr>
          <w:rStyle w:val="Emphasis"/>
        </w:rPr>
        <w:t xml:space="preserve"> </w:t>
      </w:r>
      <w:r w:rsidRPr="001130DA">
        <w:rPr>
          <w:sz w:val="16"/>
        </w:rPr>
        <w:t xml:space="preserve">A second reason is that </w:t>
      </w:r>
      <w:r w:rsidRPr="00D2046C">
        <w:rPr>
          <w:u w:val="single"/>
        </w:rPr>
        <w:t xml:space="preserve">domestic law can </w:t>
      </w:r>
      <w:r w:rsidRPr="0098613E">
        <w:rPr>
          <w:rStyle w:val="Emphasis"/>
        </w:rPr>
        <w:t>provide relevant evidence regarding the presence of opinio juris among states</w:t>
      </w:r>
      <w:r w:rsidRPr="00D2046C">
        <w:rPr>
          <w:u w:val="single"/>
        </w:rPr>
        <w:t xml:space="preserve">. Commitments to FOA expressed in </w:t>
      </w:r>
      <w:r w:rsidRPr="0098613E">
        <w:rPr>
          <w:rStyle w:val="Emphasis"/>
        </w:rPr>
        <w:t>national constitutions</w:t>
      </w:r>
      <w:r w:rsidRPr="00D2046C">
        <w:rPr>
          <w:u w:val="single"/>
        </w:rPr>
        <w:t xml:space="preserve">, </w:t>
      </w:r>
      <w:r w:rsidRPr="0098613E">
        <w:rPr>
          <w:rStyle w:val="Emphasis"/>
        </w:rPr>
        <w:t>statutes</w:t>
      </w:r>
      <w:r w:rsidRPr="00D2046C">
        <w:rPr>
          <w:u w:val="single"/>
        </w:rPr>
        <w:t xml:space="preserve">, and </w:t>
      </w:r>
      <w:r w:rsidRPr="0098613E">
        <w:rPr>
          <w:rStyle w:val="Emphasis"/>
        </w:rPr>
        <w:t>court decisions are not necessarily evidence of a state’s belief</w:t>
      </w:r>
      <w:r w:rsidRPr="00D2046C">
        <w:rPr>
          <w:u w:val="single"/>
        </w:rPr>
        <w:t xml:space="preserve"> that the principle is </w:t>
      </w:r>
      <w:r w:rsidRPr="0098613E">
        <w:rPr>
          <w:rStyle w:val="Emphasis"/>
        </w:rPr>
        <w:t>international</w:t>
      </w:r>
      <w:r w:rsidRPr="00D2046C">
        <w:rPr>
          <w:u w:val="single"/>
        </w:rPr>
        <w:t xml:space="preserve"> as opposed to domestic law</w:t>
      </w:r>
      <w:r w:rsidRPr="001130DA">
        <w:rPr>
          <w:sz w:val="16"/>
        </w:rPr>
        <w:t xml:space="preserve">. Nonetheless, </w:t>
      </w:r>
      <w:r w:rsidRPr="00D2046C">
        <w:rPr>
          <w:u w:val="single"/>
        </w:rPr>
        <w:t xml:space="preserve">the </w:t>
      </w:r>
      <w:r w:rsidRPr="0098613E">
        <w:rPr>
          <w:rStyle w:val="Emphasis"/>
        </w:rPr>
        <w:t>International Law Commission</w:t>
      </w:r>
      <w:r w:rsidRPr="00D2046C">
        <w:rPr>
          <w:u w:val="single"/>
        </w:rPr>
        <w:t xml:space="preserve"> has made clear that </w:t>
      </w:r>
      <w:r w:rsidRPr="0098613E">
        <w:rPr>
          <w:rStyle w:val="Emphasis"/>
        </w:rPr>
        <w:t>evidence of acceptance as law</w:t>
      </w:r>
      <w:r w:rsidRPr="001130DA">
        <w:rPr>
          <w:sz w:val="16"/>
        </w:rPr>
        <w:t xml:space="preserve"> (opinio juris) </w:t>
      </w:r>
      <w:r w:rsidRPr="00D2046C">
        <w:rPr>
          <w:u w:val="single"/>
        </w:rPr>
        <w:t xml:space="preserve">“may take a </w:t>
      </w:r>
      <w:r w:rsidRPr="0098613E">
        <w:rPr>
          <w:rStyle w:val="Emphasis"/>
        </w:rPr>
        <w:t>wide range of forms</w:t>
      </w:r>
      <w:r w:rsidRPr="00D2046C">
        <w:rPr>
          <w:u w:val="single"/>
        </w:rPr>
        <w:t>,” including but not limited to “</w:t>
      </w:r>
      <w:r w:rsidRPr="0098613E">
        <w:rPr>
          <w:rStyle w:val="Emphasis"/>
        </w:rPr>
        <w:t>official publications; government legal opinions; [and] decisions of national courts</w:t>
      </w:r>
      <w:r w:rsidRPr="00D2046C">
        <w:rPr>
          <w:u w:val="single"/>
        </w:rPr>
        <w:t>.”</w:t>
      </w:r>
      <w:r w:rsidRPr="001130DA">
        <w:rPr>
          <w:sz w:val="16"/>
        </w:rPr>
        <w:t xml:space="preserve">155 In this regard, the </w:t>
      </w:r>
      <w:r w:rsidRPr="00D2046C">
        <w:rPr>
          <w:u w:val="single"/>
        </w:rPr>
        <w:t xml:space="preserve">CEACR in 2012 identified 92 countries where “the right to strike is </w:t>
      </w:r>
      <w:r w:rsidRPr="0098613E">
        <w:rPr>
          <w:rStyle w:val="Emphasis"/>
        </w:rPr>
        <w:t>explicitly recognized, including at the constitutional level</w:t>
      </w:r>
      <w:r w:rsidRPr="00D2046C">
        <w:rPr>
          <w:u w:val="single"/>
        </w:rPr>
        <w:t xml:space="preserve">”; the list includes </w:t>
      </w:r>
      <w:r w:rsidRPr="00F807D1">
        <w:rPr>
          <w:u w:val="single"/>
        </w:rPr>
        <w:t xml:space="preserve">six countries that have </w:t>
      </w:r>
      <w:r w:rsidRPr="00F807D1">
        <w:rPr>
          <w:rStyle w:val="Emphasis"/>
        </w:rPr>
        <w:t>not ratified Convention</w:t>
      </w:r>
      <w:r w:rsidRPr="00F807D1">
        <w:rPr>
          <w:u w:val="single"/>
        </w:rPr>
        <w:t xml:space="preserve"> 87.156</w:t>
      </w:r>
      <w:r>
        <w:rPr>
          <w:u w:val="single"/>
        </w:rPr>
        <w:t xml:space="preserve"> </w:t>
      </w:r>
      <w:r w:rsidRPr="00F807D1">
        <w:rPr>
          <w:u w:val="single"/>
        </w:rPr>
        <w:t xml:space="preserve">Recognition in domestic law of a right to strike alongside a conscious </w:t>
      </w:r>
      <w:r w:rsidRPr="00F807D1">
        <w:rPr>
          <w:rStyle w:val="Emphasis"/>
        </w:rPr>
        <w:t>decision not to ratify Convention 87 could give rise to an inference that these six countries are rejecting the right</w:t>
      </w:r>
      <w:r w:rsidRPr="00F807D1">
        <w:rPr>
          <w:u w:val="single"/>
        </w:rPr>
        <w:t xml:space="preserve"> as a principle of international law</w:t>
      </w:r>
      <w:r w:rsidRPr="00F807D1">
        <w:rPr>
          <w:sz w:val="16"/>
        </w:rPr>
        <w:t xml:space="preserve">. However, as explained earlier, </w:t>
      </w:r>
      <w:r w:rsidRPr="00F807D1">
        <w:rPr>
          <w:u w:val="single"/>
        </w:rPr>
        <w:t xml:space="preserve">national courts for </w:t>
      </w:r>
      <w:r w:rsidRPr="00F807D1">
        <w:rPr>
          <w:rStyle w:val="Emphasis"/>
        </w:rPr>
        <w:t xml:space="preserve">two of </w:t>
      </w:r>
      <w:r w:rsidRPr="00F807D1">
        <w:rPr>
          <w:rStyle w:val="Emphasis"/>
        </w:rPr>
        <w:lastRenderedPageBreak/>
        <w:t>the six non-ratifying countries</w:t>
      </w:r>
      <w:r w:rsidRPr="00F807D1">
        <w:rPr>
          <w:sz w:val="16"/>
        </w:rPr>
        <w:t xml:space="preserve"> (Brazil and Kenya) </w:t>
      </w:r>
      <w:r w:rsidRPr="00F807D1">
        <w:rPr>
          <w:u w:val="single"/>
        </w:rPr>
        <w:t xml:space="preserve">expressly invoke </w:t>
      </w:r>
      <w:r w:rsidRPr="00F807D1">
        <w:rPr>
          <w:rStyle w:val="Emphasis"/>
        </w:rPr>
        <w:t>ILO membership and/or principles as guidance in their domestic law decisions</w:t>
      </w:r>
      <w:r w:rsidRPr="00F807D1">
        <w:rPr>
          <w:u w:val="single"/>
        </w:rPr>
        <w:t>.</w:t>
      </w:r>
      <w:r w:rsidRPr="00F807D1">
        <w:rPr>
          <w:sz w:val="16"/>
        </w:rPr>
        <w:t xml:space="preserve"> 157 </w:t>
      </w:r>
      <w:r w:rsidRPr="00F807D1">
        <w:rPr>
          <w:u w:val="single"/>
        </w:rPr>
        <w:t xml:space="preserve">In addition, </w:t>
      </w:r>
      <w:r w:rsidRPr="00F807D1">
        <w:rPr>
          <w:rStyle w:val="Emphasis"/>
        </w:rPr>
        <w:t>Canada</w:t>
      </w:r>
      <w:r w:rsidRPr="00F807D1">
        <w:rPr>
          <w:u w:val="single"/>
        </w:rPr>
        <w:t xml:space="preserve">—a country </w:t>
      </w:r>
      <w:r w:rsidRPr="00F807D1">
        <w:rPr>
          <w:rStyle w:val="Emphasis"/>
        </w:rPr>
        <w:t>not listed among the 92 endorsing the right to strike in the 2012 General Survey</w:t>
      </w:r>
      <w:r w:rsidRPr="00F807D1">
        <w:rPr>
          <w:u w:val="single"/>
        </w:rPr>
        <w:t xml:space="preserve">— has since recognized a </w:t>
      </w:r>
      <w:r w:rsidRPr="00F807D1">
        <w:rPr>
          <w:rStyle w:val="Emphasis"/>
        </w:rPr>
        <w:t>constitutional right to strike under national law</w:t>
      </w:r>
      <w:r w:rsidRPr="00F807D1">
        <w:rPr>
          <w:u w:val="single"/>
        </w:rPr>
        <w:t>, relying in part on international law principles including CEACR and CFA determinations</w:t>
      </w:r>
      <w:r w:rsidRPr="00F807D1">
        <w:rPr>
          <w:sz w:val="16"/>
        </w:rPr>
        <w:t xml:space="preserve">. 158 </w:t>
      </w:r>
      <w:r w:rsidRPr="00F807D1">
        <w:rPr>
          <w:u w:val="single"/>
        </w:rPr>
        <w:t>The Canadian Supreme Court had previously been explicit in invoking Convention 87, ICESCR, and ICCPR as “documents [that] reflect not only international consensus but also principles that Canada has committed itself to uphold.”</w:t>
      </w:r>
      <w:r w:rsidRPr="00F807D1">
        <w:rPr>
          <w:sz w:val="16"/>
        </w:rPr>
        <w:t>159</w:t>
      </w:r>
      <w:r>
        <w:rPr>
          <w:sz w:val="16"/>
        </w:rPr>
        <w:t xml:space="preserve"> </w:t>
      </w:r>
      <w:r w:rsidRPr="00F807D1">
        <w:rPr>
          <w:sz w:val="16"/>
        </w:rPr>
        <w:t xml:space="preserve">Further, </w:t>
      </w:r>
      <w:r w:rsidRPr="00F807D1">
        <w:rPr>
          <w:u w:val="single"/>
        </w:rPr>
        <w:t xml:space="preserve">a </w:t>
      </w:r>
      <w:r w:rsidRPr="00F807D1">
        <w:rPr>
          <w:rStyle w:val="Emphasis"/>
        </w:rPr>
        <w:t>third</w:t>
      </w:r>
      <w:r w:rsidRPr="00F807D1">
        <w:rPr>
          <w:u w:val="single"/>
        </w:rPr>
        <w:t xml:space="preserve"> country in the group of six—</w:t>
      </w:r>
      <w:r w:rsidRPr="00F807D1">
        <w:rPr>
          <w:rStyle w:val="Emphasis"/>
        </w:rPr>
        <w:t>South Korea</w:t>
      </w:r>
      <w:r w:rsidRPr="00F807D1">
        <w:rPr>
          <w:u w:val="single"/>
        </w:rPr>
        <w:t xml:space="preserve">—has affirmed in its </w:t>
      </w:r>
      <w:r w:rsidRPr="00F807D1">
        <w:rPr>
          <w:rStyle w:val="Emphasis"/>
        </w:rPr>
        <w:t>trade agreements with the United States</w:t>
      </w:r>
      <w:r w:rsidRPr="00F807D1">
        <w:rPr>
          <w:u w:val="single"/>
        </w:rPr>
        <w:t xml:space="preserve"> and the EU its obligation to “adopt and maintain in its statutes and regulations, and practices” FOA in accordance with the ILO Declaration</w:t>
      </w:r>
      <w:r w:rsidRPr="00F807D1">
        <w:rPr>
          <w:sz w:val="16"/>
        </w:rPr>
        <w:t xml:space="preserve">.160 And </w:t>
      </w:r>
      <w:r w:rsidRPr="00F807D1">
        <w:rPr>
          <w:u w:val="single"/>
        </w:rPr>
        <w:t xml:space="preserve">in various CFA complaints against South Korea for violating FOA principles, including the right to strike, the </w:t>
      </w:r>
      <w:r w:rsidRPr="00F807D1">
        <w:rPr>
          <w:rStyle w:val="Emphasis"/>
        </w:rPr>
        <w:t>Government</w:t>
      </w:r>
      <w:r w:rsidRPr="00F807D1">
        <w:rPr>
          <w:u w:val="single"/>
        </w:rPr>
        <w:t xml:space="preserve"> has disputed the facts of the complaints while at the </w:t>
      </w:r>
      <w:r w:rsidRPr="00F807D1">
        <w:rPr>
          <w:rStyle w:val="Emphasis"/>
        </w:rPr>
        <w:t>same time recognizing that such rights are embedded in international law</w:t>
      </w:r>
      <w:r w:rsidRPr="00F807D1">
        <w:rPr>
          <w:sz w:val="16"/>
        </w:rPr>
        <w:t xml:space="preserve">.161 Accordingly, a more relevant reference point in this setting may be that </w:t>
      </w:r>
      <w:r w:rsidRPr="00F807D1">
        <w:rPr>
          <w:u w:val="single"/>
        </w:rPr>
        <w:t xml:space="preserve">“when States act in conformity with a treaty provision by which they are not bound . . . this may </w:t>
      </w:r>
      <w:r w:rsidRPr="00F807D1">
        <w:rPr>
          <w:rStyle w:val="Emphasis"/>
        </w:rPr>
        <w:t>evidence the existence of acceptance as law (opinio juris) in the absence of any explanation to the contrary</w:t>
      </w:r>
      <w:r w:rsidRPr="00F807D1">
        <w:rPr>
          <w:u w:val="single"/>
        </w:rPr>
        <w:t>.”</w:t>
      </w:r>
      <w:r w:rsidRPr="00F807D1">
        <w:rPr>
          <w:sz w:val="16"/>
        </w:rPr>
        <w:t>162</w:t>
      </w:r>
      <w:r>
        <w:rPr>
          <w:sz w:val="16"/>
        </w:rPr>
        <w:t xml:space="preserve"> </w:t>
      </w:r>
      <w:r w:rsidRPr="00F807D1">
        <w:rPr>
          <w:sz w:val="16"/>
        </w:rPr>
        <w:t>Stepping back, domestic law on FOA and the right to strike, which for many countries developed after Convention 87 and its initial applications by the CEACR and CFA, may be viewed in part as a window into countries’ sense of obligation in law and practice. A state may at times adopt labor provisions of a trade agreement for reasons of comity or relative competitive advantage. These reasons may play a more modest role with respect to adoption of certain human rights treaties or ILO conventions. 163 But evidence of practice and obligation in the domestic law sphere—especially when informed by regard for international instruments—seems almost by definition to be a function of acceptance as law rather than susceptibility to strategic motivations. In this regard, there are numerous instances in recent years where governments have expanded their legislative protections for the right to strike following a period of dialogue with the CEACR, and that committee has recognized and applauded the changes in law.164 Of particular relevance to the U.S. setting, these expansions have included assuring the right to strike for public sector employees and prohibiting the hiring of replacements for strikers.165</w:t>
      </w:r>
      <w:r>
        <w:rPr>
          <w:sz w:val="16"/>
        </w:rPr>
        <w:t xml:space="preserve"> </w:t>
      </w:r>
      <w:r w:rsidRPr="00F807D1">
        <w:rPr>
          <w:sz w:val="16"/>
        </w:rPr>
        <w:t>A third reason to infer opinio juris (in addition to the centrality of FOA principles within the ILO Constitution and the strong evidence of FOA and rightto-strike practice and obligation under domestic law) involves recent statements from high officials in the United Nations indicating that the right to strike is understood by its leaders as CIL. In his 2016 report to the U.N. General Assembly, the U.N. Special Rapporteur on the rights to freedom of peaceful assembly and association explained, “The right to strike has been established in international law for decades, in global and regional instruments, and is also enshrined in the constitutions of at least 90 countries. The right to strike has, in fact, become customary international law.”166</w:t>
      </w:r>
      <w:r>
        <w:rPr>
          <w:sz w:val="16"/>
        </w:rPr>
        <w:t xml:space="preserve"> </w:t>
      </w:r>
      <w:r w:rsidRPr="00F807D1">
        <w:rPr>
          <w:sz w:val="16"/>
        </w:rPr>
        <w:t>In 2018, responding to a press briefing on a strike by U.N. employees following announced pay cuts, the Deputy Spokesman for the U.N. SecretaryGeneral reiterated the U.N. view that the right to strike is indeed CIL and did so in the context of the right being asserted by public employees not involved in the administration of the state:</w:t>
      </w:r>
      <w:r>
        <w:rPr>
          <w:sz w:val="16"/>
        </w:rPr>
        <w:t xml:space="preserve"> </w:t>
      </w:r>
      <w:r w:rsidRPr="00F807D1">
        <w:rPr>
          <w:sz w:val="16"/>
        </w:rPr>
        <w:t>Question: Does the Secretary-General believe that U.N. staff have a right to take part in industrial action?</w:t>
      </w:r>
      <w:r>
        <w:rPr>
          <w:sz w:val="16"/>
        </w:rPr>
        <w:t xml:space="preserve"> </w:t>
      </w:r>
      <w:r w:rsidRPr="00F807D1">
        <w:rPr>
          <w:sz w:val="16"/>
        </w:rPr>
        <w:t>Deputy Spokesman: We believe the right to strike is part of customary international law.167</w:t>
      </w:r>
      <w:r>
        <w:rPr>
          <w:sz w:val="16"/>
        </w:rPr>
        <w:t xml:space="preserve"> </w:t>
      </w:r>
      <w:r w:rsidRPr="00F807D1">
        <w:rPr>
          <w:sz w:val="16"/>
        </w:rPr>
        <w:t>These statements did not simply materialize in recent times</w:t>
      </w:r>
      <w:r w:rsidRPr="001130DA">
        <w:rPr>
          <w:sz w:val="16"/>
        </w:rPr>
        <w:t xml:space="preserve">. </w:t>
      </w:r>
      <w:r w:rsidRPr="00425E77">
        <w:rPr>
          <w:u w:val="single"/>
        </w:rPr>
        <w:t>Two</w:t>
      </w:r>
      <w:r w:rsidRPr="00875A8F">
        <w:rPr>
          <w:u w:val="single"/>
        </w:rPr>
        <w:t xml:space="preserve"> major </w:t>
      </w:r>
      <w:r w:rsidRPr="00425E77">
        <w:rPr>
          <w:u w:val="single"/>
        </w:rPr>
        <w:t>U.N.</w:t>
      </w:r>
      <w:r w:rsidRPr="00875A8F">
        <w:rPr>
          <w:u w:val="single"/>
        </w:rPr>
        <w:t xml:space="preserve"> Human Rights treaties—</w:t>
      </w:r>
      <w:r w:rsidRPr="008D2E40">
        <w:rPr>
          <w:highlight w:val="green"/>
          <w:u w:val="single"/>
        </w:rPr>
        <w:t xml:space="preserve">the </w:t>
      </w:r>
      <w:r w:rsidRPr="008D2E40">
        <w:rPr>
          <w:rStyle w:val="Emphasis"/>
          <w:highlight w:val="green"/>
        </w:rPr>
        <w:t>ICESCR and</w:t>
      </w:r>
      <w:r w:rsidRPr="0098613E">
        <w:rPr>
          <w:rStyle w:val="Emphasis"/>
        </w:rPr>
        <w:t xml:space="preserve"> the </w:t>
      </w:r>
      <w:r w:rsidRPr="008D2E40">
        <w:rPr>
          <w:rStyle w:val="Emphasis"/>
          <w:highlight w:val="green"/>
        </w:rPr>
        <w:t>ICCPR</w:t>
      </w:r>
      <w:r w:rsidRPr="00875A8F">
        <w:rPr>
          <w:u w:val="single"/>
        </w:rPr>
        <w:t xml:space="preserve">—have been </w:t>
      </w:r>
      <w:r w:rsidRPr="0098613E">
        <w:rPr>
          <w:rStyle w:val="Emphasis"/>
        </w:rPr>
        <w:t xml:space="preserve">interpreted by their relevant treaty bodies to </w:t>
      </w:r>
      <w:r w:rsidRPr="008D2E40">
        <w:rPr>
          <w:rStyle w:val="Emphasis"/>
          <w:highlight w:val="green"/>
        </w:rPr>
        <w:t>include a right to strike</w:t>
      </w:r>
      <w:r w:rsidRPr="00875A8F">
        <w:rPr>
          <w:u w:val="single"/>
        </w:rPr>
        <w:t xml:space="preserve">; these bodies have </w:t>
      </w:r>
      <w:r w:rsidRPr="0098613E">
        <w:rPr>
          <w:rStyle w:val="Emphasis"/>
        </w:rPr>
        <w:t>reaffirmed their joint commitment to the right to strike as part of FOA</w:t>
      </w:r>
      <w:r w:rsidRPr="00875A8F">
        <w:rPr>
          <w:u w:val="single"/>
        </w:rPr>
        <w:t xml:space="preserve">, and they regularly monitor governments’ </w:t>
      </w:r>
      <w:r w:rsidRPr="0098613E">
        <w:rPr>
          <w:rStyle w:val="Emphasis"/>
        </w:rPr>
        <w:t>record of compliance with this right</w:t>
      </w:r>
      <w:r w:rsidRPr="001130DA">
        <w:rPr>
          <w:sz w:val="16"/>
        </w:rPr>
        <w:t>. 168 And as noted earlier, the two treaties—each ratified by over 80 percent of U.N members—include a clause explicitly identifying respect for ILO Convention 87.</w:t>
      </w:r>
      <w:r>
        <w:rPr>
          <w:sz w:val="16"/>
        </w:rPr>
        <w:t xml:space="preserve"> </w:t>
      </w:r>
      <w:r w:rsidRPr="001130DA">
        <w:rPr>
          <w:sz w:val="16"/>
        </w:rPr>
        <w:t xml:space="preserve">In sum, </w:t>
      </w:r>
      <w:r w:rsidRPr="00875A8F">
        <w:rPr>
          <w:u w:val="single"/>
        </w:rPr>
        <w:t xml:space="preserve">the principles of FOA including </w:t>
      </w:r>
      <w:r w:rsidRPr="008D2E40">
        <w:rPr>
          <w:highlight w:val="green"/>
          <w:u w:val="single"/>
        </w:rPr>
        <w:t>the right to strike</w:t>
      </w:r>
      <w:r w:rsidRPr="00875A8F">
        <w:rPr>
          <w:u w:val="single"/>
        </w:rPr>
        <w:t xml:space="preserve"> would appear to </w:t>
      </w:r>
      <w:r w:rsidRPr="008D2E40">
        <w:rPr>
          <w:rStyle w:val="Emphasis"/>
          <w:highlight w:val="green"/>
        </w:rPr>
        <w:t>satisfy</w:t>
      </w:r>
      <w:r w:rsidRPr="0098613E">
        <w:rPr>
          <w:rStyle w:val="Emphasis"/>
        </w:rPr>
        <w:t xml:space="preserve"> both prongs of the </w:t>
      </w:r>
      <w:r w:rsidRPr="008D2E40">
        <w:rPr>
          <w:rStyle w:val="Emphasis"/>
          <w:highlight w:val="green"/>
        </w:rPr>
        <w:t>CIL</w:t>
      </w:r>
      <w:r w:rsidRPr="0098613E">
        <w:rPr>
          <w:rStyle w:val="Emphasis"/>
        </w:rPr>
        <w:t xml:space="preserve"> test</w:t>
      </w:r>
      <w:r w:rsidRPr="00875A8F">
        <w:rPr>
          <w:u w:val="single"/>
        </w:rPr>
        <w:t xml:space="preserve">. </w:t>
      </w:r>
      <w:r w:rsidRPr="00425E77">
        <w:rPr>
          <w:sz w:val="16"/>
        </w:rPr>
        <w:t>The widely recognized general practice on strikes has sufficient shape and contours: a basic right, three substantive exceptions</w:t>
      </w:r>
      <w:r w:rsidRPr="001130DA">
        <w:rPr>
          <w:sz w:val="16"/>
        </w:rPr>
        <w:t xml:space="preserve"> (public servants involved in administration of the state, essential services in the strict sense of the term, and acute national emergencies), </w:t>
      </w:r>
      <w:r w:rsidRPr="00425E77">
        <w:rPr>
          <w:sz w:val="16"/>
        </w:rPr>
        <w:t>a recognition that strikers retain their employment relationship during the strike itself, and certain procedural prerequisites or attached conditions</w:t>
      </w:r>
      <w:r w:rsidRPr="001130DA">
        <w:rPr>
          <w:sz w:val="16"/>
        </w:rPr>
        <w:t xml:space="preserve">. 169 </w:t>
      </w:r>
      <w:r w:rsidRPr="00425E77">
        <w:rPr>
          <w:sz w:val="16"/>
        </w:rPr>
        <w:t>There are variations in national practice and also disagreements at the margins about what the right to strike protects</w:t>
      </w:r>
      <w:r w:rsidRPr="001130DA">
        <w:rPr>
          <w:sz w:val="16"/>
        </w:rPr>
        <w:t xml:space="preserve">, </w:t>
      </w:r>
      <w:r w:rsidRPr="00425E77">
        <w:rPr>
          <w:sz w:val="16"/>
        </w:rPr>
        <w:t>but these aspects are not different in kind from diversity and contests regarding international rights prohibiting child labor</w:t>
      </w:r>
      <w:r w:rsidRPr="001130DA">
        <w:rPr>
          <w:sz w:val="16"/>
        </w:rPr>
        <w:t xml:space="preserve">, </w:t>
      </w:r>
      <w:r w:rsidRPr="00425E77">
        <w:rPr>
          <w:sz w:val="16"/>
        </w:rPr>
        <w:t>or for that matter domestic constitutional rights involving freedom of expression or the right to bear arms. As for opinio juris, a broad range of sources combine to establish that the general practice stems from a sense of acceptance and obligation: ILO foundation and structure; two widely endorsed United Nations human rights treaties; national constitutions; government representations; domestic legislative and judicial decisions that expressly refer to or impliedly accept international standards and practices; and contemporary U.N. leadership.</w:t>
      </w:r>
    </w:p>
    <w:p w14:paraId="7BAA22D0" w14:textId="77777777" w:rsidR="00F255AE" w:rsidRDefault="00F255AE" w:rsidP="00F255AE"/>
    <w:p w14:paraId="49068790" w14:textId="77777777" w:rsidR="00F255AE" w:rsidRDefault="00F255AE" w:rsidP="00F255AE">
      <w:pPr>
        <w:pStyle w:val="Heading4"/>
      </w:pPr>
      <w:r>
        <w:lastRenderedPageBreak/>
        <w:t xml:space="preserve">That prevents </w:t>
      </w:r>
      <w:r w:rsidRPr="009A43E5">
        <w:rPr>
          <w:u w:val="single"/>
        </w:rPr>
        <w:t>harmonization</w:t>
      </w:r>
      <w:r>
        <w:t xml:space="preserve"> of norms and throws the </w:t>
      </w:r>
      <w:r w:rsidRPr="009A43E5">
        <w:rPr>
          <w:u w:val="single"/>
        </w:rPr>
        <w:t>functioning</w:t>
      </w:r>
      <w:r>
        <w:t xml:space="preserve"> of international institutions into question – prefer </w:t>
      </w:r>
      <w:r w:rsidRPr="009A43E5">
        <w:rPr>
          <w:u w:val="single"/>
        </w:rPr>
        <w:t>empirics</w:t>
      </w:r>
      <w:r>
        <w:t>.</w:t>
      </w:r>
    </w:p>
    <w:p w14:paraId="1A8B7ED9" w14:textId="77777777" w:rsidR="00F255AE" w:rsidRPr="00463A35" w:rsidRDefault="00F255AE" w:rsidP="00F255AE">
      <w:r w:rsidRPr="00463A35">
        <w:rPr>
          <w:rStyle w:val="Style13ptBold"/>
        </w:rPr>
        <w:t>Seifert 21</w:t>
      </w:r>
      <w:r>
        <w:t xml:space="preserve"> [Achim; 2021; </w:t>
      </w:r>
      <w:r w:rsidRPr="00463A35">
        <w:t>Full Professor of Private Law, German and European Labor Law and Comparative Law at the University of Jena (since 2011). He holds both German State Exams in Law and a PhD of the Johann-Wolfgang-Goethe-University of Frankfurt (1998). After his Habilitation [Post-Doc] in 2006 at the University of Frankfurt and several short-term Replacements at the Universities of Frankfurt and Trier (2006-2008), he became an Associate Professor of European and International Labor Law at the University of Luxembourg (2008). His main fields of interest are the Labor Law of the European Union and Comparative Labor Law, including the methodology of Comparative Law. Achim SEIFERT serves as co-editor of the Comparative Labor Law and Policy Journal (CLLPJ) and is a member of the editorial board of the European Labour Law Journal (ELLJ) as well as of the Revue de droit comparé du travail et de la sécurité sociale (RDCTSS). He is an associated member of the International Academy of Comparative Law (since 2013) and fellow of the European Law Institute (ELI) (since 2014); furthermore he has been member of the Jean-Monnet-Centre of Excellence at the University of Jena (2013-2016). He has been visiting Professor at the Universities of Bordeaux, Nantes, Paris 1 (Panthéon-Sorbonne), Luigi Bocconi/Milan and Leuven (Global Law Programme) and has taught as adjunct professor at the University of Luxembourg between 2011 and 2016</w:t>
      </w:r>
      <w:r>
        <w:t>; “</w:t>
      </w:r>
      <w:r w:rsidRPr="00463A35">
        <w:t>Book Review</w:t>
      </w:r>
      <w:r>
        <w:t xml:space="preserve">,” </w:t>
      </w:r>
      <w:r w:rsidRPr="00463A35">
        <w:t>European Labour Law Journal</w:t>
      </w:r>
      <w:r>
        <w:t xml:space="preserve">, </w:t>
      </w:r>
      <w:hyperlink r:id="rId7" w:history="1">
        <w:r w:rsidRPr="00111F4F">
          <w:rPr>
            <w:rStyle w:val="Hyperlink"/>
          </w:rPr>
          <w:t>https://sci-hub.se/https://doi.org/10.1177/2031952521994412</w:t>
        </w:r>
      </w:hyperlink>
      <w:r>
        <w:t>] Justin</w:t>
      </w:r>
    </w:p>
    <w:p w14:paraId="748E1502" w14:textId="77777777" w:rsidR="00F255AE" w:rsidRPr="00B57BC0" w:rsidRDefault="00F255AE" w:rsidP="00F255AE">
      <w:pPr>
        <w:rPr>
          <w:rStyle w:val="Emphasis"/>
        </w:rPr>
      </w:pPr>
      <w:r w:rsidRPr="00285CA1">
        <w:rPr>
          <w:sz w:val="16"/>
        </w:rPr>
        <w:t xml:space="preserve">For several decades, </w:t>
      </w:r>
      <w:r w:rsidRPr="00B57BC0">
        <w:rPr>
          <w:u w:val="single"/>
        </w:rPr>
        <w:t xml:space="preserve">the right to strike has been one of the </w:t>
      </w:r>
      <w:r w:rsidRPr="00B57BC0">
        <w:rPr>
          <w:rStyle w:val="Emphasis"/>
        </w:rPr>
        <w:t>most controversial parts of the law of the International Labour Organisation</w:t>
      </w:r>
      <w:r w:rsidRPr="00285CA1">
        <w:rPr>
          <w:sz w:val="16"/>
        </w:rPr>
        <w:t xml:space="preserve"> (ILO). Even though it has not been explicitly enshrined in the Conventions on the right to freedom of association (especially not in Convention 87 on Freedom of Association and Protection of the Right to Organise (1948) and in Convention 98 on the Application of the Principles of the Right to Organise and to Bargain Collectively (1949)), since the early 1950s, </w:t>
      </w:r>
      <w:r w:rsidRPr="00463A35">
        <w:rPr>
          <w:u w:val="single"/>
        </w:rPr>
        <w:t xml:space="preserve">the </w:t>
      </w:r>
      <w:r w:rsidRPr="008D2E40">
        <w:rPr>
          <w:highlight w:val="green"/>
          <w:u w:val="single"/>
        </w:rPr>
        <w:t xml:space="preserve">ILO </w:t>
      </w:r>
      <w:r w:rsidRPr="00C7074B">
        <w:rPr>
          <w:u w:val="single"/>
        </w:rPr>
        <w:t xml:space="preserve">supervisory </w:t>
      </w:r>
      <w:r w:rsidRPr="008D2E40">
        <w:rPr>
          <w:highlight w:val="green"/>
          <w:u w:val="single"/>
        </w:rPr>
        <w:t xml:space="preserve">bodies have </w:t>
      </w:r>
      <w:r w:rsidRPr="008D2E40">
        <w:rPr>
          <w:rStyle w:val="Emphasis"/>
          <w:highlight w:val="green"/>
        </w:rPr>
        <w:t xml:space="preserve">recognised the right to strike </w:t>
      </w:r>
      <w:r w:rsidRPr="00C7074B">
        <w:rPr>
          <w:rStyle w:val="Emphasis"/>
        </w:rPr>
        <w:t>as an essential element of trade union rights</w:t>
      </w:r>
      <w:r w:rsidRPr="00C7074B">
        <w:rPr>
          <w:u w:val="single"/>
        </w:rPr>
        <w:t xml:space="preserve"> enabling workers</w:t>
      </w:r>
      <w:r w:rsidRPr="00463A35">
        <w:rPr>
          <w:u w:val="single"/>
        </w:rPr>
        <w:t xml:space="preserve"> to </w:t>
      </w:r>
      <w:r w:rsidRPr="00B57BC0">
        <w:rPr>
          <w:rStyle w:val="Emphasis"/>
        </w:rPr>
        <w:t>collectively defend their economic and social interests</w:t>
      </w:r>
      <w:r w:rsidRPr="00285CA1">
        <w:rPr>
          <w:sz w:val="16"/>
        </w:rPr>
        <w:t xml:space="preserve">. </w:t>
      </w:r>
      <w:r w:rsidRPr="00463A35">
        <w:rPr>
          <w:u w:val="single"/>
        </w:rPr>
        <w:t xml:space="preserve">Since its seminal </w:t>
      </w:r>
      <w:r w:rsidRPr="00B57BC0">
        <w:rPr>
          <w:rStyle w:val="Emphasis"/>
        </w:rPr>
        <w:t>recommendation</w:t>
      </w:r>
      <w:r w:rsidRPr="00463A35">
        <w:rPr>
          <w:u w:val="single"/>
        </w:rPr>
        <w:t xml:space="preserve"> in the United Kingdom of Great Britain and Northern Ireland case of 1952,1 the Governing Body’s Committee on Freedom of Association</w:t>
      </w:r>
      <w:r w:rsidRPr="00285CA1">
        <w:rPr>
          <w:sz w:val="16"/>
        </w:rPr>
        <w:t xml:space="preserve"> (CFA) </w:t>
      </w:r>
      <w:r w:rsidRPr="00463A35">
        <w:rPr>
          <w:u w:val="single"/>
        </w:rPr>
        <w:t xml:space="preserve">has considered </w:t>
      </w:r>
      <w:r w:rsidRPr="00C7074B">
        <w:rPr>
          <w:u w:val="single"/>
        </w:rPr>
        <w:t xml:space="preserve">that </w:t>
      </w:r>
      <w:r w:rsidRPr="00C7074B">
        <w:rPr>
          <w:rStyle w:val="Emphasis"/>
        </w:rPr>
        <w:t xml:space="preserve">Article 3 of </w:t>
      </w:r>
      <w:r w:rsidRPr="008D2E40">
        <w:rPr>
          <w:rStyle w:val="Emphasis"/>
          <w:highlight w:val="green"/>
        </w:rPr>
        <w:t>Convention 87</w:t>
      </w:r>
      <w:r w:rsidRPr="00B57BC0">
        <w:rPr>
          <w:rStyle w:val="Emphasis"/>
        </w:rPr>
        <w:t xml:space="preserve"> also </w:t>
      </w:r>
      <w:r w:rsidRPr="008D2E40">
        <w:rPr>
          <w:rStyle w:val="Emphasis"/>
          <w:highlight w:val="green"/>
        </w:rPr>
        <w:t>guarantees the right to strike</w:t>
      </w:r>
      <w:r w:rsidRPr="00285CA1">
        <w:rPr>
          <w:sz w:val="16"/>
        </w:rPr>
        <w:t xml:space="preserve">, and has developed, since then, detailed ‘case law’ which has been summarised by the International Labour Office in a ‘Digest’ and since 2018 in a ‘Compilation’.2 The Committee of Experts on the Application of Conventions and Recommendations (CEACR), another body established by the ILO Governing Body, has taken the same path since the late 1950s.3 </w:t>
      </w:r>
      <w:r w:rsidRPr="008D2E40">
        <w:rPr>
          <w:highlight w:val="green"/>
          <w:u w:val="single"/>
        </w:rPr>
        <w:t>Despite this</w:t>
      </w:r>
      <w:r w:rsidRPr="00463A35">
        <w:rPr>
          <w:u w:val="single"/>
        </w:rPr>
        <w:t xml:space="preserve"> </w:t>
      </w:r>
      <w:r w:rsidRPr="00B57BC0">
        <w:rPr>
          <w:rStyle w:val="Emphasis"/>
        </w:rPr>
        <w:t>long-standing interpretive practice</w:t>
      </w:r>
      <w:r w:rsidRPr="00463A35">
        <w:rPr>
          <w:u w:val="single"/>
        </w:rPr>
        <w:t xml:space="preserve"> of these two important supervisory bodies in respect of </w:t>
      </w:r>
      <w:r w:rsidRPr="00B57BC0">
        <w:rPr>
          <w:rStyle w:val="Emphasis"/>
        </w:rPr>
        <w:t>Convention No. 87</w:t>
      </w:r>
      <w:r w:rsidRPr="00C7074B">
        <w:rPr>
          <w:u w:val="single"/>
        </w:rPr>
        <w:t xml:space="preserve">, the right to strike has become </w:t>
      </w:r>
      <w:r w:rsidRPr="00C7074B">
        <w:rPr>
          <w:rStyle w:val="Emphasis"/>
        </w:rPr>
        <w:t>controversial</w:t>
      </w:r>
      <w:r w:rsidRPr="00285CA1">
        <w:rPr>
          <w:sz w:val="16"/>
        </w:rPr>
        <w:t xml:space="preserve"> since the end of the Cold War. In the 81st session of the International Labour Conference (ILC) </w:t>
      </w:r>
      <w:r w:rsidRPr="008D2E40">
        <w:rPr>
          <w:highlight w:val="green"/>
          <w:u w:val="single"/>
        </w:rPr>
        <w:t>in 1994, it was</w:t>
      </w:r>
      <w:r w:rsidRPr="00463A35">
        <w:rPr>
          <w:u w:val="single"/>
        </w:rPr>
        <w:t xml:space="preserve"> </w:t>
      </w:r>
      <w:r w:rsidRPr="00B57BC0">
        <w:rPr>
          <w:rStyle w:val="Emphasis"/>
        </w:rPr>
        <w:t xml:space="preserve">already </w:t>
      </w:r>
      <w:r w:rsidRPr="008D2E40">
        <w:rPr>
          <w:rStyle w:val="Emphasis"/>
          <w:highlight w:val="green"/>
        </w:rPr>
        <w:t>being challenged</w:t>
      </w:r>
      <w:r w:rsidRPr="00B57BC0">
        <w:rPr>
          <w:rStyle w:val="Emphasis"/>
        </w:rPr>
        <w:t xml:space="preserve"> by the employers’ group</w:t>
      </w:r>
      <w:r w:rsidRPr="00285CA1">
        <w:rPr>
          <w:sz w:val="16"/>
        </w:rPr>
        <w:t xml:space="preserve">.4 But </w:t>
      </w:r>
      <w:r w:rsidRPr="008D2E40">
        <w:rPr>
          <w:highlight w:val="green"/>
          <w:u w:val="single"/>
        </w:rPr>
        <w:t>the Rubicon was</w:t>
      </w:r>
      <w:r w:rsidRPr="00463A35">
        <w:rPr>
          <w:u w:val="single"/>
        </w:rPr>
        <w:t xml:space="preserve"> definitely </w:t>
      </w:r>
      <w:r w:rsidRPr="008D2E40">
        <w:rPr>
          <w:rStyle w:val="Emphasis"/>
          <w:highlight w:val="green"/>
        </w:rPr>
        <w:t>crossed in 2012</w:t>
      </w:r>
      <w:r w:rsidRPr="008D2E40">
        <w:rPr>
          <w:highlight w:val="green"/>
          <w:u w:val="single"/>
        </w:rPr>
        <w:t>, when</w:t>
      </w:r>
      <w:r w:rsidRPr="00463A35">
        <w:rPr>
          <w:u w:val="single"/>
        </w:rPr>
        <w:t xml:space="preserve"> the </w:t>
      </w:r>
      <w:r w:rsidRPr="008D2E40">
        <w:rPr>
          <w:highlight w:val="green"/>
          <w:u w:val="single"/>
        </w:rPr>
        <w:t>employers’</w:t>
      </w:r>
      <w:r w:rsidRPr="00463A35">
        <w:rPr>
          <w:u w:val="single"/>
        </w:rPr>
        <w:t xml:space="preserve"> representatives on the ILO </w:t>
      </w:r>
      <w:r w:rsidRPr="00B57BC0">
        <w:rPr>
          <w:rStyle w:val="Emphasis"/>
        </w:rPr>
        <w:t>Conference Committee on the Application of Standards</w:t>
      </w:r>
      <w:r w:rsidRPr="00463A35">
        <w:rPr>
          <w:u w:val="single"/>
        </w:rPr>
        <w:t xml:space="preserve"> (CAS) </w:t>
      </w:r>
      <w:r w:rsidRPr="008D2E40">
        <w:rPr>
          <w:highlight w:val="green"/>
          <w:u w:val="single"/>
        </w:rPr>
        <w:t>refused</w:t>
      </w:r>
      <w:r w:rsidRPr="00463A35">
        <w:rPr>
          <w:u w:val="single"/>
        </w:rPr>
        <w:t xml:space="preserve">, for the first time, </w:t>
      </w:r>
      <w:r w:rsidRPr="008D2E40">
        <w:rPr>
          <w:highlight w:val="green"/>
          <w:u w:val="single"/>
        </w:rPr>
        <w:t>to deal</w:t>
      </w:r>
      <w:r w:rsidRPr="00285CA1">
        <w:rPr>
          <w:sz w:val="16"/>
        </w:rPr>
        <w:t>—as it had done previously—</w:t>
      </w:r>
      <w:r w:rsidRPr="008D2E40">
        <w:rPr>
          <w:highlight w:val="green"/>
          <w:u w:val="single"/>
        </w:rPr>
        <w:t>with</w:t>
      </w:r>
      <w:r w:rsidRPr="00463A35">
        <w:rPr>
          <w:u w:val="single"/>
        </w:rPr>
        <w:t xml:space="preserve"> a list of </w:t>
      </w:r>
      <w:r w:rsidRPr="008D2E40">
        <w:rPr>
          <w:highlight w:val="green"/>
          <w:u w:val="single"/>
        </w:rPr>
        <w:t>Member States that</w:t>
      </w:r>
      <w:r w:rsidRPr="00463A35">
        <w:rPr>
          <w:u w:val="single"/>
        </w:rPr>
        <w:t xml:space="preserve"> had </w:t>
      </w:r>
      <w:r w:rsidRPr="00B57BC0">
        <w:rPr>
          <w:rStyle w:val="Emphasis"/>
        </w:rPr>
        <w:t xml:space="preserve">seriously </w:t>
      </w:r>
      <w:r w:rsidRPr="008D2E40">
        <w:rPr>
          <w:rStyle w:val="Emphasis"/>
          <w:highlight w:val="green"/>
        </w:rPr>
        <w:t xml:space="preserve">violated </w:t>
      </w:r>
      <w:r w:rsidRPr="00C7074B">
        <w:rPr>
          <w:rStyle w:val="Emphasis"/>
        </w:rPr>
        <w:t>Conventions of the ILO</w:t>
      </w:r>
      <w:r w:rsidRPr="00285CA1">
        <w:rPr>
          <w:sz w:val="16"/>
        </w:rPr>
        <w:t xml:space="preserve"> as long as the workers’ group would not accept a revision of the mandate of the CEACR.5 </w:t>
      </w:r>
      <w:r w:rsidRPr="00C7074B">
        <w:rPr>
          <w:u w:val="single"/>
        </w:rPr>
        <w:t xml:space="preserve">At the heart of this incident was the </w:t>
      </w:r>
      <w:r w:rsidRPr="00C7074B">
        <w:rPr>
          <w:rStyle w:val="Emphasis"/>
        </w:rPr>
        <w:t xml:space="preserve">recognition of </w:t>
      </w:r>
      <w:r w:rsidRPr="008D2E40">
        <w:rPr>
          <w:rStyle w:val="Emphasis"/>
          <w:highlight w:val="green"/>
        </w:rPr>
        <w:t>the right to strike</w:t>
      </w:r>
      <w:r w:rsidRPr="00463A35">
        <w:rPr>
          <w:u w:val="single"/>
        </w:rPr>
        <w:t xml:space="preserve"> by the CEACR even though, according to the view of the employers’ side, the Committee was </w:t>
      </w:r>
      <w:r w:rsidRPr="00B57BC0">
        <w:rPr>
          <w:rStyle w:val="Emphasis"/>
        </w:rPr>
        <w:t>not empowered to interpret ILO law with binding effect</w:t>
      </w:r>
      <w:r w:rsidRPr="00463A35">
        <w:rPr>
          <w:u w:val="single"/>
        </w:rPr>
        <w:t xml:space="preserve">. </w:t>
      </w:r>
      <w:r w:rsidRPr="008D2E40">
        <w:rPr>
          <w:highlight w:val="green"/>
          <w:u w:val="single"/>
        </w:rPr>
        <w:t xml:space="preserve">This </w:t>
      </w:r>
      <w:r w:rsidRPr="00C7074B">
        <w:rPr>
          <w:u w:val="single"/>
        </w:rPr>
        <w:t>incident</w:t>
      </w:r>
      <w:r w:rsidRPr="00463A35">
        <w:rPr>
          <w:u w:val="single"/>
        </w:rPr>
        <w:t xml:space="preserve"> temporarily </w:t>
      </w:r>
      <w:r w:rsidRPr="008D2E40">
        <w:rPr>
          <w:highlight w:val="green"/>
          <w:u w:val="single"/>
        </w:rPr>
        <w:t xml:space="preserve">resulted in an </w:t>
      </w:r>
      <w:r w:rsidRPr="008D2E40">
        <w:rPr>
          <w:rStyle w:val="Emphasis"/>
          <w:highlight w:val="green"/>
        </w:rPr>
        <w:t>institutional crisis</w:t>
      </w:r>
      <w:r w:rsidRPr="00B57BC0">
        <w:rPr>
          <w:rStyle w:val="Emphasis"/>
        </w:rPr>
        <w:t xml:space="preserve"> within the ILO supervisory system</w:t>
      </w:r>
      <w:r w:rsidRPr="00463A35">
        <w:rPr>
          <w:u w:val="single"/>
        </w:rPr>
        <w:t xml:space="preserve">, </w:t>
      </w:r>
      <w:r w:rsidRPr="008D2E40">
        <w:rPr>
          <w:highlight w:val="green"/>
          <w:u w:val="single"/>
        </w:rPr>
        <w:t>since the ILO’s</w:t>
      </w:r>
      <w:r w:rsidRPr="00463A35">
        <w:rPr>
          <w:u w:val="single"/>
        </w:rPr>
        <w:t xml:space="preserve"> tripartite </w:t>
      </w:r>
      <w:r w:rsidRPr="008D2E40">
        <w:rPr>
          <w:highlight w:val="green"/>
          <w:u w:val="single"/>
        </w:rPr>
        <w:t xml:space="preserve">structure </w:t>
      </w:r>
      <w:r w:rsidRPr="00C7074B">
        <w:rPr>
          <w:u w:val="single"/>
        </w:rPr>
        <w:t xml:space="preserve">which </w:t>
      </w:r>
      <w:r w:rsidRPr="00C7074B">
        <w:rPr>
          <w:rStyle w:val="Emphasis"/>
        </w:rPr>
        <w:t>underlies the constitution of the</w:t>
      </w:r>
      <w:r w:rsidRPr="00B57BC0">
        <w:rPr>
          <w:rStyle w:val="Emphasis"/>
        </w:rPr>
        <w:t xml:space="preserve"> ILO </w:t>
      </w:r>
      <w:r w:rsidRPr="008D2E40">
        <w:rPr>
          <w:rStyle w:val="Emphasis"/>
          <w:highlight w:val="green"/>
        </w:rPr>
        <w:t>presupposes</w:t>
      </w:r>
      <w:r w:rsidRPr="00B57BC0">
        <w:rPr>
          <w:rStyle w:val="Emphasis"/>
        </w:rPr>
        <w:t xml:space="preserve"> that the three </w:t>
      </w:r>
      <w:r w:rsidRPr="008D2E40">
        <w:rPr>
          <w:rStyle w:val="Emphasis"/>
          <w:highlight w:val="green"/>
        </w:rPr>
        <w:t>constituents cooperate in good faith</w:t>
      </w:r>
      <w:r w:rsidRPr="00463A35">
        <w:rPr>
          <w:u w:val="single"/>
        </w:rPr>
        <w:t xml:space="preserve"> within the organisation’s bodies</w:t>
      </w:r>
      <w:r w:rsidRPr="00285CA1">
        <w:rPr>
          <w:sz w:val="16"/>
        </w:rPr>
        <w:t xml:space="preserve">. An attitude of </w:t>
      </w:r>
      <w:r w:rsidRPr="008D2E40">
        <w:rPr>
          <w:highlight w:val="green"/>
          <w:u w:val="single"/>
        </w:rPr>
        <w:t xml:space="preserve">refusal on the </w:t>
      </w:r>
      <w:r w:rsidRPr="008D2E40">
        <w:rPr>
          <w:rStyle w:val="Emphasis"/>
          <w:highlight w:val="green"/>
        </w:rPr>
        <w:t>part of only one</w:t>
      </w:r>
      <w:r w:rsidRPr="00B57BC0">
        <w:rPr>
          <w:rStyle w:val="Emphasis"/>
        </w:rPr>
        <w:t xml:space="preserve"> of the </w:t>
      </w:r>
      <w:r w:rsidRPr="008D2E40">
        <w:rPr>
          <w:rStyle w:val="Emphasis"/>
          <w:highlight w:val="green"/>
        </w:rPr>
        <w:t>constituents</w:t>
      </w:r>
      <w:r w:rsidRPr="00463A35">
        <w:rPr>
          <w:u w:val="single"/>
        </w:rPr>
        <w:t xml:space="preserve"> therefore necessarily </w:t>
      </w:r>
      <w:r w:rsidRPr="008D2E40">
        <w:rPr>
          <w:highlight w:val="green"/>
          <w:u w:val="single"/>
        </w:rPr>
        <w:t xml:space="preserve">brings into question the </w:t>
      </w:r>
      <w:r w:rsidRPr="008D2E40">
        <w:rPr>
          <w:rStyle w:val="Emphasis"/>
          <w:highlight w:val="green"/>
        </w:rPr>
        <w:t>functioning of the ILO</w:t>
      </w:r>
      <w:r w:rsidRPr="00B57BC0">
        <w:rPr>
          <w:rStyle w:val="Emphasis"/>
        </w:rPr>
        <w:t>.</w:t>
      </w:r>
    </w:p>
    <w:p w14:paraId="09C8E730" w14:textId="77777777" w:rsidR="00F255AE" w:rsidRPr="00463A35" w:rsidRDefault="00F255AE" w:rsidP="00F255AE"/>
    <w:p w14:paraId="7B59E0D8" w14:textId="77777777" w:rsidR="00F255AE" w:rsidRDefault="00F255AE" w:rsidP="00F255AE">
      <w:pPr>
        <w:pStyle w:val="Heading4"/>
      </w:pPr>
      <w:r w:rsidRPr="00FC6656">
        <w:rPr>
          <w:u w:val="single"/>
        </w:rPr>
        <w:lastRenderedPageBreak/>
        <w:t>frictions</w:t>
      </w:r>
      <w:r>
        <w:t xml:space="preserve"> in </w:t>
      </w:r>
      <w:r w:rsidRPr="00FC6656">
        <w:rPr>
          <w:u w:val="single"/>
        </w:rPr>
        <w:t>International Law</w:t>
      </w:r>
      <w:r>
        <w:t xml:space="preserve"> prevent </w:t>
      </w:r>
      <w:r w:rsidRPr="00FC6656">
        <w:rPr>
          <w:u w:val="single"/>
        </w:rPr>
        <w:t>cooperation</w:t>
      </w:r>
      <w:r>
        <w:t xml:space="preserve"> over international issues.</w:t>
      </w:r>
    </w:p>
    <w:p w14:paraId="4213B874" w14:textId="77777777" w:rsidR="00F255AE" w:rsidRPr="00D2046C" w:rsidRDefault="00F255AE" w:rsidP="00F255AE">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8" w:history="1">
        <w:r w:rsidRPr="00111F4F">
          <w:rPr>
            <w:rStyle w:val="Hyperlink"/>
          </w:rPr>
          <w:t>https://digitalcommons.law.yale.edu/cgi/viewcontent.cgi?article=1710&amp;context=yjil</w:t>
        </w:r>
      </w:hyperlink>
      <w:r>
        <w:t xml:space="preserve">] Justin </w:t>
      </w:r>
    </w:p>
    <w:p w14:paraId="099808E5" w14:textId="77777777" w:rsidR="00F255AE" w:rsidRPr="00285CA1" w:rsidRDefault="00F255AE" w:rsidP="00F255AE">
      <w:pPr>
        <w:rPr>
          <w:sz w:val="10"/>
        </w:rPr>
      </w:pPr>
      <w:r w:rsidRPr="00285CA1">
        <w:rPr>
          <w:sz w:val="10"/>
        </w:rPr>
        <w:t xml:space="preserve">It is worth emphasizing this series of developments. </w:t>
      </w:r>
      <w:r w:rsidRPr="008D2E40">
        <w:rPr>
          <w:highlight w:val="green"/>
          <w:u w:val="single"/>
        </w:rPr>
        <w:t>U</w:t>
      </w:r>
      <w:r w:rsidRPr="00566BF2">
        <w:rPr>
          <w:u w:val="single"/>
        </w:rPr>
        <w:t xml:space="preserve">nited </w:t>
      </w:r>
      <w:r w:rsidRPr="008D2E40">
        <w:rPr>
          <w:highlight w:val="green"/>
          <w:u w:val="single"/>
        </w:rPr>
        <w:t>S</w:t>
      </w:r>
      <w:r w:rsidRPr="0098613E">
        <w:rPr>
          <w:u w:val="single"/>
        </w:rPr>
        <w:t xml:space="preserve">tates </w:t>
      </w:r>
      <w:r w:rsidRPr="0098613E">
        <w:rPr>
          <w:rStyle w:val="Emphasis"/>
        </w:rPr>
        <w:t xml:space="preserve">political </w:t>
      </w:r>
      <w:r w:rsidRPr="008D2E40">
        <w:rPr>
          <w:rStyle w:val="Emphasis"/>
          <w:highlight w:val="green"/>
        </w:rPr>
        <w:t>diplomacy</w:t>
      </w:r>
      <w:r w:rsidRPr="0098613E">
        <w:rPr>
          <w:u w:val="single"/>
        </w:rPr>
        <w:t xml:space="preserve"> and input from </w:t>
      </w:r>
      <w:r w:rsidRPr="0098613E">
        <w:rPr>
          <w:rStyle w:val="Emphasis"/>
        </w:rPr>
        <w:t>executive</w:t>
      </w:r>
      <w:r w:rsidRPr="0098613E">
        <w:rPr>
          <w:u w:val="single"/>
        </w:rPr>
        <w:t xml:space="preserve"> </w:t>
      </w:r>
      <w:r w:rsidRPr="0098613E">
        <w:rPr>
          <w:rStyle w:val="Emphasis"/>
        </w:rPr>
        <w:t>branch</w:t>
      </w:r>
      <w:r w:rsidRPr="0098613E">
        <w:rPr>
          <w:u w:val="single"/>
        </w:rPr>
        <w:t xml:space="preserve"> </w:t>
      </w:r>
      <w:r w:rsidRPr="0098613E">
        <w:rPr>
          <w:rStyle w:val="Emphasis"/>
        </w:rPr>
        <w:t>experts</w:t>
      </w:r>
      <w:r w:rsidRPr="0098613E">
        <w:rPr>
          <w:u w:val="single"/>
        </w:rPr>
        <w:t xml:space="preserve"> has </w:t>
      </w:r>
      <w:r w:rsidRPr="008D2E40">
        <w:rPr>
          <w:highlight w:val="green"/>
          <w:u w:val="single"/>
        </w:rPr>
        <w:t>helped</w:t>
      </w:r>
      <w:r w:rsidRPr="0098613E">
        <w:rPr>
          <w:u w:val="single"/>
        </w:rPr>
        <w:t xml:space="preserve"> the </w:t>
      </w:r>
      <w:r w:rsidRPr="0098613E">
        <w:rPr>
          <w:rStyle w:val="Emphasis"/>
        </w:rPr>
        <w:t>transnational</w:t>
      </w:r>
      <w:r w:rsidRPr="0098613E">
        <w:rPr>
          <w:u w:val="single"/>
        </w:rPr>
        <w:t xml:space="preserve"> </w:t>
      </w:r>
      <w:r w:rsidRPr="0098613E">
        <w:rPr>
          <w:rStyle w:val="Emphasis"/>
        </w:rPr>
        <w:t>legal</w:t>
      </w:r>
      <w:r w:rsidRPr="0098613E">
        <w:rPr>
          <w:u w:val="single"/>
        </w:rPr>
        <w:t xml:space="preserve"> </w:t>
      </w:r>
      <w:r w:rsidRPr="0098613E">
        <w:rPr>
          <w:rStyle w:val="Emphasis"/>
        </w:rPr>
        <w:t>process</w:t>
      </w:r>
      <w:r w:rsidRPr="0098613E">
        <w:rPr>
          <w:u w:val="single"/>
        </w:rPr>
        <w:t xml:space="preserve"> to </w:t>
      </w:r>
      <w:r w:rsidRPr="008D2E40">
        <w:rPr>
          <w:highlight w:val="green"/>
          <w:u w:val="single"/>
        </w:rPr>
        <w:t>strengthen the</w:t>
      </w:r>
      <w:r w:rsidRPr="0098613E">
        <w:rPr>
          <w:u w:val="single"/>
        </w:rPr>
        <w:t xml:space="preserve"> </w:t>
      </w:r>
      <w:r w:rsidRPr="0098613E">
        <w:rPr>
          <w:rStyle w:val="Emphasis"/>
        </w:rPr>
        <w:t>international</w:t>
      </w:r>
      <w:r w:rsidRPr="0098613E">
        <w:rPr>
          <w:u w:val="single"/>
        </w:rPr>
        <w:t xml:space="preserv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285CA1">
        <w:rPr>
          <w:sz w:val="10"/>
        </w:rPr>
        <w:t xml:space="preserve">. </w:t>
      </w:r>
      <w:r w:rsidRPr="0098613E">
        <w:rPr>
          <w:u w:val="single"/>
        </w:rPr>
        <w:t xml:space="preserve">The U.S. has been a leading advocate on the international stage promoting both </w:t>
      </w:r>
      <w:r w:rsidRPr="0098613E">
        <w:rPr>
          <w:rStyle w:val="Emphasis"/>
        </w:rPr>
        <w:t>FOA</w:t>
      </w:r>
      <w:r w:rsidRPr="0098613E">
        <w:rPr>
          <w:u w:val="single"/>
        </w:rPr>
        <w:t xml:space="preserve"> </w:t>
      </w:r>
      <w:r w:rsidRPr="0098613E">
        <w:rPr>
          <w:rStyle w:val="Emphasis"/>
        </w:rPr>
        <w:t>principles</w:t>
      </w:r>
      <w:r w:rsidRPr="0098613E">
        <w:rPr>
          <w:u w:val="single"/>
        </w:rPr>
        <w:t xml:space="preserve"> and the </w:t>
      </w:r>
      <w:r w:rsidRPr="0098613E">
        <w:rPr>
          <w:rStyle w:val="Emphasis"/>
        </w:rPr>
        <w:t>right</w:t>
      </w:r>
      <w:r w:rsidRPr="0098613E">
        <w:rPr>
          <w:u w:val="single"/>
        </w:rPr>
        <w:t xml:space="preserve"> to </w:t>
      </w:r>
      <w:r w:rsidRPr="0098613E">
        <w:rPr>
          <w:rStyle w:val="Emphasis"/>
        </w:rPr>
        <w:t>strike</w:t>
      </w:r>
      <w:r w:rsidRPr="00285CA1">
        <w:rPr>
          <w:sz w:val="10"/>
        </w:rPr>
        <w:t xml:space="preserve">—in its trade legislation, bilateral and regional trade agreements, and official positions at the ILO Governing Body. </w:t>
      </w:r>
      <w:r w:rsidRPr="0098613E">
        <w:rPr>
          <w:u w:val="single"/>
        </w:rPr>
        <w:t xml:space="preserve">That the U.S. has not </w:t>
      </w:r>
      <w:r w:rsidRPr="0098613E">
        <w:rPr>
          <w:rStyle w:val="Emphasis"/>
        </w:rPr>
        <w:t>ratified</w:t>
      </w:r>
      <w:r w:rsidRPr="0098613E">
        <w:rPr>
          <w:u w:val="single"/>
        </w:rPr>
        <w:t xml:space="preserve"> </w:t>
      </w:r>
      <w:r w:rsidRPr="0098613E">
        <w:rPr>
          <w:rStyle w:val="Emphasis"/>
        </w:rPr>
        <w:t>Convention</w:t>
      </w:r>
      <w:r w:rsidRPr="0098613E">
        <w:rPr>
          <w:u w:val="single"/>
        </w:rPr>
        <w:t xml:space="preserve"> </w:t>
      </w:r>
      <w:r w:rsidRPr="0098613E">
        <w:rPr>
          <w:rStyle w:val="Emphasis"/>
        </w:rPr>
        <w:t>87</w:t>
      </w:r>
      <w:r w:rsidRPr="0098613E">
        <w:rPr>
          <w:u w:val="single"/>
        </w:rPr>
        <w:t xml:space="preserve"> </w:t>
      </w:r>
      <w:r w:rsidRPr="0098613E">
        <w:rPr>
          <w:rStyle w:val="Emphasis"/>
        </w:rPr>
        <w:t>does</w:t>
      </w:r>
      <w:r w:rsidRPr="0098613E">
        <w:rPr>
          <w:u w:val="single"/>
        </w:rPr>
        <w:t xml:space="preserve"> </w:t>
      </w:r>
      <w:r w:rsidRPr="0098613E">
        <w:rPr>
          <w:rStyle w:val="Emphasis"/>
        </w:rPr>
        <w:t>not</w:t>
      </w:r>
      <w:r w:rsidRPr="0098613E">
        <w:rPr>
          <w:u w:val="single"/>
        </w:rPr>
        <w:t xml:space="preserve"> mean it is somehow </w:t>
      </w:r>
      <w:r w:rsidRPr="0098613E">
        <w:rPr>
          <w:rStyle w:val="Emphasis"/>
        </w:rPr>
        <w:t>undemocratic</w:t>
      </w:r>
      <w:r w:rsidRPr="0098613E">
        <w:rPr>
          <w:u w:val="single"/>
        </w:rPr>
        <w:t xml:space="preserve"> or </w:t>
      </w:r>
      <w:r w:rsidRPr="0098613E">
        <w:rPr>
          <w:rStyle w:val="Emphasis"/>
        </w:rPr>
        <w:t>improper</w:t>
      </w:r>
      <w:r w:rsidRPr="0098613E">
        <w:rPr>
          <w:u w:val="single"/>
        </w:rPr>
        <w:t xml:space="preserve"> for U.S. officials to be bound by </w:t>
      </w:r>
      <w:r w:rsidRPr="0098613E">
        <w:rPr>
          <w:rStyle w:val="Emphasis"/>
        </w:rPr>
        <w:t>rules</w:t>
      </w:r>
      <w:r w:rsidRPr="0098613E">
        <w:rPr>
          <w:u w:val="single"/>
        </w:rPr>
        <w:t xml:space="preserve"> that U.S. </w:t>
      </w:r>
      <w:r w:rsidRPr="0098613E">
        <w:rPr>
          <w:rStyle w:val="Emphasis"/>
        </w:rPr>
        <w:t>influence</w:t>
      </w:r>
      <w:r w:rsidRPr="0098613E">
        <w:rPr>
          <w:u w:val="single"/>
        </w:rPr>
        <w:t xml:space="preserve"> helped </w:t>
      </w:r>
      <w:r w:rsidRPr="0098613E">
        <w:rPr>
          <w:rStyle w:val="Emphasis"/>
        </w:rPr>
        <w:t>create</w:t>
      </w:r>
      <w:r w:rsidRPr="0098613E">
        <w:rPr>
          <w:u w:val="single"/>
        </w:rPr>
        <w:t>.</w:t>
      </w:r>
      <w:r>
        <w:rPr>
          <w:u w:val="single"/>
        </w:rPr>
        <w:t xml:space="preserve"> </w:t>
      </w:r>
      <w:r w:rsidRPr="00285CA1">
        <w:rPr>
          <w:sz w:val="10"/>
        </w:rPr>
        <w:t xml:space="preserve">To be sure, Sosa recognizes that Congress may “shut the door to the law of nations” explicitly or implicitly by treaties or statutes that occupy the field.271 And </w:t>
      </w:r>
      <w:r w:rsidRPr="0098613E">
        <w:rPr>
          <w:u w:val="single"/>
        </w:rPr>
        <w:t xml:space="preserve">there is some </w:t>
      </w:r>
      <w:r w:rsidRPr="008D2E40">
        <w:rPr>
          <w:rStyle w:val="Emphasis"/>
          <w:highlight w:val="green"/>
        </w:rPr>
        <w:t>domestic</w:t>
      </w:r>
      <w:r w:rsidRPr="008D2E40">
        <w:rPr>
          <w:highlight w:val="green"/>
          <w:u w:val="single"/>
        </w:rPr>
        <w:t xml:space="preserve"> law</w:t>
      </w:r>
      <w:r w:rsidRPr="0098613E">
        <w:rPr>
          <w:u w:val="single"/>
        </w:rPr>
        <w:t xml:space="preserve"> that </w:t>
      </w:r>
      <w:r w:rsidRPr="008D2E40">
        <w:rPr>
          <w:highlight w:val="green"/>
          <w:u w:val="single"/>
        </w:rPr>
        <w:t xml:space="preserve">is </w:t>
      </w:r>
      <w:r w:rsidRPr="008D2E40">
        <w:rPr>
          <w:rStyle w:val="Emphasis"/>
          <w:highlight w:val="green"/>
        </w:rPr>
        <w:t>inconsistent</w:t>
      </w:r>
      <w:r w:rsidRPr="008D2E40">
        <w:rPr>
          <w:highlight w:val="green"/>
          <w:u w:val="single"/>
        </w:rPr>
        <w:t xml:space="preserve"> with</w:t>
      </w:r>
      <w:r w:rsidRPr="0098613E">
        <w:rPr>
          <w:u w:val="single"/>
        </w:rPr>
        <w:t xml:space="preserve"> the </w:t>
      </w:r>
      <w:r w:rsidRPr="008D2E40">
        <w:rPr>
          <w:rStyle w:val="Emphasis"/>
          <w:highlight w:val="green"/>
        </w:rPr>
        <w:t>right</w:t>
      </w:r>
      <w:r w:rsidRPr="008D2E40">
        <w:rPr>
          <w:highlight w:val="green"/>
          <w:u w:val="single"/>
        </w:rPr>
        <w:t xml:space="preserve"> to </w:t>
      </w:r>
      <w:r w:rsidRPr="008D2E40">
        <w:rPr>
          <w:rStyle w:val="Emphasis"/>
          <w:highlight w:val="green"/>
        </w:rPr>
        <w:t>strike</w:t>
      </w:r>
      <w:r w:rsidRPr="0098613E">
        <w:rPr>
          <w:u w:val="single"/>
        </w:rPr>
        <w:t xml:space="preserve"> set </w:t>
      </w:r>
      <w:r w:rsidRPr="0098613E">
        <w:rPr>
          <w:rStyle w:val="Emphasis"/>
        </w:rPr>
        <w:t>forth</w:t>
      </w:r>
      <w:r w:rsidRPr="0098613E">
        <w:rPr>
          <w:u w:val="single"/>
        </w:rPr>
        <w:t xml:space="preserve"> </w:t>
      </w:r>
      <w:r w:rsidRPr="008D2E40">
        <w:rPr>
          <w:highlight w:val="green"/>
          <w:u w:val="single"/>
        </w:rPr>
        <w:t>in CIL</w:t>
      </w:r>
      <w:r w:rsidRPr="00285CA1">
        <w:rPr>
          <w:sz w:val="10"/>
        </w:rPr>
        <w:t xml:space="preserve">. As discussed in Part I.C, </w:t>
      </w:r>
      <w:r w:rsidRPr="0098613E">
        <w:rPr>
          <w:u w:val="single"/>
        </w:rPr>
        <w:t xml:space="preserve">this law notably includes a 1935 statutory provision </w:t>
      </w:r>
      <w:r w:rsidRPr="0098613E">
        <w:rPr>
          <w:rStyle w:val="Emphasis"/>
        </w:rPr>
        <w:t>exempting</w:t>
      </w:r>
      <w:r w:rsidRPr="0098613E">
        <w:rPr>
          <w:u w:val="single"/>
        </w:rPr>
        <w:t xml:space="preserve"> </w:t>
      </w:r>
      <w:r w:rsidRPr="0098613E">
        <w:rPr>
          <w:rStyle w:val="Emphasis"/>
        </w:rPr>
        <w:t>states</w:t>
      </w:r>
      <w:r w:rsidRPr="0098613E">
        <w:rPr>
          <w:u w:val="single"/>
        </w:rPr>
        <w:t xml:space="preserve"> as “</w:t>
      </w:r>
      <w:r w:rsidRPr="0098613E">
        <w:rPr>
          <w:rStyle w:val="Emphasis"/>
        </w:rPr>
        <w:t>employers</w:t>
      </w:r>
      <w:r w:rsidRPr="0098613E">
        <w:rPr>
          <w:u w:val="single"/>
        </w:rPr>
        <w:t>” under the NLRA</w:t>
      </w:r>
      <w:r w:rsidRPr="00285CA1">
        <w:rPr>
          <w:sz w:val="10"/>
        </w:rPr>
        <w:t xml:space="preserve">, </w:t>
      </w:r>
      <w:r w:rsidRPr="0098613E">
        <w:rPr>
          <w:u w:val="single"/>
        </w:rPr>
        <w:t xml:space="preserve">thereby </w:t>
      </w:r>
      <w:r w:rsidRPr="0098613E">
        <w:rPr>
          <w:rStyle w:val="Emphasis"/>
        </w:rPr>
        <w:t>relegating</w:t>
      </w:r>
      <w:r w:rsidRPr="0098613E">
        <w:rPr>
          <w:u w:val="single"/>
        </w:rPr>
        <w:t xml:space="preserve"> </w:t>
      </w:r>
      <w:r w:rsidRPr="0098613E">
        <w:rPr>
          <w:rStyle w:val="Emphasis"/>
        </w:rPr>
        <w:t>public</w:t>
      </w:r>
      <w:r w:rsidRPr="0098613E">
        <w:rPr>
          <w:u w:val="single"/>
        </w:rPr>
        <w:t xml:space="preserve"> </w:t>
      </w:r>
      <w:r w:rsidRPr="0098613E">
        <w:rPr>
          <w:rStyle w:val="Emphasis"/>
        </w:rPr>
        <w:t>employees</w:t>
      </w:r>
      <w:r w:rsidRPr="0098613E">
        <w:rPr>
          <w:u w:val="single"/>
        </w:rPr>
        <w:t xml:space="preserve"> to state-by-state </w:t>
      </w:r>
      <w:r w:rsidRPr="0098613E">
        <w:rPr>
          <w:rStyle w:val="Emphasis"/>
        </w:rPr>
        <w:t>regulation</w:t>
      </w:r>
      <w:r w:rsidRPr="0098613E">
        <w:rPr>
          <w:u w:val="single"/>
        </w:rPr>
        <w:t xml:space="preserve"> of </w:t>
      </w:r>
      <w:r w:rsidRPr="0098613E">
        <w:rPr>
          <w:rStyle w:val="Emphasis"/>
        </w:rPr>
        <w:t>FOA</w:t>
      </w:r>
      <w:r w:rsidRPr="0098613E">
        <w:rPr>
          <w:u w:val="single"/>
        </w:rPr>
        <w:t xml:space="preserve"> and the right to strike</w:t>
      </w:r>
      <w:r w:rsidRPr="00285CA1">
        <w:rPr>
          <w:sz w:val="10"/>
        </w:rPr>
        <w:t xml:space="preserve">; </w:t>
      </w:r>
      <w:r w:rsidRPr="0098613E">
        <w:rPr>
          <w:u w:val="single"/>
        </w:rPr>
        <w:t xml:space="preserve">and a 1938 Supreme Court decision allowing </w:t>
      </w:r>
      <w:r w:rsidRPr="0098613E">
        <w:rPr>
          <w:rStyle w:val="Emphasis"/>
        </w:rPr>
        <w:t>private</w:t>
      </w:r>
      <w:r w:rsidRPr="0098613E">
        <w:rPr>
          <w:u w:val="single"/>
        </w:rPr>
        <w:t xml:space="preserve"> </w:t>
      </w:r>
      <w:r w:rsidRPr="0098613E">
        <w:rPr>
          <w:rStyle w:val="Emphasis"/>
        </w:rPr>
        <w:t>employers</w:t>
      </w:r>
      <w:r w:rsidRPr="0098613E">
        <w:rPr>
          <w:u w:val="single"/>
        </w:rPr>
        <w:t xml:space="preserve"> to hire </w:t>
      </w:r>
      <w:r w:rsidRPr="0098613E">
        <w:rPr>
          <w:rStyle w:val="Emphasis"/>
        </w:rPr>
        <w:t>permanent</w:t>
      </w:r>
      <w:r w:rsidRPr="0098613E">
        <w:rPr>
          <w:u w:val="single"/>
        </w:rPr>
        <w:t xml:space="preserve"> </w:t>
      </w:r>
      <w:r w:rsidRPr="0098613E">
        <w:rPr>
          <w:rStyle w:val="Emphasis"/>
        </w:rPr>
        <w:t>replacements</w:t>
      </w:r>
      <w:r w:rsidRPr="0098613E">
        <w:rPr>
          <w:u w:val="single"/>
        </w:rPr>
        <w:t xml:space="preserve"> for strikers</w:t>
      </w:r>
      <w:r w:rsidRPr="00285CA1">
        <w:rPr>
          <w:sz w:val="10"/>
        </w:rPr>
        <w:t xml:space="preserve">.272 But these expressions of </w:t>
      </w:r>
      <w:r w:rsidRPr="0098613E">
        <w:rPr>
          <w:u w:val="single"/>
        </w:rPr>
        <w:t>domestic law do not appear to be “</w:t>
      </w:r>
      <w:r w:rsidRPr="0098613E">
        <w:rPr>
          <w:rStyle w:val="Emphasis"/>
        </w:rPr>
        <w:t>controlling</w:t>
      </w:r>
      <w:r w:rsidRPr="0098613E">
        <w:rPr>
          <w:u w:val="single"/>
        </w:rPr>
        <w:t xml:space="preserve">” in the relevant sense of addressing or responding to the CIL that is </w:t>
      </w:r>
      <w:r w:rsidRPr="0098613E">
        <w:rPr>
          <w:rStyle w:val="Emphasis"/>
        </w:rPr>
        <w:t>asserted</w:t>
      </w:r>
      <w:r w:rsidRPr="0098613E">
        <w:rPr>
          <w:u w:val="single"/>
        </w:rPr>
        <w:t xml:space="preserve"> here</w:t>
      </w:r>
      <w:r w:rsidRPr="00285CA1">
        <w:rPr>
          <w:sz w:val="10"/>
        </w:rPr>
        <w:t xml:space="preserve">. The 1935 statutory provision and 1938 Supreme Court decision predate the promulgation of Convention 87 by a decade or more—hence </w:t>
      </w:r>
      <w:r w:rsidRPr="008D2E40">
        <w:rPr>
          <w:highlight w:val="green"/>
          <w:u w:val="single"/>
        </w:rPr>
        <w:t>they are not</w:t>
      </w:r>
      <w:r w:rsidRPr="0098613E">
        <w:rPr>
          <w:u w:val="single"/>
        </w:rPr>
        <w:t xml:space="preserve"> in any way </w:t>
      </w:r>
      <w:r w:rsidRPr="008D2E40">
        <w:rPr>
          <w:rStyle w:val="Emphasis"/>
          <w:highlight w:val="green"/>
        </w:rPr>
        <w:t>responsive</w:t>
      </w:r>
      <w:r w:rsidRPr="008D2E40">
        <w:rPr>
          <w:highlight w:val="green"/>
          <w:u w:val="single"/>
        </w:rPr>
        <w:t xml:space="preserve"> to</w:t>
      </w:r>
      <w:r w:rsidRPr="0098613E">
        <w:rPr>
          <w:u w:val="single"/>
        </w:rPr>
        <w:t xml:space="preserve"> the existence of </w:t>
      </w:r>
      <w:r w:rsidRPr="0098613E">
        <w:rPr>
          <w:rStyle w:val="Emphasis"/>
        </w:rPr>
        <w:t>FOA</w:t>
      </w:r>
      <w:r w:rsidRPr="0098613E">
        <w:rPr>
          <w:u w:val="single"/>
        </w:rPr>
        <w:t xml:space="preserve"> or the </w:t>
      </w:r>
      <w:r w:rsidRPr="0098613E">
        <w:rPr>
          <w:rStyle w:val="Emphasis"/>
        </w:rPr>
        <w:t>right</w:t>
      </w:r>
      <w:r w:rsidRPr="0098613E">
        <w:rPr>
          <w:u w:val="single"/>
        </w:rPr>
        <w:t xml:space="preserve"> to </w:t>
      </w:r>
      <w:r w:rsidRPr="0098613E">
        <w:rPr>
          <w:rStyle w:val="Emphasis"/>
        </w:rPr>
        <w:t>strike</w:t>
      </w:r>
      <w:r w:rsidRPr="0098613E">
        <w:rPr>
          <w:u w:val="single"/>
        </w:rPr>
        <w:t xml:space="preserve"> at </w:t>
      </w:r>
      <w:r w:rsidRPr="008D2E40">
        <w:rPr>
          <w:highlight w:val="green"/>
          <w:u w:val="single"/>
        </w:rPr>
        <w:t xml:space="preserve">an </w:t>
      </w:r>
      <w:r w:rsidRPr="008D2E40">
        <w:rPr>
          <w:rStyle w:val="Emphasis"/>
          <w:highlight w:val="green"/>
        </w:rPr>
        <w:t>international</w:t>
      </w:r>
      <w:r w:rsidRPr="008D2E40">
        <w:rPr>
          <w:highlight w:val="green"/>
          <w:u w:val="single"/>
        </w:rPr>
        <w:t xml:space="preserve"> </w:t>
      </w:r>
      <w:r w:rsidRPr="008D2E40">
        <w:rPr>
          <w:rStyle w:val="Emphasis"/>
          <w:highlight w:val="green"/>
        </w:rPr>
        <w:t>level</w:t>
      </w:r>
      <w:r w:rsidRPr="0098613E">
        <w:rPr>
          <w:u w:val="single"/>
        </w:rPr>
        <w:t>.273</w:t>
      </w:r>
      <w:r>
        <w:rPr>
          <w:u w:val="single"/>
        </w:rPr>
        <w:t xml:space="preserve"> </w:t>
      </w:r>
      <w:r w:rsidRPr="00285CA1">
        <w:rPr>
          <w:sz w:val="10"/>
        </w:rPr>
        <w:t xml:space="preserve">The Court has relied on its 1938 statutory interpretation decision approving of permanent replacements in more recent decades.274 And there were legislative efforts in the early 1990s to overturn the permanent replacement doctrine that did not succeed. 275 It is possible to contend that despite the absence of legislative approval for permanent replacements, the Court’s continuing endorsement of its jurisprudence, and Congress’s failure to override those decisions, are sufficiently controlling in this context. On the other hand, there is a respectable and perhaps persuasive argument that these judicial decisions and instances of congressional inaction do not amount to a sufficiently comprehensive scheme of statutes and regulations addressing the precise issue.276 Relatedly, </w:t>
      </w:r>
      <w:r w:rsidRPr="0098613E">
        <w:rPr>
          <w:u w:val="single"/>
        </w:rPr>
        <w:t xml:space="preserve">there is </w:t>
      </w:r>
      <w:r w:rsidRPr="008D2E40">
        <w:rPr>
          <w:highlight w:val="green"/>
          <w:u w:val="single"/>
        </w:rPr>
        <w:t>no indication that</w:t>
      </w:r>
      <w:r w:rsidRPr="0098613E">
        <w:rPr>
          <w:u w:val="single"/>
        </w:rPr>
        <w:t xml:space="preserve"> either </w:t>
      </w:r>
      <w:r w:rsidRPr="008D2E40">
        <w:rPr>
          <w:highlight w:val="green"/>
          <w:u w:val="single"/>
        </w:rPr>
        <w:t>the Court</w:t>
      </w:r>
      <w:r w:rsidRPr="0098613E">
        <w:rPr>
          <w:u w:val="single"/>
        </w:rPr>
        <w:t xml:space="preserve"> or Congress </w:t>
      </w:r>
      <w:r w:rsidRPr="008D2E40">
        <w:rPr>
          <w:highlight w:val="green"/>
          <w:u w:val="single"/>
        </w:rPr>
        <w:t>acted with</w:t>
      </w:r>
      <w:r w:rsidRPr="0098613E">
        <w:rPr>
          <w:u w:val="single"/>
        </w:rPr>
        <w:t xml:space="preserve"> a </w:t>
      </w:r>
      <w:r w:rsidRPr="0098613E">
        <w:rPr>
          <w:rStyle w:val="Emphasis"/>
        </w:rPr>
        <w:t>purpose</w:t>
      </w:r>
      <w:r w:rsidRPr="0098613E">
        <w:rPr>
          <w:u w:val="single"/>
        </w:rPr>
        <w:t xml:space="preserve"> to preclude the </w:t>
      </w:r>
      <w:r w:rsidRPr="0098613E">
        <w:rPr>
          <w:rStyle w:val="Emphasis"/>
        </w:rPr>
        <w:t>application</w:t>
      </w:r>
      <w:r w:rsidRPr="0098613E">
        <w:rPr>
          <w:u w:val="single"/>
        </w:rPr>
        <w:t xml:space="preserve"> of </w:t>
      </w:r>
      <w:r w:rsidRPr="0098613E">
        <w:rPr>
          <w:rStyle w:val="Emphasis"/>
        </w:rPr>
        <w:t>CIL</w:t>
      </w:r>
      <w:r w:rsidRPr="0098613E">
        <w:rPr>
          <w:u w:val="single"/>
        </w:rPr>
        <w:t xml:space="preserve"> in the right-to-strike setting, or even with an </w:t>
      </w:r>
      <w:r w:rsidRPr="008D2E40">
        <w:rPr>
          <w:rStyle w:val="Emphasis"/>
          <w:highlight w:val="green"/>
        </w:rPr>
        <w:t>awareness</w:t>
      </w:r>
      <w:r w:rsidRPr="008D2E40">
        <w:rPr>
          <w:highlight w:val="green"/>
          <w:u w:val="single"/>
        </w:rPr>
        <w:t xml:space="preserve"> that</w:t>
      </w:r>
      <w:r w:rsidRPr="0098613E">
        <w:rPr>
          <w:u w:val="single"/>
        </w:rPr>
        <w:t xml:space="preserve"> </w:t>
      </w:r>
      <w:r w:rsidRPr="0098613E">
        <w:rPr>
          <w:rStyle w:val="Emphasis"/>
        </w:rPr>
        <w:t>relevant</w:t>
      </w:r>
      <w:r w:rsidRPr="0098613E">
        <w:rPr>
          <w:u w:val="single"/>
        </w:rPr>
        <w:t xml:space="preserve"> </w:t>
      </w:r>
      <w:r w:rsidRPr="008D2E40">
        <w:rPr>
          <w:rStyle w:val="Emphasis"/>
          <w:highlight w:val="green"/>
        </w:rPr>
        <w:t>CIL</w:t>
      </w:r>
      <w:r w:rsidRPr="008D2E40">
        <w:rPr>
          <w:highlight w:val="green"/>
          <w:u w:val="single"/>
        </w:rPr>
        <w:t xml:space="preserve"> existed</w:t>
      </w:r>
      <w:r w:rsidRPr="00285CA1">
        <w:rPr>
          <w:sz w:val="10"/>
        </w:rPr>
        <w:t xml:space="preserve">.277 In this regard, it is noteworthy that </w:t>
      </w:r>
      <w:r w:rsidRPr="0098613E">
        <w:rPr>
          <w:u w:val="single"/>
        </w:rPr>
        <w:t xml:space="preserve">the international right to strike assumed increased </w:t>
      </w:r>
      <w:r w:rsidRPr="0098613E">
        <w:rPr>
          <w:rStyle w:val="Emphasis"/>
        </w:rPr>
        <w:t>visibility</w:t>
      </w:r>
      <w:r w:rsidRPr="0098613E">
        <w:rPr>
          <w:u w:val="single"/>
        </w:rPr>
        <w:t xml:space="preserve"> and </w:t>
      </w:r>
      <w:r w:rsidRPr="0098613E">
        <w:rPr>
          <w:rStyle w:val="Emphasis"/>
        </w:rPr>
        <w:t>importance</w:t>
      </w:r>
      <w:r w:rsidRPr="0098613E">
        <w:rPr>
          <w:u w:val="single"/>
        </w:rPr>
        <w:t xml:space="preserve"> beginning in the mid to late 1990s, following </w:t>
      </w:r>
      <w:r w:rsidRPr="0098613E">
        <w:rPr>
          <w:rStyle w:val="Emphasis"/>
        </w:rPr>
        <w:t>elevation</w:t>
      </w:r>
      <w:r w:rsidRPr="0098613E">
        <w:rPr>
          <w:u w:val="single"/>
        </w:rPr>
        <w:t xml:space="preserve"> of </w:t>
      </w:r>
      <w:r w:rsidRPr="0098613E">
        <w:rPr>
          <w:rStyle w:val="Emphasis"/>
        </w:rPr>
        <w:t>FOA</w:t>
      </w:r>
      <w:r w:rsidRPr="0098613E">
        <w:rPr>
          <w:u w:val="single"/>
        </w:rPr>
        <w:t xml:space="preserve"> as one of the </w:t>
      </w:r>
      <w:r w:rsidRPr="0098613E">
        <w:rPr>
          <w:rStyle w:val="Emphasis"/>
        </w:rPr>
        <w:t>eight</w:t>
      </w:r>
      <w:r w:rsidRPr="0098613E">
        <w:rPr>
          <w:u w:val="single"/>
        </w:rPr>
        <w:t xml:space="preserve"> </w:t>
      </w:r>
      <w:r w:rsidRPr="0098613E">
        <w:rPr>
          <w:rStyle w:val="Emphasis"/>
        </w:rPr>
        <w:t>fundamental</w:t>
      </w:r>
      <w:r w:rsidRPr="0098613E">
        <w:rPr>
          <w:u w:val="single"/>
        </w:rPr>
        <w:t xml:space="preserve"> </w:t>
      </w:r>
      <w:r w:rsidRPr="0098613E">
        <w:rPr>
          <w:rStyle w:val="Emphasis"/>
        </w:rPr>
        <w:t>ILO</w:t>
      </w:r>
      <w:r w:rsidRPr="0098613E">
        <w:rPr>
          <w:u w:val="single"/>
        </w:rPr>
        <w:t xml:space="preserve"> </w:t>
      </w:r>
      <w:r w:rsidRPr="0098613E">
        <w:rPr>
          <w:rStyle w:val="Emphasis"/>
        </w:rPr>
        <w:t>conventions</w:t>
      </w:r>
      <w:r w:rsidRPr="00285CA1">
        <w:rPr>
          <w:sz w:val="10"/>
        </w:rPr>
        <w:t xml:space="preserve"> and the promulgation of the 1998 Declaration. The Supreme Court in the context of admiralty law—relying on the law of nations—has applied recent CIL to overrule its own precedents, or to bypass or distinguish earlier statutory provisions. 278 In doing so, the Court has recognized the primacy of evolving developments in CIL so long as these changes in the law of nations are not directly contradicted by earlier federal statutory text. 279 </w:t>
      </w:r>
      <w:r w:rsidRPr="008D2E40">
        <w:rPr>
          <w:rStyle w:val="Emphasis"/>
          <w:highlight w:val="green"/>
        </w:rPr>
        <w:t>Violations</w:t>
      </w:r>
      <w:r w:rsidRPr="008D2E40">
        <w:rPr>
          <w:highlight w:val="green"/>
          <w:u w:val="single"/>
        </w:rPr>
        <w:t xml:space="preserve"> of CIL, like</w:t>
      </w:r>
      <w:r w:rsidRPr="0098613E">
        <w:rPr>
          <w:u w:val="single"/>
        </w:rPr>
        <w:t xml:space="preserve"> violations of </w:t>
      </w:r>
      <w:r w:rsidRPr="008D2E40">
        <w:rPr>
          <w:rStyle w:val="Emphasis"/>
          <w:highlight w:val="green"/>
        </w:rPr>
        <w:t>international</w:t>
      </w:r>
      <w:r w:rsidRPr="008D2E40">
        <w:rPr>
          <w:highlight w:val="green"/>
          <w:u w:val="single"/>
        </w:rPr>
        <w:t xml:space="preserve"> </w:t>
      </w:r>
      <w:r w:rsidRPr="008D2E40">
        <w:rPr>
          <w:rStyle w:val="Emphasis"/>
          <w:highlight w:val="green"/>
        </w:rPr>
        <w:t>law</w:t>
      </w:r>
      <w:r w:rsidRPr="008D2E40">
        <w:rPr>
          <w:highlight w:val="green"/>
          <w:u w:val="single"/>
        </w:rPr>
        <w:t xml:space="preserve"> generally</w:t>
      </w:r>
      <w:r w:rsidRPr="0098613E">
        <w:rPr>
          <w:u w:val="single"/>
        </w:rPr>
        <w:t xml:space="preserve">, can </w:t>
      </w:r>
      <w:r w:rsidRPr="008D2E40">
        <w:rPr>
          <w:highlight w:val="green"/>
          <w:u w:val="single"/>
        </w:rPr>
        <w:t xml:space="preserve">produce friction between nations that </w:t>
      </w:r>
      <w:r w:rsidRPr="008D2E40">
        <w:rPr>
          <w:rStyle w:val="Emphasis"/>
          <w:highlight w:val="green"/>
        </w:rPr>
        <w:t>hinders</w:t>
      </w:r>
      <w:r w:rsidRPr="0098613E">
        <w:rPr>
          <w:u w:val="single"/>
        </w:rPr>
        <w:t xml:space="preserve"> the </w:t>
      </w:r>
      <w:r w:rsidRPr="008D2E40">
        <w:rPr>
          <w:rStyle w:val="Emphasis"/>
          <w:highlight w:val="green"/>
        </w:rPr>
        <w:t>accomplishment</w:t>
      </w:r>
      <w:r w:rsidRPr="008D2E40">
        <w:rPr>
          <w:highlight w:val="green"/>
          <w:u w:val="single"/>
        </w:rPr>
        <w:t xml:space="preserve"> of </w:t>
      </w:r>
      <w:r w:rsidRPr="00B57BC0">
        <w:rPr>
          <w:rStyle w:val="Emphasis"/>
        </w:rPr>
        <w:t>foreign</w:t>
      </w:r>
      <w:r w:rsidRPr="00B57BC0">
        <w:rPr>
          <w:u w:val="single"/>
        </w:rPr>
        <w:t xml:space="preserve"> </w:t>
      </w:r>
      <w:r w:rsidRPr="00B57BC0">
        <w:rPr>
          <w:rStyle w:val="Emphasis"/>
        </w:rPr>
        <w:t>relations</w:t>
      </w:r>
      <w:r w:rsidRPr="0098613E">
        <w:rPr>
          <w:u w:val="single"/>
        </w:rPr>
        <w:t xml:space="preserve"> </w:t>
      </w:r>
      <w:r w:rsidRPr="008D2E40">
        <w:rPr>
          <w:rStyle w:val="Emphasis"/>
          <w:highlight w:val="green"/>
        </w:rPr>
        <w:t>goals</w:t>
      </w:r>
      <w:r w:rsidRPr="0098613E">
        <w:rPr>
          <w:u w:val="single"/>
        </w:rPr>
        <w:t>.</w:t>
      </w:r>
      <w:r w:rsidRPr="00285CA1">
        <w:rPr>
          <w:sz w:val="10"/>
        </w:rPr>
        <w:t xml:space="preserve">280 As noted earlier, </w:t>
      </w:r>
      <w:r w:rsidRPr="008D2E40">
        <w:rPr>
          <w:rStyle w:val="Emphasis"/>
          <w:highlight w:val="green"/>
        </w:rPr>
        <w:t>government</w:t>
      </w:r>
      <w:r w:rsidRPr="008D2E40">
        <w:rPr>
          <w:highlight w:val="green"/>
          <w:u w:val="single"/>
        </w:rPr>
        <w:t xml:space="preserve"> </w:t>
      </w:r>
      <w:r w:rsidRPr="008D2E40">
        <w:rPr>
          <w:rStyle w:val="Emphasis"/>
          <w:highlight w:val="green"/>
        </w:rPr>
        <w:t>officials</w:t>
      </w:r>
      <w:r w:rsidRPr="0098613E">
        <w:rPr>
          <w:u w:val="single"/>
        </w:rPr>
        <w:t xml:space="preserve"> and scholars have expressed concern in recent decades </w:t>
      </w:r>
      <w:r w:rsidRPr="008D2E40">
        <w:rPr>
          <w:highlight w:val="green"/>
          <w:u w:val="single"/>
        </w:rPr>
        <w:t xml:space="preserve">that </w:t>
      </w:r>
      <w:r w:rsidRPr="008D2E40">
        <w:rPr>
          <w:rStyle w:val="Emphasis"/>
          <w:highlight w:val="green"/>
        </w:rPr>
        <w:t>failure</w:t>
      </w:r>
      <w:r w:rsidRPr="008D2E40">
        <w:rPr>
          <w:highlight w:val="green"/>
          <w:u w:val="single"/>
        </w:rPr>
        <w:t xml:space="preserve"> to </w:t>
      </w:r>
      <w:r w:rsidRPr="008D2E40">
        <w:rPr>
          <w:rStyle w:val="Emphasis"/>
          <w:highlight w:val="green"/>
        </w:rPr>
        <w:t>ratify</w:t>
      </w:r>
      <w:r w:rsidRPr="008D2E40">
        <w:rPr>
          <w:highlight w:val="green"/>
          <w:u w:val="single"/>
        </w:rPr>
        <w:t xml:space="preserve"> Convention 87 and</w:t>
      </w:r>
      <w:r w:rsidRPr="0098613E">
        <w:rPr>
          <w:u w:val="single"/>
        </w:rPr>
        <w:t xml:space="preserve"> other fundamental </w:t>
      </w:r>
      <w:r w:rsidRPr="008D2E40">
        <w:rPr>
          <w:highlight w:val="green"/>
          <w:u w:val="single"/>
        </w:rPr>
        <w:t xml:space="preserve">ILO conventions can undermine </w:t>
      </w:r>
      <w:r w:rsidRPr="008D2E40">
        <w:rPr>
          <w:rStyle w:val="Emphasis"/>
          <w:highlight w:val="green"/>
        </w:rPr>
        <w:t>U.S. standing</w:t>
      </w:r>
      <w:r w:rsidRPr="0098613E">
        <w:rPr>
          <w:rStyle w:val="Emphasis"/>
        </w:rPr>
        <w:t xml:space="preserve"> on matters of international labor</w:t>
      </w:r>
      <w:r w:rsidRPr="0098613E">
        <w:rPr>
          <w:u w:val="single"/>
        </w:rPr>
        <w:t xml:space="preserve"> and human rights law</w:t>
      </w:r>
      <w:r w:rsidRPr="00285CA1">
        <w:rPr>
          <w:sz w:val="10"/>
        </w:rPr>
        <w:t xml:space="preserve">.281 At the same time, the U.S. has been a leading advocate on the international stage promoting both FOA principles and the right to strike—in its trade legislation, bilateral and regional trade agreements, and official positions at the ILO Governing Body. And again, </w:t>
      </w:r>
      <w:r w:rsidRPr="0098613E">
        <w:rPr>
          <w:u w:val="single"/>
        </w:rPr>
        <w:t xml:space="preserve">while CIL can give way when there is genuinely controlling positive law, such law must be meant to control an </w:t>
      </w:r>
      <w:r w:rsidRPr="0098613E">
        <w:rPr>
          <w:rStyle w:val="Emphasis"/>
        </w:rPr>
        <w:t>otherwise</w:t>
      </w:r>
      <w:r w:rsidRPr="0098613E">
        <w:rPr>
          <w:u w:val="single"/>
        </w:rPr>
        <w:t xml:space="preserve"> </w:t>
      </w:r>
      <w:r w:rsidRPr="0098613E">
        <w:rPr>
          <w:rStyle w:val="Emphasis"/>
        </w:rPr>
        <w:t>applicable</w:t>
      </w:r>
      <w:r w:rsidRPr="0098613E">
        <w:rPr>
          <w:u w:val="single"/>
        </w:rPr>
        <w:t xml:space="preserve"> CIL. The mere </w:t>
      </w:r>
      <w:r w:rsidRPr="008D2E40">
        <w:rPr>
          <w:rStyle w:val="Emphasis"/>
          <w:highlight w:val="green"/>
        </w:rPr>
        <w:t>presence</w:t>
      </w:r>
      <w:r w:rsidRPr="0098613E">
        <w:rPr>
          <w:u w:val="single"/>
        </w:rPr>
        <w:t xml:space="preserve"> of a </w:t>
      </w:r>
      <w:r w:rsidRPr="0098613E">
        <w:rPr>
          <w:rStyle w:val="Emphasis"/>
        </w:rPr>
        <w:t>relevant</w:t>
      </w:r>
      <w:r w:rsidRPr="0098613E">
        <w:rPr>
          <w:u w:val="single"/>
        </w:rPr>
        <w:t xml:space="preserve"> </w:t>
      </w:r>
      <w:r w:rsidRPr="0098613E">
        <w:rPr>
          <w:rStyle w:val="Emphasis"/>
        </w:rPr>
        <w:t>statutory</w:t>
      </w:r>
      <w:r w:rsidRPr="0098613E">
        <w:rPr>
          <w:u w:val="single"/>
        </w:rPr>
        <w:t xml:space="preserve"> </w:t>
      </w:r>
      <w:r w:rsidRPr="0098613E">
        <w:rPr>
          <w:rStyle w:val="Emphasis"/>
        </w:rPr>
        <w:t>provision</w:t>
      </w:r>
      <w:r w:rsidRPr="0098613E">
        <w:rPr>
          <w:u w:val="single"/>
        </w:rPr>
        <w:t xml:space="preserve"> or judicial decision, </w:t>
      </w:r>
      <w:r w:rsidRPr="008D2E40">
        <w:rPr>
          <w:highlight w:val="green"/>
          <w:u w:val="single"/>
        </w:rPr>
        <w:t xml:space="preserve">without </w:t>
      </w:r>
      <w:r w:rsidRPr="008D2E40">
        <w:rPr>
          <w:rStyle w:val="Emphasis"/>
          <w:highlight w:val="green"/>
        </w:rPr>
        <w:t>evidence</w:t>
      </w:r>
      <w:r w:rsidRPr="0098613E">
        <w:rPr>
          <w:u w:val="single"/>
        </w:rPr>
        <w:t xml:space="preserve"> that </w:t>
      </w:r>
      <w:r w:rsidRPr="008D2E40">
        <w:rPr>
          <w:highlight w:val="green"/>
          <w:u w:val="single"/>
        </w:rPr>
        <w:t>Congress</w:t>
      </w:r>
      <w:r w:rsidRPr="0098613E">
        <w:rPr>
          <w:u w:val="single"/>
        </w:rPr>
        <w:t xml:space="preserve"> or the court </w:t>
      </w:r>
      <w:r w:rsidRPr="008D2E40">
        <w:rPr>
          <w:highlight w:val="green"/>
          <w:u w:val="single"/>
        </w:rPr>
        <w:t xml:space="preserve">was </w:t>
      </w:r>
      <w:r w:rsidRPr="008D2E40">
        <w:rPr>
          <w:rStyle w:val="Emphasis"/>
          <w:highlight w:val="green"/>
        </w:rPr>
        <w:t>aware</w:t>
      </w:r>
      <w:r w:rsidRPr="0098613E">
        <w:rPr>
          <w:u w:val="single"/>
        </w:rPr>
        <w:t xml:space="preserve"> the </w:t>
      </w:r>
      <w:r w:rsidRPr="008D2E40">
        <w:rPr>
          <w:rStyle w:val="Emphasis"/>
          <w:highlight w:val="green"/>
        </w:rPr>
        <w:t>CIL</w:t>
      </w:r>
      <w:r w:rsidRPr="008D2E40">
        <w:rPr>
          <w:highlight w:val="green"/>
          <w:u w:val="single"/>
        </w:rPr>
        <w:t xml:space="preserve"> </w:t>
      </w:r>
      <w:r w:rsidRPr="008D2E40">
        <w:rPr>
          <w:rStyle w:val="Emphasis"/>
          <w:highlight w:val="green"/>
        </w:rPr>
        <w:t>existed</w:t>
      </w:r>
      <w:r w:rsidRPr="008D2E40">
        <w:rPr>
          <w:highlight w:val="green"/>
          <w:u w:val="single"/>
        </w:rPr>
        <w:t xml:space="preserve">, is unlikely to </w:t>
      </w:r>
      <w:r w:rsidRPr="008D2E40">
        <w:rPr>
          <w:rStyle w:val="Emphasis"/>
          <w:highlight w:val="green"/>
        </w:rPr>
        <w:t>qualify</w:t>
      </w:r>
      <w:r w:rsidRPr="0098613E">
        <w:rPr>
          <w:u w:val="single"/>
        </w:rPr>
        <w:t>.</w:t>
      </w:r>
      <w:r>
        <w:rPr>
          <w:u w:val="single"/>
        </w:rPr>
        <w:t xml:space="preserve"> </w:t>
      </w:r>
      <w:r w:rsidRPr="00285CA1">
        <w:rPr>
          <w:sz w:val="10"/>
        </w:rPr>
        <w:t xml:space="preserve">Moreover, if there is a potential conflict between established CIL and sufficiently clear federal statutes, the relative timing of these two sources of law becomes important. The Court has made clear that Congress can override CIL based on subsequent clear legislation.282 It is also well-settled that federal statutes and treaties are equal in authority such that “if a treaty and a federal statute conflict, ‘the one last in date will control the other.’”283 </w:t>
      </w:r>
      <w:r w:rsidRPr="0098613E">
        <w:rPr>
          <w:u w:val="single"/>
        </w:rPr>
        <w:t xml:space="preserve">Given the status accorded to </w:t>
      </w:r>
      <w:r w:rsidRPr="008D2E40">
        <w:rPr>
          <w:rStyle w:val="Emphasis"/>
          <w:highlight w:val="green"/>
        </w:rPr>
        <w:t>CIL</w:t>
      </w:r>
      <w:r w:rsidRPr="008D2E40">
        <w:rPr>
          <w:highlight w:val="green"/>
          <w:u w:val="single"/>
        </w:rPr>
        <w:t xml:space="preserve"> as </w:t>
      </w:r>
      <w:r w:rsidRPr="008D2E40">
        <w:rPr>
          <w:rStyle w:val="Emphasis"/>
          <w:highlight w:val="green"/>
        </w:rPr>
        <w:t>federal</w:t>
      </w:r>
      <w:r w:rsidRPr="008D2E40">
        <w:rPr>
          <w:highlight w:val="green"/>
          <w:u w:val="single"/>
        </w:rPr>
        <w:t xml:space="preserve"> </w:t>
      </w:r>
      <w:r w:rsidRPr="008D2E40">
        <w:rPr>
          <w:rStyle w:val="Emphasis"/>
          <w:highlight w:val="green"/>
        </w:rPr>
        <w:t>law</w:t>
      </w:r>
      <w:r w:rsidRPr="0098613E">
        <w:rPr>
          <w:u w:val="single"/>
        </w:rPr>
        <w:t xml:space="preserve"> comparable to </w:t>
      </w:r>
      <w:r w:rsidRPr="0098613E">
        <w:rPr>
          <w:rStyle w:val="Emphasis"/>
        </w:rPr>
        <w:t>treaties</w:t>
      </w:r>
      <w:r w:rsidRPr="00285CA1">
        <w:rPr>
          <w:sz w:val="10"/>
        </w:rPr>
        <w:t xml:space="preserve">, it should follow that the </w:t>
      </w:r>
      <w:r w:rsidRPr="0098613E">
        <w:rPr>
          <w:u w:val="single"/>
        </w:rPr>
        <w:t xml:space="preserve">last-in-time rule also </w:t>
      </w:r>
      <w:r w:rsidRPr="008D2E40">
        <w:rPr>
          <w:highlight w:val="green"/>
          <w:u w:val="single"/>
        </w:rPr>
        <w:t xml:space="preserve">applies to </w:t>
      </w:r>
      <w:r w:rsidRPr="008D2E40">
        <w:rPr>
          <w:rStyle w:val="Emphasis"/>
          <w:highlight w:val="green"/>
        </w:rPr>
        <w:t>resolve</w:t>
      </w:r>
      <w:r w:rsidRPr="0098613E">
        <w:rPr>
          <w:u w:val="single"/>
        </w:rPr>
        <w:t xml:space="preserve"> any </w:t>
      </w:r>
      <w:r w:rsidRPr="008D2E40">
        <w:rPr>
          <w:rStyle w:val="Emphasis"/>
          <w:highlight w:val="green"/>
        </w:rPr>
        <w:t>differences</w:t>
      </w:r>
      <w:r w:rsidRPr="0098613E">
        <w:rPr>
          <w:u w:val="single"/>
        </w:rPr>
        <w:t xml:space="preserve"> between an earlierenacted </w:t>
      </w:r>
      <w:r w:rsidRPr="0098613E">
        <w:rPr>
          <w:rStyle w:val="Emphasis"/>
          <w:color w:val="000000" w:themeColor="text1"/>
        </w:rPr>
        <w:t>federal</w:t>
      </w:r>
      <w:r w:rsidRPr="0098613E">
        <w:rPr>
          <w:u w:val="single"/>
        </w:rPr>
        <w:t xml:space="preserve"> </w:t>
      </w:r>
      <w:r w:rsidRPr="0098613E">
        <w:rPr>
          <w:rStyle w:val="Emphasis"/>
        </w:rPr>
        <w:t>statute</w:t>
      </w:r>
      <w:r w:rsidRPr="0098613E">
        <w:rPr>
          <w:u w:val="single"/>
        </w:rPr>
        <w:t xml:space="preserve"> and a </w:t>
      </w:r>
      <w:r w:rsidRPr="0098613E">
        <w:rPr>
          <w:rStyle w:val="Emphasis"/>
        </w:rPr>
        <w:t>later</w:t>
      </w:r>
      <w:r w:rsidRPr="0098613E">
        <w:rPr>
          <w:u w:val="single"/>
        </w:rPr>
        <w:t xml:space="preserve"> </w:t>
      </w:r>
      <w:r w:rsidRPr="0098613E">
        <w:rPr>
          <w:rStyle w:val="Emphasis"/>
        </w:rPr>
        <w:t>CIL</w:t>
      </w:r>
      <w:r w:rsidRPr="0098613E">
        <w:rPr>
          <w:u w:val="single"/>
        </w:rPr>
        <w:t xml:space="preserve"> </w:t>
      </w:r>
      <w:r w:rsidRPr="0098613E">
        <w:rPr>
          <w:rStyle w:val="Emphasis"/>
        </w:rPr>
        <w:t>norm</w:t>
      </w:r>
      <w:r w:rsidRPr="0098613E">
        <w:rPr>
          <w:u w:val="single"/>
        </w:rPr>
        <w:t>, at least one that meets the Sosa standard of definiteness, specificity, and widespread acceptance</w:t>
      </w:r>
      <w:r w:rsidRPr="00285CA1">
        <w:rPr>
          <w:sz w:val="10"/>
        </w:rPr>
        <w:t xml:space="preserve">.284 Applying the last-in-time rule in our setting, </w:t>
      </w:r>
      <w:r w:rsidRPr="0098613E">
        <w:rPr>
          <w:u w:val="single"/>
        </w:rPr>
        <w:t xml:space="preserve">the two most prominent </w:t>
      </w:r>
      <w:r w:rsidRPr="0098613E">
        <w:rPr>
          <w:rStyle w:val="Emphasis"/>
        </w:rPr>
        <w:t>divergences</w:t>
      </w:r>
      <w:r w:rsidRPr="0098613E">
        <w:rPr>
          <w:u w:val="single"/>
        </w:rPr>
        <w:t xml:space="preserve"> between </w:t>
      </w:r>
      <w:r w:rsidRPr="0098613E">
        <w:rPr>
          <w:rStyle w:val="Emphasis"/>
        </w:rPr>
        <w:t>CIL</w:t>
      </w:r>
      <w:r w:rsidRPr="0098613E">
        <w:rPr>
          <w:u w:val="single"/>
        </w:rPr>
        <w:t xml:space="preserve"> and </w:t>
      </w:r>
      <w:r w:rsidRPr="0098613E">
        <w:rPr>
          <w:rStyle w:val="Emphasis"/>
        </w:rPr>
        <w:t>existing</w:t>
      </w:r>
      <w:r w:rsidRPr="0098613E">
        <w:rPr>
          <w:u w:val="single"/>
        </w:rPr>
        <w:t xml:space="preserve"> </w:t>
      </w:r>
      <w:r w:rsidRPr="0098613E">
        <w:rPr>
          <w:rStyle w:val="Emphasis"/>
        </w:rPr>
        <w:t>federal</w:t>
      </w:r>
      <w:r w:rsidRPr="0098613E">
        <w:rPr>
          <w:u w:val="single"/>
        </w:rPr>
        <w:t xml:space="preserve"> </w:t>
      </w:r>
      <w:r w:rsidRPr="0098613E">
        <w:rPr>
          <w:rStyle w:val="Emphasis"/>
        </w:rPr>
        <w:t>statutory</w:t>
      </w:r>
      <w:r w:rsidRPr="0098613E">
        <w:rPr>
          <w:u w:val="single"/>
        </w:rPr>
        <w:t xml:space="preserve"> </w:t>
      </w:r>
      <w:r w:rsidRPr="0098613E">
        <w:rPr>
          <w:rStyle w:val="Emphasis"/>
        </w:rPr>
        <w:t>law</w:t>
      </w:r>
      <w:r w:rsidRPr="0098613E">
        <w:rPr>
          <w:u w:val="single"/>
        </w:rPr>
        <w:t xml:space="preserve"> would be resolved in favor of CIL. The </w:t>
      </w:r>
      <w:r w:rsidRPr="0098613E">
        <w:rPr>
          <w:rStyle w:val="Emphasis"/>
        </w:rPr>
        <w:t>NLRA</w:t>
      </w:r>
      <w:r w:rsidRPr="0098613E">
        <w:rPr>
          <w:u w:val="single"/>
        </w:rPr>
        <w:t xml:space="preserve"> </w:t>
      </w:r>
      <w:r w:rsidRPr="0098613E">
        <w:rPr>
          <w:rStyle w:val="Emphasis"/>
        </w:rPr>
        <w:t>doctrine</w:t>
      </w:r>
      <w:r w:rsidRPr="0098613E">
        <w:rPr>
          <w:u w:val="single"/>
        </w:rPr>
        <w:t xml:space="preserve"> allowing employers to permanently replace lawful strikers is not </w:t>
      </w:r>
      <w:r w:rsidRPr="0098613E">
        <w:rPr>
          <w:rStyle w:val="Emphasis"/>
        </w:rPr>
        <w:t>addressed</w:t>
      </w:r>
      <w:r w:rsidRPr="0098613E">
        <w:rPr>
          <w:u w:val="single"/>
        </w:rPr>
        <w:t xml:space="preserve"> at all in the text</w:t>
      </w:r>
      <w:r w:rsidRPr="00285CA1">
        <w:rPr>
          <w:sz w:val="10"/>
        </w:rPr>
        <w:t xml:space="preserve">. It was derived from the 1935 law as part of a 1938 Supreme Court interpretation that has been relied upon in subsequent Court decisions through the late 1980s. The exemption of state and local government workers from federal law was itself part of the 1935 statute. Both the Court decisions establishing a permanent replacement doctrine and the text exempting state and local governments arose well before—and with no evident awareness of—the establishment and evolution of CIL on FOA and the right to strike. This CIL began emerging in the late 1960s and became fully developed from the late 1990s, continuing to the present. </w:t>
      </w:r>
    </w:p>
    <w:p w14:paraId="2899E8FF" w14:textId="77777777" w:rsidR="00F255AE" w:rsidRDefault="00F255AE" w:rsidP="00F255AE">
      <w:pPr>
        <w:rPr>
          <w:sz w:val="16"/>
        </w:rPr>
      </w:pPr>
    </w:p>
    <w:p w14:paraId="338C5422" w14:textId="77777777" w:rsidR="00F255AE" w:rsidRDefault="00F255AE" w:rsidP="00F255AE">
      <w:pPr>
        <w:pStyle w:val="Heading4"/>
      </w:pPr>
      <w:r>
        <w:rPr>
          <w:u w:val="single"/>
        </w:rPr>
        <w:lastRenderedPageBreak/>
        <w:t>Ensuring smooth unified</w:t>
      </w:r>
      <w:r>
        <w:t xml:space="preserve"> international labor standards is key to </w:t>
      </w:r>
      <w:r w:rsidRPr="008751FE">
        <w:rPr>
          <w:u w:val="single"/>
        </w:rPr>
        <w:t>Sustainable Development Goals</w:t>
      </w:r>
    </w:p>
    <w:p w14:paraId="2984597F" w14:textId="77777777" w:rsidR="00F255AE" w:rsidRPr="008751FE" w:rsidRDefault="00F255AE" w:rsidP="00F255AE">
      <w:r w:rsidRPr="00106185">
        <w:rPr>
          <w:rStyle w:val="Style13ptBold"/>
        </w:rPr>
        <w:t>ILO 15</w:t>
      </w:r>
      <w:r>
        <w:t xml:space="preserve"> [International Labor Organization; </w:t>
      </w:r>
      <w:r w:rsidRPr="008751FE">
        <w:t>The International Labour Organization is a United Nations agency whose mandate is to advance social and economic justice through setting international labour standards. Founded in October 1919 under the League of Nations, it is the first and oldest specialised agency of the UN</w:t>
      </w:r>
      <w:r>
        <w:t>; “</w:t>
      </w:r>
      <w:r w:rsidRPr="008751FE">
        <w:t>The benefits of International Labour Standards</w:t>
      </w:r>
      <w:r>
        <w:t xml:space="preserve">,” No date stated but most recent event cited is 2015, </w:t>
      </w:r>
      <w:hyperlink r:id="rId9" w:history="1">
        <w:r w:rsidRPr="00350781">
          <w:rPr>
            <w:rStyle w:val="Hyperlink"/>
          </w:rPr>
          <w:t>https://www.ilo.org/global/standards/introduction-to-international-labour-standards/the-benefits-of-international-labour-standards/lang--en/index.htm</w:t>
        </w:r>
      </w:hyperlink>
      <w:r>
        <w:t xml:space="preserve">] Justin </w:t>
      </w:r>
    </w:p>
    <w:p w14:paraId="556A1901" w14:textId="77777777" w:rsidR="00F255AE" w:rsidRPr="00CF4094" w:rsidRDefault="00F255AE" w:rsidP="00F255AE">
      <w:pPr>
        <w:rPr>
          <w:u w:val="single"/>
        </w:rPr>
      </w:pPr>
      <w:r w:rsidRPr="00CF4094">
        <w:rPr>
          <w:sz w:val="16"/>
        </w:rPr>
        <w:t xml:space="preserve">International labour standards are first and foremost about the development of people as human beings. In the Declaration of Philadelphia (1944), the international community recognized that “labour is not a commodity”. Labour is not an inanimate product, like an apple or a television set, that can be negotiated for the highest profit or the lowest price. Work is part of everyone’s daily life and is crucial to a person’s dignity, well-being and development as a human being. Economic development should include the creation of jobs and working conditions in which people can work in freedom, safety and dignity. In short, </w:t>
      </w:r>
      <w:r w:rsidRPr="00CF4094">
        <w:rPr>
          <w:u w:val="single"/>
        </w:rPr>
        <w:t xml:space="preserve">economic development is not undertaken for its own sake, but to </w:t>
      </w:r>
      <w:r w:rsidRPr="00726C77">
        <w:rPr>
          <w:rStyle w:val="Emphasis"/>
        </w:rPr>
        <w:t>improve the lives of human beings</w:t>
      </w:r>
      <w:r w:rsidRPr="00CF4094">
        <w:rPr>
          <w:u w:val="single"/>
        </w:rPr>
        <w:t xml:space="preserve">. </w:t>
      </w:r>
      <w:r w:rsidRPr="00CF4094">
        <w:rPr>
          <w:highlight w:val="green"/>
          <w:u w:val="single"/>
        </w:rPr>
        <w:t xml:space="preserve">International </w:t>
      </w:r>
      <w:r w:rsidRPr="00726C77">
        <w:rPr>
          <w:rStyle w:val="Emphasis"/>
          <w:highlight w:val="green"/>
        </w:rPr>
        <w:t>labour standards</w:t>
      </w:r>
      <w:r w:rsidRPr="00CF4094">
        <w:rPr>
          <w:sz w:val="16"/>
        </w:rPr>
        <w:t xml:space="preserve"> are there to </w:t>
      </w:r>
      <w:r w:rsidRPr="00CF4094">
        <w:rPr>
          <w:u w:val="single"/>
        </w:rPr>
        <w:t xml:space="preserve">ensure that it remains focused on </w:t>
      </w:r>
      <w:r w:rsidRPr="00726C77">
        <w:rPr>
          <w:rStyle w:val="Emphasis"/>
        </w:rPr>
        <w:t>improving the life</w:t>
      </w:r>
      <w:r w:rsidRPr="00CF4094">
        <w:rPr>
          <w:u w:val="single"/>
        </w:rPr>
        <w:t xml:space="preserve"> and </w:t>
      </w:r>
      <w:r w:rsidRPr="00726C77">
        <w:rPr>
          <w:rStyle w:val="Emphasis"/>
        </w:rPr>
        <w:t>dignity</w:t>
      </w:r>
      <w:r w:rsidRPr="00CF4094">
        <w:rPr>
          <w:u w:val="single"/>
        </w:rPr>
        <w:t xml:space="preserve"> of </w:t>
      </w:r>
      <w:r w:rsidRPr="00726C77">
        <w:rPr>
          <w:rStyle w:val="Emphasis"/>
        </w:rPr>
        <w:t>men and women</w:t>
      </w:r>
      <w:r w:rsidRPr="00CF4094">
        <w:rPr>
          <w:sz w:val="16"/>
        </w:rPr>
        <w:t xml:space="preserve">. Decent work resumes the aspirations of humans in relation to work. It brings together access to productive and suitably remunerated work, safety at the workplace and social protection for families, better prospects for personal development and social integration, freedom for individuals to set out their claims, to organize and to participate in decisions that affect their lives, and equality of opportunity and treatment for all men and women. </w:t>
      </w:r>
      <w:r w:rsidRPr="00CF4094">
        <w:rPr>
          <w:u w:val="single"/>
        </w:rPr>
        <w:t xml:space="preserve">Decent work is not merely an objective, it </w:t>
      </w:r>
      <w:r w:rsidRPr="00CF4094">
        <w:rPr>
          <w:highlight w:val="green"/>
          <w:u w:val="single"/>
        </w:rPr>
        <w:t xml:space="preserve">is a </w:t>
      </w:r>
      <w:r w:rsidRPr="00726C77">
        <w:rPr>
          <w:rStyle w:val="Emphasis"/>
          <w:highlight w:val="green"/>
        </w:rPr>
        <w:t>means of achieving</w:t>
      </w:r>
      <w:r w:rsidRPr="00CF4094">
        <w:rPr>
          <w:u w:val="single"/>
        </w:rPr>
        <w:t xml:space="preserve"> the specific </w:t>
      </w:r>
      <w:r w:rsidRPr="00726C77">
        <w:rPr>
          <w:rStyle w:val="Emphasis"/>
        </w:rPr>
        <w:t>targets of the new international programme</w:t>
      </w:r>
      <w:r w:rsidRPr="00CF4094">
        <w:rPr>
          <w:u w:val="single"/>
        </w:rPr>
        <w:t xml:space="preserve"> of </w:t>
      </w:r>
      <w:r w:rsidRPr="00726C77">
        <w:rPr>
          <w:rStyle w:val="Emphasis"/>
          <w:sz w:val="24"/>
          <w:szCs w:val="24"/>
          <w:highlight w:val="green"/>
        </w:rPr>
        <w:t>sustainable development</w:t>
      </w:r>
      <w:r w:rsidRPr="00CF4094">
        <w:rPr>
          <w:sz w:val="16"/>
        </w:rPr>
        <w:t xml:space="preserve">. At the United Nations General Assembly in September 2015, </w:t>
      </w:r>
      <w:r w:rsidRPr="00726C77">
        <w:rPr>
          <w:rStyle w:val="Emphasis"/>
          <w:highlight w:val="green"/>
        </w:rPr>
        <w:t>decent</w:t>
      </w:r>
      <w:r w:rsidRPr="00CF4094">
        <w:rPr>
          <w:highlight w:val="green"/>
          <w:u w:val="single"/>
        </w:rPr>
        <w:t xml:space="preserve"> work</w:t>
      </w:r>
      <w:r w:rsidRPr="00CF4094">
        <w:rPr>
          <w:u w:val="single"/>
        </w:rPr>
        <w:t xml:space="preserve"> and the </w:t>
      </w:r>
      <w:r w:rsidRPr="00726C77">
        <w:rPr>
          <w:rStyle w:val="Emphasis"/>
        </w:rPr>
        <w:t>four pillars of the Decent Work Agenda</w:t>
      </w:r>
      <w:r w:rsidRPr="00CF4094">
        <w:rPr>
          <w:u w:val="single"/>
        </w:rPr>
        <w:t xml:space="preserve"> – </w:t>
      </w:r>
      <w:r w:rsidRPr="00726C77">
        <w:rPr>
          <w:rStyle w:val="Emphasis"/>
        </w:rPr>
        <w:t>employment creation</w:t>
      </w:r>
      <w:r w:rsidRPr="00CF4094">
        <w:rPr>
          <w:u w:val="single"/>
        </w:rPr>
        <w:t xml:space="preserve">, </w:t>
      </w:r>
      <w:r w:rsidRPr="00726C77">
        <w:rPr>
          <w:rStyle w:val="Emphasis"/>
        </w:rPr>
        <w:t>social protection</w:t>
      </w:r>
      <w:r w:rsidRPr="00CF4094">
        <w:rPr>
          <w:u w:val="single"/>
        </w:rPr>
        <w:t xml:space="preserve">, </w:t>
      </w:r>
      <w:r w:rsidRPr="00726C77">
        <w:rPr>
          <w:rStyle w:val="Emphasis"/>
        </w:rPr>
        <w:t>rights at work</w:t>
      </w:r>
      <w:r w:rsidRPr="00CF4094">
        <w:rPr>
          <w:u w:val="single"/>
        </w:rPr>
        <w:t xml:space="preserve"> and </w:t>
      </w:r>
      <w:r w:rsidRPr="00726C77">
        <w:rPr>
          <w:rStyle w:val="Emphasis"/>
        </w:rPr>
        <w:t>social dialogue</w:t>
      </w:r>
      <w:r w:rsidRPr="00CF4094">
        <w:rPr>
          <w:u w:val="single"/>
        </w:rPr>
        <w:t xml:space="preserve"> – </w:t>
      </w:r>
      <w:r w:rsidRPr="00CF4094">
        <w:rPr>
          <w:highlight w:val="green"/>
          <w:u w:val="single"/>
        </w:rPr>
        <w:t>became</w:t>
      </w:r>
      <w:r w:rsidRPr="00CF4094">
        <w:rPr>
          <w:u w:val="single"/>
        </w:rPr>
        <w:t xml:space="preserve"> the </w:t>
      </w:r>
      <w:r w:rsidRPr="00726C77">
        <w:rPr>
          <w:rStyle w:val="Emphasis"/>
          <w:highlight w:val="green"/>
        </w:rPr>
        <w:t>central</w:t>
      </w:r>
      <w:r w:rsidRPr="00726C77">
        <w:rPr>
          <w:rStyle w:val="Emphasis"/>
        </w:rPr>
        <w:t xml:space="preserve"> elements </w:t>
      </w:r>
      <w:r w:rsidRPr="00726C77">
        <w:rPr>
          <w:rStyle w:val="Emphasis"/>
          <w:highlight w:val="green"/>
        </w:rPr>
        <w:t xml:space="preserve">of the new </w:t>
      </w:r>
      <w:r w:rsidRPr="00726C77">
        <w:rPr>
          <w:rStyle w:val="Emphasis"/>
          <w:sz w:val="24"/>
          <w:szCs w:val="24"/>
          <w:highlight w:val="green"/>
        </w:rPr>
        <w:t>Sustainable Development Agenda</w:t>
      </w:r>
      <w:r w:rsidRPr="00726C77">
        <w:rPr>
          <w:sz w:val="24"/>
          <w:szCs w:val="24"/>
          <w:u w:val="single"/>
        </w:rPr>
        <w:t xml:space="preserve"> </w:t>
      </w:r>
      <w:r w:rsidRPr="00CF4094">
        <w:rPr>
          <w:u w:val="single"/>
        </w:rPr>
        <w:t>2030</w:t>
      </w:r>
      <w:r w:rsidRPr="00CF4094">
        <w:rPr>
          <w:sz w:val="16"/>
        </w:rPr>
        <w:t xml:space="preserve"> . Goal 8 of the 2030 Agenda </w:t>
      </w:r>
      <w:r w:rsidRPr="00CF4094">
        <w:rPr>
          <w:u w:val="single"/>
        </w:rPr>
        <w:t xml:space="preserve">calls for the </w:t>
      </w:r>
      <w:r w:rsidRPr="00726C77">
        <w:rPr>
          <w:rStyle w:val="Emphasis"/>
        </w:rPr>
        <w:t>promotion of sustained, inclusive and sustainable economic growth</w:t>
      </w:r>
      <w:r w:rsidRPr="00CF4094">
        <w:rPr>
          <w:sz w:val="16"/>
        </w:rPr>
        <w:t xml:space="preserve">, </w:t>
      </w:r>
      <w:r w:rsidRPr="00CF4094">
        <w:rPr>
          <w:u w:val="single"/>
        </w:rPr>
        <w:t>full and productive employment and decent work for all</w:t>
      </w:r>
      <w:r w:rsidRPr="00CF4094">
        <w:rPr>
          <w:sz w:val="16"/>
        </w:rPr>
        <w:t xml:space="preserve">. Moreover, </w:t>
      </w:r>
      <w:r w:rsidRPr="00CF4094">
        <w:rPr>
          <w:u w:val="single"/>
        </w:rPr>
        <w:t>the principal elements of decent work are broadly incorporated into the targets of a large number of the 16 Goals of the United Nations new vision of development.</w:t>
      </w:r>
      <w:r w:rsidRPr="00CF4094">
        <w:rPr>
          <w:sz w:val="16"/>
        </w:rPr>
        <w:t xml:space="preserve"> An </w:t>
      </w:r>
      <w:r w:rsidRPr="00CF4094">
        <w:rPr>
          <w:u w:val="single"/>
        </w:rPr>
        <w:t xml:space="preserve">international legal framework for fair and stable globalization </w:t>
      </w:r>
      <w:r w:rsidRPr="00CF4094">
        <w:rPr>
          <w:highlight w:val="green"/>
          <w:u w:val="single"/>
        </w:rPr>
        <w:t>Achieving</w:t>
      </w:r>
      <w:r w:rsidRPr="00CF4094">
        <w:rPr>
          <w:u w:val="single"/>
        </w:rPr>
        <w:t xml:space="preserve"> the goal of </w:t>
      </w:r>
      <w:r w:rsidRPr="00CF4094">
        <w:rPr>
          <w:highlight w:val="green"/>
          <w:u w:val="single"/>
        </w:rPr>
        <w:t>decent work</w:t>
      </w:r>
      <w:r w:rsidRPr="00CF4094">
        <w:rPr>
          <w:u w:val="single"/>
        </w:rPr>
        <w:t xml:space="preserve"> in the globalized economy </w:t>
      </w:r>
      <w:r w:rsidRPr="00726C77">
        <w:rPr>
          <w:rStyle w:val="Emphasis"/>
          <w:highlight w:val="green"/>
        </w:rPr>
        <w:t>requires action</w:t>
      </w:r>
      <w:r w:rsidRPr="00726C77">
        <w:rPr>
          <w:rStyle w:val="Emphasis"/>
        </w:rPr>
        <w:t xml:space="preserve"> at the international level</w:t>
      </w:r>
      <w:r w:rsidRPr="00CF4094">
        <w:rPr>
          <w:u w:val="single"/>
        </w:rPr>
        <w:t>. The world community is responding to this challenge in part by developing international legal instruments</w:t>
      </w:r>
      <w:r w:rsidRPr="00CF4094">
        <w:rPr>
          <w:sz w:val="16"/>
        </w:rPr>
        <w:t xml:space="preserve"> on trade, finance, the environment, human rights and labour. </w:t>
      </w:r>
      <w:r w:rsidRPr="00CF4094">
        <w:rPr>
          <w:highlight w:val="green"/>
          <w:u w:val="single"/>
        </w:rPr>
        <w:t>The ILO</w:t>
      </w:r>
      <w:r w:rsidRPr="00CF4094">
        <w:rPr>
          <w:u w:val="single"/>
        </w:rPr>
        <w:t xml:space="preserve"> contributes to this legal framework by elaborating and </w:t>
      </w:r>
      <w:r w:rsidRPr="00CF4094">
        <w:rPr>
          <w:highlight w:val="green"/>
          <w:u w:val="single"/>
        </w:rPr>
        <w:t>promot</w:t>
      </w:r>
      <w:r w:rsidRPr="00CF4094">
        <w:rPr>
          <w:u w:val="single"/>
        </w:rPr>
        <w:t xml:space="preserve">ing </w:t>
      </w:r>
      <w:r w:rsidRPr="00726C77">
        <w:rPr>
          <w:rStyle w:val="Emphasis"/>
          <w:highlight w:val="green"/>
        </w:rPr>
        <w:t>international labour standards</w:t>
      </w:r>
      <w:r w:rsidRPr="00CF4094">
        <w:rPr>
          <w:highlight w:val="green"/>
          <w:u w:val="single"/>
        </w:rPr>
        <w:t xml:space="preserve"> aimed at</w:t>
      </w:r>
      <w:r w:rsidRPr="00CF4094">
        <w:rPr>
          <w:u w:val="single"/>
        </w:rPr>
        <w:t xml:space="preserve"> making sure that </w:t>
      </w:r>
      <w:r w:rsidRPr="00726C77">
        <w:rPr>
          <w:rStyle w:val="Emphasis"/>
        </w:rPr>
        <w:t xml:space="preserve">economic </w:t>
      </w:r>
      <w:r w:rsidRPr="00726C77">
        <w:rPr>
          <w:rStyle w:val="Emphasis"/>
          <w:highlight w:val="green"/>
        </w:rPr>
        <w:t>growth and development</w:t>
      </w:r>
      <w:r w:rsidRPr="00CF4094">
        <w:rPr>
          <w:u w:val="single"/>
        </w:rPr>
        <w:t xml:space="preserve"> go </w:t>
      </w:r>
      <w:r w:rsidRPr="00726C77">
        <w:rPr>
          <w:rStyle w:val="Emphasis"/>
        </w:rPr>
        <w:t>hand-in-hand with the creation of decent work</w:t>
      </w:r>
      <w:r w:rsidRPr="00CF4094">
        <w:rPr>
          <w:u w:val="single"/>
        </w:rPr>
        <w:t xml:space="preserve">. The </w:t>
      </w:r>
      <w:r w:rsidRPr="00726C77">
        <w:rPr>
          <w:rStyle w:val="Emphasis"/>
        </w:rPr>
        <w:t>ILO’s unique tripartite structure</w:t>
      </w:r>
      <w:r w:rsidRPr="00CF4094">
        <w:rPr>
          <w:u w:val="single"/>
        </w:rPr>
        <w:t xml:space="preserve"> ensures that these </w:t>
      </w:r>
      <w:r w:rsidRPr="00726C77">
        <w:rPr>
          <w:rStyle w:val="Emphasis"/>
        </w:rPr>
        <w:t>standards are backed</w:t>
      </w:r>
      <w:r w:rsidRPr="00CF4094">
        <w:rPr>
          <w:rStyle w:val="StyleUnderline"/>
          <w:sz w:val="16"/>
        </w:rPr>
        <w:t xml:space="preserve"> by governments, employers and workers alike. </w:t>
      </w:r>
      <w:r w:rsidRPr="00CF4094">
        <w:rPr>
          <w:u w:val="single"/>
        </w:rPr>
        <w:t xml:space="preserve">International labour standards therefore lay down the basic </w:t>
      </w:r>
      <w:r w:rsidRPr="00726C77">
        <w:rPr>
          <w:rStyle w:val="Emphasis"/>
        </w:rPr>
        <w:t>minimum social standards agreed upon by all the players</w:t>
      </w:r>
      <w:r w:rsidRPr="00CF4094">
        <w:rPr>
          <w:rStyle w:val="StyleUnderline"/>
          <w:sz w:val="16"/>
        </w:rPr>
        <w:t xml:space="preserve"> in the global economy</w:t>
      </w:r>
      <w:r w:rsidRPr="00CF4094">
        <w:rPr>
          <w:sz w:val="16"/>
        </w:rPr>
        <w:t xml:space="preserve">. A level playing field An </w:t>
      </w:r>
      <w:r w:rsidRPr="00CF4094">
        <w:rPr>
          <w:u w:val="single"/>
        </w:rPr>
        <w:t xml:space="preserve">international legal framework on </w:t>
      </w:r>
      <w:r w:rsidRPr="00726C77">
        <w:rPr>
          <w:rStyle w:val="Emphasis"/>
        </w:rPr>
        <w:t>social standards ensures a level playing field in the global economy</w:t>
      </w:r>
      <w:r w:rsidRPr="00CF4094">
        <w:rPr>
          <w:u w:val="single"/>
        </w:rPr>
        <w:t xml:space="preserve">. It </w:t>
      </w:r>
      <w:r w:rsidRPr="00CF4094">
        <w:rPr>
          <w:highlight w:val="green"/>
          <w:u w:val="single"/>
        </w:rPr>
        <w:t xml:space="preserve">helps </w:t>
      </w:r>
      <w:r w:rsidRPr="00726C77">
        <w:rPr>
          <w:rStyle w:val="Emphasis"/>
          <w:highlight w:val="green"/>
        </w:rPr>
        <w:t>governments</w:t>
      </w:r>
      <w:r w:rsidRPr="00CF4094">
        <w:rPr>
          <w:u w:val="single"/>
        </w:rPr>
        <w:t xml:space="preserve"> and </w:t>
      </w:r>
      <w:r w:rsidRPr="00726C77">
        <w:rPr>
          <w:rStyle w:val="Emphasis"/>
        </w:rPr>
        <w:t>employers</w:t>
      </w:r>
      <w:r w:rsidRPr="00CF4094">
        <w:rPr>
          <w:u w:val="single"/>
        </w:rPr>
        <w:t xml:space="preserve"> to </w:t>
      </w:r>
      <w:r w:rsidRPr="00CF4094">
        <w:rPr>
          <w:highlight w:val="green"/>
          <w:u w:val="single"/>
        </w:rPr>
        <w:t>avoid</w:t>
      </w:r>
      <w:r w:rsidRPr="00CF4094">
        <w:rPr>
          <w:u w:val="single"/>
        </w:rPr>
        <w:t xml:space="preserve"> the </w:t>
      </w:r>
      <w:r w:rsidRPr="00726C77">
        <w:rPr>
          <w:rStyle w:val="Emphasis"/>
        </w:rPr>
        <w:t>temptation</w:t>
      </w:r>
      <w:r w:rsidRPr="00CF4094">
        <w:rPr>
          <w:u w:val="single"/>
        </w:rPr>
        <w:t xml:space="preserve"> of </w:t>
      </w:r>
      <w:r w:rsidRPr="00CF4094">
        <w:rPr>
          <w:highlight w:val="green"/>
          <w:u w:val="single"/>
        </w:rPr>
        <w:t xml:space="preserve">lowering </w:t>
      </w:r>
      <w:r w:rsidRPr="00726C77">
        <w:rPr>
          <w:rStyle w:val="Emphasis"/>
          <w:highlight w:val="green"/>
        </w:rPr>
        <w:t>labour standards in the hope</w:t>
      </w:r>
      <w:r w:rsidRPr="00726C77">
        <w:rPr>
          <w:rStyle w:val="Emphasis"/>
        </w:rPr>
        <w:t xml:space="preserve"> that </w:t>
      </w:r>
      <w:r w:rsidRPr="00726C77">
        <w:rPr>
          <w:rStyle w:val="Emphasis"/>
          <w:highlight w:val="green"/>
        </w:rPr>
        <w:t>this could give them a</w:t>
      </w:r>
      <w:r w:rsidRPr="00726C77">
        <w:rPr>
          <w:rStyle w:val="Emphasis"/>
        </w:rPr>
        <w:t xml:space="preserve"> greater comparative </w:t>
      </w:r>
      <w:r w:rsidRPr="00726C77">
        <w:rPr>
          <w:rStyle w:val="Emphasis"/>
          <w:highlight w:val="green"/>
        </w:rPr>
        <w:t>advantage</w:t>
      </w:r>
      <w:r w:rsidRPr="00CF4094">
        <w:rPr>
          <w:sz w:val="16"/>
        </w:rPr>
        <w:t xml:space="preserve"> in inter- national trade. In the long run, such practices do not benefit anyone. </w:t>
      </w:r>
      <w:r w:rsidRPr="00CF4094">
        <w:rPr>
          <w:u w:val="single"/>
        </w:rPr>
        <w:t xml:space="preserve">Lowering labour standards can </w:t>
      </w:r>
      <w:r w:rsidRPr="00726C77">
        <w:rPr>
          <w:rStyle w:val="Emphasis"/>
        </w:rPr>
        <w:t>encourage the spread of low-wage</w:t>
      </w:r>
      <w:r w:rsidRPr="00CF4094">
        <w:rPr>
          <w:u w:val="single"/>
        </w:rPr>
        <w:t>, low-skill and high-</w:t>
      </w:r>
      <w:r w:rsidRPr="00726C77">
        <w:rPr>
          <w:rStyle w:val="Emphasis"/>
        </w:rPr>
        <w:t>turnover industries</w:t>
      </w:r>
      <w:r w:rsidRPr="00CF4094">
        <w:rPr>
          <w:u w:val="single"/>
        </w:rPr>
        <w:t xml:space="preserve"> and prevent a country from developing more stable high</w:t>
      </w:r>
      <w:r w:rsidRPr="00726C77">
        <w:rPr>
          <w:rStyle w:val="Emphasis"/>
        </w:rPr>
        <w:t>-skilled employment</w:t>
      </w:r>
      <w:r w:rsidRPr="00CF4094">
        <w:rPr>
          <w:u w:val="single"/>
        </w:rPr>
        <w:t>, while</w:t>
      </w:r>
      <w:r w:rsidRPr="00CF4094">
        <w:rPr>
          <w:rStyle w:val="StyleUnderline"/>
          <w:sz w:val="16"/>
        </w:rPr>
        <w:t xml:space="preserve"> at the same time </w:t>
      </w:r>
      <w:r w:rsidRPr="00CF4094">
        <w:rPr>
          <w:u w:val="single"/>
        </w:rPr>
        <w:t>slowing the economic growth of trade partners</w:t>
      </w:r>
      <w:r w:rsidRPr="00CF4094">
        <w:rPr>
          <w:rStyle w:val="StyleUnderline"/>
          <w:sz w:val="16"/>
        </w:rPr>
        <w:t>.</w:t>
      </w:r>
      <w:r w:rsidRPr="00CF4094">
        <w:rPr>
          <w:sz w:val="16"/>
        </w:rPr>
        <w:t xml:space="preserve"> Because </w:t>
      </w:r>
      <w:r w:rsidRPr="00726C77">
        <w:rPr>
          <w:highlight w:val="green"/>
          <w:u w:val="single"/>
        </w:rPr>
        <w:t xml:space="preserve">international labour standards are </w:t>
      </w:r>
      <w:r w:rsidRPr="00726C77">
        <w:rPr>
          <w:rStyle w:val="Emphasis"/>
          <w:highlight w:val="green"/>
        </w:rPr>
        <w:t>minimum standards</w:t>
      </w:r>
      <w:r w:rsidRPr="00726C77">
        <w:rPr>
          <w:highlight w:val="green"/>
          <w:u w:val="single"/>
        </w:rPr>
        <w:t xml:space="preserve"> adopted</w:t>
      </w:r>
      <w:r w:rsidRPr="00CF4094">
        <w:rPr>
          <w:u w:val="single"/>
        </w:rPr>
        <w:t xml:space="preserve"> by governments and the social partners, it is in everyone’s interest to </w:t>
      </w:r>
      <w:r w:rsidRPr="00726C77">
        <w:rPr>
          <w:rStyle w:val="Emphasis"/>
        </w:rPr>
        <w:t xml:space="preserve">see these rules applied </w:t>
      </w:r>
      <w:r w:rsidRPr="00726C77">
        <w:rPr>
          <w:rStyle w:val="Emphasis"/>
          <w:highlight w:val="green"/>
        </w:rPr>
        <w:t>across the board</w:t>
      </w:r>
      <w:r w:rsidRPr="00726C77">
        <w:rPr>
          <w:u w:val="single"/>
        </w:rPr>
        <w:t>, so</w:t>
      </w:r>
      <w:r w:rsidRPr="00CF4094">
        <w:rPr>
          <w:u w:val="single"/>
        </w:rPr>
        <w:t xml:space="preserve"> that </w:t>
      </w:r>
      <w:r w:rsidRPr="00726C77">
        <w:rPr>
          <w:u w:val="single"/>
        </w:rPr>
        <w:t>those who do not</w:t>
      </w:r>
      <w:r w:rsidRPr="00CF4094">
        <w:rPr>
          <w:u w:val="single"/>
        </w:rPr>
        <w:t xml:space="preserve"> put them into </w:t>
      </w:r>
      <w:r w:rsidRPr="00726C77">
        <w:rPr>
          <w:rStyle w:val="Emphasis"/>
        </w:rPr>
        <w:t>practice do not undermine the efforts of those who do</w:t>
      </w:r>
      <w:r w:rsidRPr="00CF4094">
        <w:rPr>
          <w:rStyle w:val="StyleUnderline"/>
          <w:sz w:val="16"/>
        </w:rPr>
        <w:t>.</w:t>
      </w:r>
      <w:r w:rsidRPr="00CF4094">
        <w:rPr>
          <w:sz w:val="16"/>
        </w:rPr>
        <w:t xml:space="preserve"> A means of improving economic performance </w:t>
      </w:r>
      <w:r w:rsidRPr="00CF4094">
        <w:rPr>
          <w:u w:val="single"/>
        </w:rPr>
        <w:t>International labour standards have been sometimes perceived as being costly and therefore hindering economic development</w:t>
      </w:r>
      <w:r w:rsidRPr="00CF4094">
        <w:rPr>
          <w:sz w:val="16"/>
        </w:rPr>
        <w:t xml:space="preserve">. However, a growing body of </w:t>
      </w:r>
      <w:r w:rsidRPr="00CF4094">
        <w:rPr>
          <w:u w:val="single"/>
        </w:rPr>
        <w:t xml:space="preserve">research has indicated that compliance with </w:t>
      </w:r>
      <w:r w:rsidRPr="00CF4094">
        <w:rPr>
          <w:highlight w:val="green"/>
          <w:u w:val="single"/>
        </w:rPr>
        <w:t>international labour standards is</w:t>
      </w:r>
      <w:r w:rsidRPr="00CF4094">
        <w:rPr>
          <w:u w:val="single"/>
        </w:rPr>
        <w:t xml:space="preserve"> often </w:t>
      </w:r>
      <w:r w:rsidRPr="00726C77">
        <w:rPr>
          <w:rStyle w:val="Emphasis"/>
          <w:highlight w:val="green"/>
        </w:rPr>
        <w:t xml:space="preserve">accompanied by </w:t>
      </w:r>
      <w:r w:rsidRPr="00726C77">
        <w:rPr>
          <w:rStyle w:val="Emphasis"/>
        </w:rPr>
        <w:t xml:space="preserve">improvements in </w:t>
      </w:r>
      <w:r w:rsidRPr="00726C77">
        <w:rPr>
          <w:rStyle w:val="Emphasis"/>
          <w:highlight w:val="green"/>
        </w:rPr>
        <w:t xml:space="preserve">productivity </w:t>
      </w:r>
      <w:r w:rsidRPr="00726C77">
        <w:rPr>
          <w:rStyle w:val="Emphasis"/>
        </w:rPr>
        <w:lastRenderedPageBreak/>
        <w:t>and economic performance</w:t>
      </w:r>
      <w:r w:rsidRPr="00CF4094">
        <w:rPr>
          <w:rStyle w:val="StyleUnderline"/>
          <w:sz w:val="16"/>
        </w:rPr>
        <w:t>.</w:t>
      </w:r>
      <w:r w:rsidRPr="00CF4094">
        <w:rPr>
          <w:sz w:val="16"/>
        </w:rPr>
        <w:t xml:space="preserve"> Minimum wage and working-time standards, and </w:t>
      </w:r>
      <w:r w:rsidRPr="00CF4094">
        <w:rPr>
          <w:u w:val="single"/>
        </w:rPr>
        <w:t xml:space="preserve">respect for </w:t>
      </w:r>
      <w:r w:rsidRPr="00CF4094">
        <w:rPr>
          <w:highlight w:val="green"/>
          <w:u w:val="single"/>
        </w:rPr>
        <w:t>equality</w:t>
      </w:r>
      <w:r w:rsidRPr="00CF4094">
        <w:rPr>
          <w:u w:val="single"/>
        </w:rPr>
        <w:t xml:space="preserve">, can </w:t>
      </w:r>
      <w:r w:rsidRPr="00726C77">
        <w:rPr>
          <w:rStyle w:val="Emphasis"/>
          <w:highlight w:val="green"/>
        </w:rPr>
        <w:t>translate</w:t>
      </w:r>
      <w:r w:rsidRPr="00CF4094">
        <w:rPr>
          <w:highlight w:val="green"/>
          <w:u w:val="single"/>
        </w:rPr>
        <w:t xml:space="preserve"> into</w:t>
      </w:r>
      <w:r w:rsidRPr="00CF4094">
        <w:rPr>
          <w:u w:val="single"/>
        </w:rPr>
        <w:t xml:space="preserve"> greater satisfaction and </w:t>
      </w:r>
      <w:r w:rsidRPr="00726C77">
        <w:rPr>
          <w:rStyle w:val="Emphasis"/>
          <w:highlight w:val="green"/>
        </w:rPr>
        <w:t>improved performance</w:t>
      </w:r>
      <w:r w:rsidRPr="00CF4094">
        <w:rPr>
          <w:u w:val="single"/>
        </w:rPr>
        <w:t xml:space="preserve"> for workers and reduced staff turnover</w:t>
      </w:r>
      <w:r w:rsidRPr="00CF4094">
        <w:rPr>
          <w:sz w:val="16"/>
        </w:rPr>
        <w:t xml:space="preserve">. Investment in vocational training can result in a better trained workforce and higher employment levels. Safety </w:t>
      </w:r>
      <w:r w:rsidRPr="00CF4094">
        <w:rPr>
          <w:u w:val="single"/>
        </w:rPr>
        <w:t xml:space="preserve">standards can reduce costly accidents and expenditure on health care. Employment protection can encourage workers to take risks and to innovate. </w:t>
      </w:r>
      <w:r w:rsidRPr="00CF4094">
        <w:rPr>
          <w:highlight w:val="green"/>
          <w:u w:val="single"/>
        </w:rPr>
        <w:t xml:space="preserve">Social </w:t>
      </w:r>
      <w:r w:rsidRPr="00726C77">
        <w:rPr>
          <w:rStyle w:val="Emphasis"/>
          <w:highlight w:val="green"/>
        </w:rPr>
        <w:t>protection</w:t>
      </w:r>
      <w:r w:rsidRPr="00CF4094">
        <w:rPr>
          <w:sz w:val="16"/>
        </w:rPr>
        <w:t xml:space="preserve">, such as unemployment schemes, </w:t>
      </w:r>
      <w:r w:rsidRPr="00CF4094">
        <w:rPr>
          <w:u w:val="single"/>
        </w:rPr>
        <w:t xml:space="preserve">and active labour market policies can </w:t>
      </w:r>
      <w:r w:rsidRPr="00726C77">
        <w:rPr>
          <w:rStyle w:val="Emphasis"/>
          <w:highlight w:val="green"/>
        </w:rPr>
        <w:t>facilitate</w:t>
      </w:r>
      <w:r w:rsidRPr="00726C77">
        <w:rPr>
          <w:rStyle w:val="Emphasis"/>
        </w:rPr>
        <w:t xml:space="preserve"> labour market flexibility, and make economic </w:t>
      </w:r>
      <w:r w:rsidRPr="00726C77">
        <w:rPr>
          <w:rStyle w:val="Emphasis"/>
          <w:highlight w:val="green"/>
        </w:rPr>
        <w:t>liberalization and privatization</w:t>
      </w:r>
      <w:r w:rsidRPr="00726C77">
        <w:rPr>
          <w:rStyle w:val="Emphasis"/>
        </w:rPr>
        <w:t xml:space="preserve"> sustainable</w:t>
      </w:r>
      <w:r w:rsidRPr="00CF4094">
        <w:rPr>
          <w:u w:val="single"/>
        </w:rPr>
        <w:t xml:space="preserve"> and more acceptable</w:t>
      </w:r>
      <w:r w:rsidRPr="00CF4094">
        <w:rPr>
          <w:sz w:val="16"/>
        </w:rPr>
        <w:t xml:space="preserve"> to the public. </w:t>
      </w:r>
      <w:r w:rsidRPr="00CF4094">
        <w:rPr>
          <w:highlight w:val="green"/>
          <w:u w:val="single"/>
        </w:rPr>
        <w:t>Freedom of association and collective bargaining</w:t>
      </w:r>
      <w:r w:rsidRPr="00CF4094">
        <w:rPr>
          <w:u w:val="single"/>
        </w:rPr>
        <w:t xml:space="preserve"> can </w:t>
      </w:r>
      <w:r w:rsidRPr="00CF4094">
        <w:rPr>
          <w:highlight w:val="green"/>
          <w:u w:val="single"/>
        </w:rPr>
        <w:t>lead to better labour</w:t>
      </w:r>
      <w:r w:rsidRPr="00CF4094">
        <w:rPr>
          <w:u w:val="single"/>
        </w:rPr>
        <w:t>–management consultation and cooperation, thereby improving working conditions</w:t>
      </w:r>
      <w:r w:rsidRPr="00CF4094">
        <w:rPr>
          <w:sz w:val="16"/>
        </w:rPr>
        <w:t xml:space="preserve">, reducing the number of costly labour conflicts and enhancing social stability. </w:t>
      </w:r>
      <w:r w:rsidRPr="00CF4094">
        <w:rPr>
          <w:u w:val="single"/>
        </w:rPr>
        <w:t xml:space="preserve">The </w:t>
      </w:r>
      <w:r w:rsidRPr="00726C77">
        <w:rPr>
          <w:rStyle w:val="Emphasis"/>
        </w:rPr>
        <w:t xml:space="preserve">beneficial </w:t>
      </w:r>
      <w:r w:rsidRPr="00726C77">
        <w:rPr>
          <w:rStyle w:val="Emphasis"/>
          <w:highlight w:val="green"/>
        </w:rPr>
        <w:t>effects</w:t>
      </w:r>
      <w:r w:rsidRPr="00CF4094">
        <w:rPr>
          <w:u w:val="single"/>
        </w:rPr>
        <w:t xml:space="preserve"> of </w:t>
      </w:r>
      <w:r w:rsidRPr="00726C77">
        <w:rPr>
          <w:rStyle w:val="Emphasis"/>
        </w:rPr>
        <w:t>labour standards</w:t>
      </w:r>
      <w:r w:rsidRPr="00CF4094">
        <w:rPr>
          <w:u w:val="single"/>
        </w:rPr>
        <w:t xml:space="preserve"> do </w:t>
      </w:r>
      <w:r w:rsidRPr="00CF4094">
        <w:rPr>
          <w:highlight w:val="green"/>
          <w:u w:val="single"/>
        </w:rPr>
        <w:t>not</w:t>
      </w:r>
      <w:r w:rsidRPr="00CF4094">
        <w:rPr>
          <w:u w:val="single"/>
        </w:rPr>
        <w:t xml:space="preserve"> go </w:t>
      </w:r>
      <w:r w:rsidRPr="00726C77">
        <w:rPr>
          <w:rStyle w:val="Emphasis"/>
          <w:highlight w:val="green"/>
        </w:rPr>
        <w:t>unnoticed by foreign investors</w:t>
      </w:r>
      <w:r w:rsidRPr="00CF4094">
        <w:rPr>
          <w:sz w:val="16"/>
        </w:rPr>
        <w:t xml:space="preserve">. Studies have shown that </w:t>
      </w:r>
      <w:r w:rsidRPr="00CF4094">
        <w:rPr>
          <w:u w:val="single"/>
        </w:rPr>
        <w:t xml:space="preserve">in their criteria for </w:t>
      </w:r>
      <w:r w:rsidRPr="00726C77">
        <w:rPr>
          <w:rStyle w:val="Emphasis"/>
        </w:rPr>
        <w:t>choosing countries in which to invest</w:t>
      </w:r>
      <w:r w:rsidRPr="00CF4094">
        <w:rPr>
          <w:u w:val="single"/>
        </w:rPr>
        <w:t xml:space="preserve">, foreign investors </w:t>
      </w:r>
      <w:r w:rsidRPr="00726C77">
        <w:rPr>
          <w:rStyle w:val="Emphasis"/>
        </w:rPr>
        <w:t>rank workforce quality</w:t>
      </w:r>
      <w:r w:rsidRPr="00CF4094">
        <w:rPr>
          <w:u w:val="single"/>
        </w:rPr>
        <w:t xml:space="preserve"> and </w:t>
      </w:r>
      <w:r w:rsidRPr="00726C77">
        <w:rPr>
          <w:rStyle w:val="Emphasis"/>
        </w:rPr>
        <w:t>political</w:t>
      </w:r>
      <w:r w:rsidRPr="00CF4094">
        <w:rPr>
          <w:u w:val="single"/>
        </w:rPr>
        <w:t xml:space="preserve"> and </w:t>
      </w:r>
      <w:r w:rsidRPr="00726C77">
        <w:rPr>
          <w:rStyle w:val="Emphasis"/>
        </w:rPr>
        <w:t>social stability</w:t>
      </w:r>
      <w:r w:rsidRPr="00CF4094">
        <w:rPr>
          <w:u w:val="single"/>
        </w:rPr>
        <w:t xml:space="preserve"> above </w:t>
      </w:r>
      <w:r w:rsidRPr="00726C77">
        <w:rPr>
          <w:rStyle w:val="Emphasis"/>
        </w:rPr>
        <w:t>low labour</w:t>
      </w:r>
      <w:r w:rsidRPr="00CF4094">
        <w:rPr>
          <w:u w:val="single"/>
        </w:rPr>
        <w:t xml:space="preserve"> </w:t>
      </w:r>
      <w:r w:rsidRPr="00726C77">
        <w:rPr>
          <w:rStyle w:val="Emphasis"/>
        </w:rPr>
        <w:t>costs</w:t>
      </w:r>
      <w:r w:rsidRPr="00CF4094">
        <w:rPr>
          <w:sz w:val="16"/>
        </w:rPr>
        <w:t xml:space="preserve">. At the same time, </w:t>
      </w:r>
      <w:r w:rsidRPr="00CF4094">
        <w:rPr>
          <w:u w:val="single"/>
        </w:rPr>
        <w:t xml:space="preserve">there is little evidence that </w:t>
      </w:r>
      <w:r w:rsidRPr="00726C77">
        <w:rPr>
          <w:rStyle w:val="Emphasis"/>
        </w:rPr>
        <w:t>countries which do not respect labour standards</w:t>
      </w:r>
      <w:r w:rsidRPr="00CF4094">
        <w:rPr>
          <w:u w:val="single"/>
        </w:rPr>
        <w:t xml:space="preserve"> are </w:t>
      </w:r>
      <w:r w:rsidRPr="00726C77">
        <w:rPr>
          <w:rStyle w:val="Emphasis"/>
        </w:rPr>
        <w:t>more competitive in the global economy</w:t>
      </w:r>
      <w:r w:rsidRPr="00CF4094">
        <w:rPr>
          <w:u w:val="single"/>
        </w:rPr>
        <w:t>. International labour standards not only respond to changes in the world of work for the protection of workers, but also take into account the needs of sustainable enterprises</w:t>
      </w:r>
      <w:r w:rsidRPr="00CF4094">
        <w:rPr>
          <w:rStyle w:val="StyleUnderline"/>
          <w:sz w:val="16"/>
        </w:rPr>
        <w:t>.</w:t>
      </w:r>
      <w:r w:rsidRPr="00CF4094">
        <w:rPr>
          <w:sz w:val="16"/>
        </w:rPr>
        <w:t xml:space="preserve"> A safety net in times of economic crisis Even fast-growing economies with high-skilled workers can experience unforeseen economic downturns. The Asian financial crisis of 1997, the 2000 dot-com bubble burst and the 2008 financial and economic crisis showed how decades of economic growth can be undone by dramatic currency devaluations or falling market prices. For instance, during the 1997 Asian crisis, as well as the 2008 crisis, unemployment increased significantly in many of the countries affected. The disastrous effects of these crises on workers were compounded by the fact that in many of these countries social protection systems, notably unemployment and health insurance, active labour market policies and social dialogue were barely developed. The adoption of an approach that balances macroeconomic and employment goals, while at the same time taking social impacts into account, can help to address these challenges. A strategy for reducing poverty </w:t>
      </w:r>
      <w:r w:rsidRPr="00CF4094">
        <w:rPr>
          <w:u w:val="single"/>
        </w:rPr>
        <w:t xml:space="preserve">Economic </w:t>
      </w:r>
      <w:r w:rsidRPr="00CF4094">
        <w:rPr>
          <w:highlight w:val="green"/>
          <w:u w:val="single"/>
        </w:rPr>
        <w:t>development</w:t>
      </w:r>
      <w:r w:rsidRPr="00CF4094">
        <w:rPr>
          <w:u w:val="single"/>
        </w:rPr>
        <w:t xml:space="preserve"> has </w:t>
      </w:r>
      <w:r w:rsidRPr="00CF4094">
        <w:rPr>
          <w:highlight w:val="green"/>
          <w:u w:val="single"/>
        </w:rPr>
        <w:t>always depended on</w:t>
      </w:r>
      <w:r w:rsidRPr="00CF4094">
        <w:rPr>
          <w:u w:val="single"/>
        </w:rPr>
        <w:t xml:space="preserve"> the </w:t>
      </w:r>
      <w:r w:rsidRPr="00726C77">
        <w:rPr>
          <w:rStyle w:val="Emphasis"/>
          <w:highlight w:val="green"/>
        </w:rPr>
        <w:t>acceptance of rules.</w:t>
      </w:r>
      <w:r w:rsidRPr="00CF4094">
        <w:rPr>
          <w:highlight w:val="green"/>
          <w:u w:val="single"/>
        </w:rPr>
        <w:t xml:space="preserve"> </w:t>
      </w:r>
      <w:r w:rsidRPr="00CF4094">
        <w:rPr>
          <w:u w:val="single"/>
        </w:rPr>
        <w:t xml:space="preserve">Legislation and functioning legal institutions ensure property rights, the enforcement of contracts, respect for procedure and protection from crime – all </w:t>
      </w:r>
      <w:r w:rsidRPr="00726C77">
        <w:rPr>
          <w:rStyle w:val="Emphasis"/>
        </w:rPr>
        <w:t>legal elements of good governance</w:t>
      </w:r>
      <w:r w:rsidRPr="00CF4094">
        <w:rPr>
          <w:sz w:val="16"/>
        </w:rPr>
        <w:t xml:space="preserve"> without which no economy can operate. A market governed by </w:t>
      </w:r>
      <w:r w:rsidRPr="00CF4094">
        <w:rPr>
          <w:u w:val="single"/>
        </w:rPr>
        <w:t xml:space="preserve">a fair set of rules and institutions is more efficient and brings benefit to everyone. The labour market is no different. </w:t>
      </w:r>
      <w:r w:rsidRPr="00CF4094">
        <w:rPr>
          <w:highlight w:val="green"/>
          <w:u w:val="single"/>
        </w:rPr>
        <w:t>Fair labour practices</w:t>
      </w:r>
      <w:r w:rsidRPr="00CF4094">
        <w:rPr>
          <w:u w:val="single"/>
        </w:rPr>
        <w:t xml:space="preserve"> set out in international labour standards and </w:t>
      </w:r>
      <w:r w:rsidRPr="00CF4094">
        <w:rPr>
          <w:highlight w:val="green"/>
          <w:u w:val="single"/>
        </w:rPr>
        <w:t xml:space="preserve">applied through a </w:t>
      </w:r>
      <w:r w:rsidRPr="00726C77">
        <w:rPr>
          <w:rStyle w:val="Emphasis"/>
          <w:highlight w:val="green"/>
        </w:rPr>
        <w:t>national</w:t>
      </w:r>
      <w:r w:rsidRPr="00726C77">
        <w:rPr>
          <w:rStyle w:val="Emphasis"/>
        </w:rPr>
        <w:t xml:space="preserve"> legal </w:t>
      </w:r>
      <w:r w:rsidRPr="00726C77">
        <w:rPr>
          <w:rStyle w:val="Emphasis"/>
          <w:highlight w:val="green"/>
        </w:rPr>
        <w:t>system ensure</w:t>
      </w:r>
      <w:r w:rsidRPr="00726C77">
        <w:rPr>
          <w:rStyle w:val="Emphasis"/>
        </w:rPr>
        <w:t xml:space="preserve"> an efficient and </w:t>
      </w:r>
      <w:r w:rsidRPr="00726C77">
        <w:rPr>
          <w:rStyle w:val="Emphasis"/>
          <w:highlight w:val="green"/>
        </w:rPr>
        <w:t>stable labour</w:t>
      </w:r>
      <w:r w:rsidRPr="00726C77">
        <w:rPr>
          <w:rStyle w:val="Emphasis"/>
        </w:rPr>
        <w:t xml:space="preserve"> market for workers and employers</w:t>
      </w:r>
      <w:r w:rsidRPr="00CF4094">
        <w:rPr>
          <w:rStyle w:val="StyleUnderline"/>
          <w:sz w:val="16"/>
        </w:rPr>
        <w:t xml:space="preserve"> alike</w:t>
      </w:r>
      <w:r w:rsidRPr="00CF4094">
        <w:rPr>
          <w:sz w:val="16"/>
        </w:rPr>
        <w:t xml:space="preserve">. In many developing and transition economies, a large part of the work- force is engaged in the informal economy. </w:t>
      </w:r>
      <w:r w:rsidRPr="00CF4094">
        <w:rPr>
          <w:rStyle w:val="StyleUnderline"/>
          <w:sz w:val="16"/>
        </w:rPr>
        <w:t>Moreover, such countries often lack the capacity to provide effective social justice. Yet international labour standards can also be effective tools in these situations</w:t>
      </w:r>
      <w:r w:rsidRPr="00CF4094">
        <w:rPr>
          <w:sz w:val="16"/>
        </w:rPr>
        <w:t xml:space="preserve">. </w:t>
      </w:r>
      <w:r w:rsidRPr="00F807D1">
        <w:rPr>
          <w:u w:val="single"/>
        </w:rPr>
        <w:t xml:space="preserve">Most ILO standards </w:t>
      </w:r>
      <w:r w:rsidRPr="00F807D1">
        <w:rPr>
          <w:rStyle w:val="Emphasis"/>
        </w:rPr>
        <w:t>apply to all workers, not just those working under formal employment arrangemen</w:t>
      </w:r>
      <w:r w:rsidRPr="00F807D1">
        <w:rPr>
          <w:u w:val="single"/>
        </w:rPr>
        <w:t>ts. Some standards</w:t>
      </w:r>
      <w:r w:rsidRPr="00F807D1">
        <w:rPr>
          <w:sz w:val="16"/>
        </w:rPr>
        <w:t xml:space="preserve">, such as those dealing with homeworkers, migrant and rural workers, and indigenous and tribal peoples, </w:t>
      </w:r>
      <w:r w:rsidRPr="00F807D1">
        <w:rPr>
          <w:u w:val="single"/>
        </w:rPr>
        <w:t xml:space="preserve">deal specifically with certain areas of the informal economy. The reinforcement of </w:t>
      </w:r>
      <w:r w:rsidRPr="00F807D1">
        <w:rPr>
          <w:rStyle w:val="Emphasis"/>
        </w:rPr>
        <w:t>freedom of association, the extension of social protection, the improvement of occupational safety and health, the development of vocational training</w:t>
      </w:r>
      <w:r w:rsidRPr="00F807D1">
        <w:rPr>
          <w:u w:val="single"/>
        </w:rPr>
        <w:t>, and other measures required by international labour standards have proved to be effective strategies in reducing poverty and bringing workers into the formal economy</w:t>
      </w:r>
      <w:r w:rsidRPr="00F807D1">
        <w:rPr>
          <w:sz w:val="16"/>
        </w:rPr>
        <w:t xml:space="preserve">. </w:t>
      </w:r>
      <w:r w:rsidRPr="00F807D1">
        <w:rPr>
          <w:rStyle w:val="StyleUnderline"/>
          <w:sz w:val="16"/>
        </w:rPr>
        <w:t xml:space="preserve">Furthermore, </w:t>
      </w:r>
      <w:r w:rsidRPr="00F807D1">
        <w:rPr>
          <w:u w:val="single"/>
        </w:rPr>
        <w:t>international labour standards call for the creation of institutions and mechanisms which can enforce labour rights</w:t>
      </w:r>
      <w:r w:rsidRPr="00F807D1">
        <w:rPr>
          <w:sz w:val="16"/>
        </w:rPr>
        <w:t xml:space="preserve">. In combination with a set of defined rights and rules, </w:t>
      </w:r>
      <w:r w:rsidRPr="00F807D1">
        <w:rPr>
          <w:u w:val="single"/>
        </w:rPr>
        <w:t xml:space="preserve">functioning legal institutions can help </w:t>
      </w:r>
      <w:r w:rsidRPr="00F807D1">
        <w:rPr>
          <w:rStyle w:val="Emphasis"/>
        </w:rPr>
        <w:t>formalize the economy and create a climate of trust and order which is essential for economic growth and development</w:t>
      </w:r>
      <w:r w:rsidRPr="00F807D1">
        <w:rPr>
          <w:rStyle w:val="StyleUnderline"/>
          <w:sz w:val="16"/>
        </w:rPr>
        <w:t>.</w:t>
      </w:r>
      <w:r w:rsidRPr="00CF4094">
        <w:rPr>
          <w:sz w:val="16"/>
        </w:rPr>
        <w:t xml:space="preserve"> (Note 1 ) The sum of international experience and knowledge International labour standards are the result of discussions among governments, employers and workers, in consultation with experts from around the world. They represent the international consensus on how a particular labour problem could be addressed at the global level and reflect knowledge and experience from all corners of the world. Governments, employers’ and workers’ organizations, international institutions, multinational enterprises and non-governmental organizations can benefit from this knowledge by incorporating the standards in their policies, operational objectives and day-to-day action. </w:t>
      </w:r>
      <w:r w:rsidRPr="00CF4094">
        <w:rPr>
          <w:u w:val="single"/>
        </w:rPr>
        <w:t>The legal nature of the standards means that they can be used in legal systems and administrations at the national level, and as part of the corpus of international law which can bring about greater integration of the international community.</w:t>
      </w:r>
    </w:p>
    <w:p w14:paraId="624E1A39" w14:textId="77777777" w:rsidR="00F255AE" w:rsidRDefault="00F255AE" w:rsidP="00F255AE"/>
    <w:p w14:paraId="6950D4E5" w14:textId="77777777" w:rsidR="00F255AE" w:rsidRPr="00594ADE" w:rsidRDefault="00F255AE" w:rsidP="00F255AE">
      <w:pPr>
        <w:pStyle w:val="Heading4"/>
      </w:pPr>
      <w:r>
        <w:t>That solves a bunch of existing threats which ensure extinction thus we save the most amount of lives because it is every life since these are existing threats you should vote affirmative to ensure sustainable development goals</w:t>
      </w:r>
    </w:p>
    <w:p w14:paraId="5D044D60" w14:textId="77777777" w:rsidR="00F255AE" w:rsidRPr="00594ADE" w:rsidRDefault="00F255AE" w:rsidP="00F255AE">
      <w:r w:rsidRPr="00594ADE">
        <w:t xml:space="preserve">Tom </w:t>
      </w:r>
      <w:r w:rsidRPr="00594ADE">
        <w:rPr>
          <w:rStyle w:val="Style13ptBold"/>
        </w:rPr>
        <w:t>Cernev &amp;</w:t>
      </w:r>
      <w:r w:rsidRPr="00594ADE">
        <w:t xml:space="preserve"> Richard </w:t>
      </w:r>
      <w:r w:rsidRPr="00594ADE">
        <w:rPr>
          <w:rStyle w:val="Style13ptBold"/>
        </w:rPr>
        <w:t>Fenner 20</w:t>
      </w:r>
      <w:r w:rsidRPr="00594ADE">
        <w:t>, Australian National University; Centre for Sustainable Development, Cambridge University Engineering Department, "The importance of achieving foundational Sustainable Development Goals in reducing global risk," Futures, Vol. 115, January 2020, Elsevier</w:t>
      </w:r>
      <w:r>
        <w:t>. Recut Justin</w:t>
      </w:r>
    </w:p>
    <w:p w14:paraId="09194334" w14:textId="77777777" w:rsidR="00F255AE" w:rsidRPr="00F807D1" w:rsidRDefault="00F255AE" w:rsidP="00F255AE">
      <w:pPr>
        <w:rPr>
          <w:sz w:val="16"/>
        </w:rPr>
      </w:pPr>
      <w:r w:rsidRPr="00594ADE">
        <w:rPr>
          <w:sz w:val="16"/>
        </w:rPr>
        <w:t>4.1. Cascading failures</w:t>
      </w:r>
      <w:r>
        <w:rPr>
          <w:sz w:val="16"/>
        </w:rPr>
        <w:t xml:space="preserve"> </w:t>
      </w:r>
      <w:r w:rsidRPr="00594ADE">
        <w:rPr>
          <w:sz w:val="16"/>
        </w:rPr>
        <w:t xml:space="preserve">Fig. 3 demonstrates that </w:t>
      </w:r>
      <w:r w:rsidRPr="008D2E40">
        <w:rPr>
          <w:rStyle w:val="StyleUnderline"/>
          <w:highlight w:val="green"/>
        </w:rPr>
        <w:t>cascade failures</w:t>
      </w:r>
      <w:r w:rsidRPr="00594ADE">
        <w:rPr>
          <w:rStyle w:val="StyleUnderline"/>
        </w:rPr>
        <w:t xml:space="preserve"> can be </w:t>
      </w:r>
      <w:r w:rsidRPr="008D2E40">
        <w:rPr>
          <w:rStyle w:val="StyleUnderline"/>
          <w:highlight w:val="green"/>
        </w:rPr>
        <w:t>transmit</w:t>
      </w:r>
      <w:r w:rsidRPr="00594ADE">
        <w:rPr>
          <w:rStyle w:val="StyleUnderline"/>
        </w:rPr>
        <w:t xml:space="preserve">ted </w:t>
      </w:r>
      <w:r w:rsidRPr="008D2E40">
        <w:rPr>
          <w:rStyle w:val="StyleUnderline"/>
          <w:highlight w:val="green"/>
        </w:rPr>
        <w:t>through</w:t>
      </w:r>
      <w:r w:rsidRPr="00594ADE">
        <w:rPr>
          <w:sz w:val="16"/>
        </w:rPr>
        <w:t xml:space="preserve"> the </w:t>
      </w:r>
      <w:r w:rsidRPr="008D2E40">
        <w:rPr>
          <w:rStyle w:val="Emphasis"/>
          <w:highlight w:val="green"/>
        </w:rPr>
        <w:t>complex</w:t>
      </w:r>
      <w:r w:rsidRPr="00594ADE">
        <w:rPr>
          <w:rStyle w:val="Emphasis"/>
        </w:rPr>
        <w:t xml:space="preserve"> inter-</w:t>
      </w:r>
      <w:r w:rsidRPr="008D2E40">
        <w:rPr>
          <w:rStyle w:val="Emphasis"/>
          <w:highlight w:val="green"/>
        </w:rPr>
        <w:t>relations</w:t>
      </w:r>
      <w:r w:rsidRPr="00594ADE">
        <w:rPr>
          <w:rStyle w:val="Emphasis"/>
        </w:rPr>
        <w:t>hips</w:t>
      </w:r>
      <w:r w:rsidRPr="00594ADE">
        <w:rPr>
          <w:rStyle w:val="StyleUnderline"/>
        </w:rPr>
        <w:t xml:space="preserve"> </w:t>
      </w:r>
      <w:r w:rsidRPr="008D2E40">
        <w:rPr>
          <w:rStyle w:val="StyleUnderline"/>
          <w:highlight w:val="green"/>
        </w:rPr>
        <w:t>that link</w:t>
      </w:r>
      <w:r w:rsidRPr="00594ADE">
        <w:rPr>
          <w:rStyle w:val="StyleUnderline"/>
        </w:rPr>
        <w:t xml:space="preserve"> the </w:t>
      </w:r>
      <w:r w:rsidRPr="008D2E40">
        <w:rPr>
          <w:rStyle w:val="StyleUnderline"/>
          <w:highlight w:val="green"/>
        </w:rPr>
        <w:t>Sustainable Development</w:t>
      </w:r>
      <w:r w:rsidRPr="00594ADE">
        <w:rPr>
          <w:rStyle w:val="StyleUnderline"/>
        </w:rPr>
        <w:t xml:space="preserve"> Goals</w:t>
      </w:r>
      <w:r w:rsidRPr="00594ADE">
        <w:rPr>
          <w:sz w:val="16"/>
        </w:rPr>
        <w:t>. Randers, Rockstrom, Stoknes, Goluke, Collste, Cornell, Donges et al. (2018) have suggested that where meeting some SDGs impact negatively on others</w:t>
      </w:r>
      <w:r w:rsidRPr="00726C77">
        <w:rPr>
          <w:sz w:val="16"/>
        </w:rPr>
        <w:t xml:space="preserve">, </w:t>
      </w:r>
      <w:r w:rsidRPr="00726C77">
        <w:rPr>
          <w:rStyle w:val="StyleUnderline"/>
        </w:rPr>
        <w:t xml:space="preserve">this may </w:t>
      </w:r>
      <w:r w:rsidRPr="008D2E40">
        <w:rPr>
          <w:rStyle w:val="StyleUnderline"/>
          <w:highlight w:val="green"/>
        </w:rPr>
        <w:t>lead to “</w:t>
      </w:r>
      <w:r w:rsidRPr="008D2E40">
        <w:rPr>
          <w:rStyle w:val="Emphasis"/>
          <w:highlight w:val="green"/>
        </w:rPr>
        <w:t xml:space="preserve">crisis </w:t>
      </w:r>
      <w:r w:rsidRPr="00726C77">
        <w:rPr>
          <w:rStyle w:val="Emphasis"/>
        </w:rPr>
        <w:t xml:space="preserve">and conflict </w:t>
      </w:r>
      <w:r w:rsidRPr="00726C77">
        <w:rPr>
          <w:rStyle w:val="Emphasis"/>
          <w:highlight w:val="green"/>
        </w:rPr>
        <w:t>accelerators</w:t>
      </w:r>
      <w:r w:rsidRPr="00726C77">
        <w:rPr>
          <w:rStyle w:val="StyleUnderline"/>
          <w:highlight w:val="green"/>
        </w:rPr>
        <w:t xml:space="preserve">” and “threat multipliers” resulting in </w:t>
      </w:r>
      <w:r w:rsidRPr="008D2E40">
        <w:rPr>
          <w:rStyle w:val="StyleUnderline"/>
          <w:highlight w:val="green"/>
        </w:rPr>
        <w:t>conflict</w:t>
      </w:r>
      <w:r w:rsidRPr="00726C77">
        <w:rPr>
          <w:rStyle w:val="StyleUnderline"/>
        </w:rPr>
        <w:t xml:space="preserve">s, </w:t>
      </w:r>
      <w:r w:rsidRPr="008D2E40">
        <w:rPr>
          <w:rStyle w:val="StyleUnderline"/>
          <w:highlight w:val="green"/>
        </w:rPr>
        <w:t>instability and migrations</w:t>
      </w:r>
      <w:r w:rsidRPr="00594ADE">
        <w:rPr>
          <w:sz w:val="16"/>
        </w:rPr>
        <w:t xml:space="preserve">. </w:t>
      </w:r>
      <w:r w:rsidRPr="00594ADE">
        <w:rPr>
          <w:rStyle w:val="StyleUnderline"/>
        </w:rPr>
        <w:t xml:space="preserve">Ecosystem stresses are likely to disproportionately </w:t>
      </w:r>
      <w:r w:rsidRPr="008D2E40">
        <w:rPr>
          <w:rStyle w:val="StyleUnderline"/>
          <w:highlight w:val="green"/>
        </w:rPr>
        <w:t>affect</w:t>
      </w:r>
      <w:r w:rsidRPr="00594ADE">
        <w:rPr>
          <w:sz w:val="16"/>
        </w:rPr>
        <w:t xml:space="preserve"> the </w:t>
      </w:r>
      <w:r w:rsidRPr="008D2E40">
        <w:rPr>
          <w:rStyle w:val="Emphasis"/>
          <w:highlight w:val="green"/>
        </w:rPr>
        <w:t xml:space="preserve">security and </w:t>
      </w:r>
      <w:r w:rsidRPr="00726C77">
        <w:rPr>
          <w:rStyle w:val="Emphasis"/>
        </w:rPr>
        <w:t xml:space="preserve">social </w:t>
      </w:r>
      <w:r w:rsidRPr="008D2E40">
        <w:rPr>
          <w:rStyle w:val="Emphasis"/>
          <w:highlight w:val="green"/>
        </w:rPr>
        <w:t>cohesion</w:t>
      </w:r>
      <w:r w:rsidRPr="008D2E40">
        <w:rPr>
          <w:rStyle w:val="StyleUnderline"/>
          <w:highlight w:val="green"/>
        </w:rPr>
        <w:t xml:space="preserve"> of</w:t>
      </w:r>
      <w:r w:rsidRPr="00594ADE">
        <w:rPr>
          <w:rStyle w:val="StyleUnderline"/>
        </w:rPr>
        <w:t xml:space="preserve"> fragile and </w:t>
      </w:r>
      <w:r w:rsidRPr="008D2E40">
        <w:rPr>
          <w:rStyle w:val="StyleUnderline"/>
          <w:highlight w:val="green"/>
        </w:rPr>
        <w:t xml:space="preserve">poor communities, </w:t>
      </w:r>
      <w:r w:rsidRPr="008D2E40">
        <w:rPr>
          <w:rStyle w:val="Emphasis"/>
          <w:highlight w:val="green"/>
        </w:rPr>
        <w:t xml:space="preserve">amplifying </w:t>
      </w:r>
      <w:r w:rsidRPr="00726C77">
        <w:rPr>
          <w:rStyle w:val="Emphasis"/>
        </w:rPr>
        <w:t xml:space="preserve">latent </w:t>
      </w:r>
      <w:r w:rsidRPr="008D2E40">
        <w:rPr>
          <w:rStyle w:val="Emphasis"/>
          <w:highlight w:val="green"/>
        </w:rPr>
        <w:t>tensions</w:t>
      </w:r>
      <w:r w:rsidRPr="00594ADE">
        <w:rPr>
          <w:sz w:val="16"/>
        </w:rPr>
        <w:t xml:space="preserve"> which lead to political instabilities that spread far beyond their regions. The resulting “bad fate of the poor will end up affecting the whole global system"(Mastrojeni, 2018). Such </w:t>
      </w:r>
      <w:r w:rsidRPr="008D2E40">
        <w:rPr>
          <w:rStyle w:val="StyleUnderline"/>
          <w:highlight w:val="green"/>
        </w:rPr>
        <w:t>possibilities</w:t>
      </w:r>
      <w:r w:rsidRPr="00594ADE">
        <w:rPr>
          <w:rStyle w:val="StyleUnderline"/>
        </w:rPr>
        <w:t xml:space="preserve"> are likely </w:t>
      </w:r>
      <w:r w:rsidRPr="00726C77">
        <w:rPr>
          <w:rStyle w:val="StyleUnderline"/>
        </w:rPr>
        <w:t xml:space="preserve">to go beyond incremental damage and </w:t>
      </w:r>
      <w:r w:rsidRPr="008D2E40">
        <w:rPr>
          <w:rStyle w:val="StyleUnderline"/>
          <w:highlight w:val="green"/>
        </w:rPr>
        <w:t xml:space="preserve">lead to </w:t>
      </w:r>
      <w:r w:rsidRPr="008D2E40">
        <w:rPr>
          <w:rStyle w:val="Emphasis"/>
          <w:highlight w:val="green"/>
        </w:rPr>
        <w:t>runaway collapse</w:t>
      </w:r>
      <w:r w:rsidRPr="00594ADE">
        <w:rPr>
          <w:sz w:val="16"/>
        </w:rPr>
        <w:t>.</w:t>
      </w:r>
      <w:r>
        <w:rPr>
          <w:sz w:val="16"/>
        </w:rPr>
        <w:t xml:space="preserve"> </w:t>
      </w:r>
      <w:r w:rsidRPr="00594ADE">
        <w:rPr>
          <w:sz w:val="16"/>
        </w:rPr>
        <w:t xml:space="preserve">The World Economic Forums’ Global Risks Report for 2018 shows the </w:t>
      </w:r>
      <w:r w:rsidRPr="00594ADE">
        <w:rPr>
          <w:rStyle w:val="StyleUnderline"/>
        </w:rPr>
        <w:t>top five global risks in terms of likelihood and impact</w:t>
      </w:r>
      <w:r w:rsidRPr="00594ADE">
        <w:rPr>
          <w:sz w:val="16"/>
        </w:rPr>
        <w:t xml:space="preserve"> have changed from being economic and social in 2008 to environmental and technological in 2018, and </w:t>
      </w:r>
      <w:r w:rsidRPr="00594ADE">
        <w:rPr>
          <w:rStyle w:val="StyleUnderline"/>
        </w:rPr>
        <w:t xml:space="preserve">are </w:t>
      </w:r>
      <w:r w:rsidRPr="00594ADE">
        <w:rPr>
          <w:rStyle w:val="Emphasis"/>
        </w:rPr>
        <w:t>closely aligned</w:t>
      </w:r>
      <w:r w:rsidRPr="00594ADE">
        <w:rPr>
          <w:rStyle w:val="StyleUnderline"/>
        </w:rPr>
        <w:t xml:space="preserve"> with many SDGs</w:t>
      </w:r>
      <w:r w:rsidRPr="00594ADE">
        <w:rPr>
          <w:sz w:val="16"/>
        </w:rPr>
        <w:t xml:space="preserve"> (World Economic Forum, 2018). The report notes “that we are much less competent when it comes to dealing with </w:t>
      </w:r>
      <w:r w:rsidRPr="00C7231B">
        <w:rPr>
          <w:rStyle w:val="StyleUnderline"/>
        </w:rPr>
        <w:t xml:space="preserve">complex </w:t>
      </w:r>
      <w:r w:rsidRPr="008D2E40">
        <w:rPr>
          <w:rStyle w:val="StyleUnderline"/>
          <w:highlight w:val="green"/>
        </w:rPr>
        <w:t>risks</w:t>
      </w:r>
      <w:r w:rsidRPr="00594ADE">
        <w:rPr>
          <w:rStyle w:val="StyleUnderline"/>
        </w:rPr>
        <w:t xml:space="preserve"> in systems </w:t>
      </w:r>
      <w:r w:rsidRPr="008D2E40">
        <w:rPr>
          <w:rStyle w:val="StyleUnderline"/>
          <w:highlight w:val="green"/>
        </w:rPr>
        <w:t xml:space="preserve">characterised by </w:t>
      </w:r>
      <w:r w:rsidRPr="008D2E40">
        <w:rPr>
          <w:rStyle w:val="Emphasis"/>
          <w:highlight w:val="green"/>
        </w:rPr>
        <w:t>feedback loops, tipping points and opaque</w:t>
      </w:r>
      <w:r w:rsidRPr="00594ADE">
        <w:rPr>
          <w:rStyle w:val="Emphasis"/>
        </w:rPr>
        <w:t xml:space="preserve"> cause-and-effect </w:t>
      </w:r>
      <w:r w:rsidRPr="008D2E40">
        <w:rPr>
          <w:rStyle w:val="Emphasis"/>
          <w:highlight w:val="green"/>
        </w:rPr>
        <w:t>relations</w:t>
      </w:r>
      <w:r w:rsidRPr="00594ADE">
        <w:rPr>
          <w:rStyle w:val="Emphasis"/>
        </w:rPr>
        <w:t>hips</w:t>
      </w:r>
      <w:r w:rsidRPr="00594ADE">
        <w:rPr>
          <w:rStyle w:val="StyleUnderline"/>
        </w:rPr>
        <w:t xml:space="preserve"> that can make intervention problematic</w:t>
      </w:r>
      <w:r w:rsidRPr="00594ADE">
        <w:rPr>
          <w:sz w:val="16"/>
        </w:rPr>
        <w:t xml:space="preserve">”. The </w:t>
      </w:r>
      <w:r w:rsidRPr="00594ADE">
        <w:rPr>
          <w:rStyle w:val="StyleUnderline"/>
        </w:rPr>
        <w:t>most likely risks expected</w:t>
      </w:r>
      <w:r w:rsidRPr="00594ADE">
        <w:rPr>
          <w:sz w:val="16"/>
        </w:rPr>
        <w:t xml:space="preserve"> to have the greatest impact currently </w:t>
      </w:r>
      <w:r w:rsidRPr="008D2E40">
        <w:rPr>
          <w:rStyle w:val="StyleUnderline"/>
          <w:highlight w:val="green"/>
        </w:rPr>
        <w:t xml:space="preserve">include </w:t>
      </w:r>
      <w:r w:rsidRPr="00726C77">
        <w:rPr>
          <w:rStyle w:val="Emphasis"/>
        </w:rPr>
        <w:t>extreme</w:t>
      </w:r>
      <w:r w:rsidRPr="00594ADE">
        <w:rPr>
          <w:sz w:val="16"/>
        </w:rPr>
        <w:t xml:space="preserve"> weather events </w:t>
      </w:r>
      <w:r w:rsidRPr="008D2E40">
        <w:rPr>
          <w:rStyle w:val="Emphasis"/>
          <w:highlight w:val="green"/>
        </w:rPr>
        <w:t>natural disasters</w:t>
      </w:r>
      <w:r w:rsidRPr="008D2E40">
        <w:rPr>
          <w:rStyle w:val="StyleUnderline"/>
          <w:highlight w:val="green"/>
        </w:rPr>
        <w:t xml:space="preserve">, cyber attacks, data fraud </w:t>
      </w:r>
      <w:r w:rsidRPr="00726C77">
        <w:rPr>
          <w:rStyle w:val="StyleUnderline"/>
        </w:rPr>
        <w:t xml:space="preserve">or theft, failure of </w:t>
      </w:r>
      <w:r w:rsidRPr="008D2E40">
        <w:rPr>
          <w:rStyle w:val="Emphasis"/>
          <w:highlight w:val="green"/>
        </w:rPr>
        <w:t>climate change</w:t>
      </w:r>
      <w:r w:rsidRPr="00594ADE">
        <w:rPr>
          <w:rStyle w:val="StyleUnderline"/>
        </w:rPr>
        <w:t xml:space="preserve"> </w:t>
      </w:r>
      <w:r w:rsidRPr="00726C77">
        <w:rPr>
          <w:rStyle w:val="StyleUnderline"/>
        </w:rPr>
        <w:t>mitigation</w:t>
      </w:r>
      <w:r w:rsidRPr="00594ADE">
        <w:rPr>
          <w:rStyle w:val="StyleUnderline"/>
        </w:rPr>
        <w:t xml:space="preserve"> </w:t>
      </w:r>
      <w:r w:rsidRPr="008D2E40">
        <w:rPr>
          <w:rStyle w:val="StyleUnderline"/>
          <w:highlight w:val="green"/>
        </w:rPr>
        <w:t xml:space="preserve">and </w:t>
      </w:r>
      <w:r w:rsidRPr="008D2E40">
        <w:rPr>
          <w:rStyle w:val="Emphasis"/>
          <w:highlight w:val="green"/>
        </w:rPr>
        <w:t>water crises</w:t>
      </w:r>
      <w:r w:rsidRPr="00594ADE">
        <w:rPr>
          <w:sz w:val="16"/>
        </w:rPr>
        <w:t>.</w:t>
      </w:r>
      <w:r>
        <w:rPr>
          <w:sz w:val="16"/>
        </w:rPr>
        <w:t xml:space="preserve"> </w:t>
      </w:r>
      <w:r w:rsidRPr="00594ADE">
        <w:rPr>
          <w:sz w:val="16"/>
        </w:rPr>
        <w:t xml:space="preserve">These are represented in Fig. 3 by the following exogenous variables. “Climate change” drives the need for Climate Action (SDG 13), “Cyber threat” may adversely impact technology implementation and advancement which will disrupt Sustainable Cities and Communities (SDG 11); Decent Work and Economic Growth (SDG 8) and the rate of introduction of Affordable and Clean Energy (SDG 7), with reductions in these goals having direct consequences in also reducing progress in the other goals which they are closely linked to. “Data Fraud or Threat” has the capacity to inhibit innovation and Industrial Performance (SDG 9), reducing competitiveness (and having the potential to erode societal confidence in governance processes). “Water Crises” (linked with climate change) have a direct impact on Human Health and Well Being (SDG 3) as well as reducing access to Clean Water and Sanitation (SDG 6) and reducing agricultural production which increases Hunger (SDG 2). The causal loop diagram also highlights “Conflict” as a variable (driven by multiple environmental-socio-economic factors) which together with regions most impacted by climate degradation will lead to an increase in migrant refugees </w:t>
      </w:r>
      <w:r w:rsidRPr="008D2E40">
        <w:rPr>
          <w:rStyle w:val="StyleUnderline"/>
          <w:highlight w:val="green"/>
        </w:rPr>
        <w:t>enhancing</w:t>
      </w:r>
      <w:r w:rsidRPr="00594ADE">
        <w:rPr>
          <w:rStyle w:val="StyleUnderline"/>
        </w:rPr>
        <w:t xml:space="preserve"> the spread of </w:t>
      </w:r>
      <w:r w:rsidRPr="00594ADE">
        <w:rPr>
          <w:rStyle w:val="Emphasis"/>
        </w:rPr>
        <w:t xml:space="preserve">disease and </w:t>
      </w:r>
      <w:r w:rsidRPr="008D2E40">
        <w:rPr>
          <w:rStyle w:val="Emphasis"/>
          <w:highlight w:val="green"/>
        </w:rPr>
        <w:t xml:space="preserve">global pandemic </w:t>
      </w:r>
      <w:r w:rsidRPr="00726C77">
        <w:rPr>
          <w:rStyle w:val="Emphasis"/>
        </w:rPr>
        <w:t>risk</w:t>
      </w:r>
      <w:r w:rsidRPr="00594ADE">
        <w:rPr>
          <w:sz w:val="16"/>
        </w:rPr>
        <w:t>, thus impacting directly on Human Health and Well Being (SDG 3)</w:t>
      </w:r>
      <w:r>
        <w:rPr>
          <w:sz w:val="16"/>
        </w:rPr>
        <w:t xml:space="preserve"> </w:t>
      </w:r>
      <w:r w:rsidRPr="00594ADE">
        <w:rPr>
          <w:sz w:val="16"/>
        </w:rPr>
        <w:t>4.2. Existential and catastrophic risk</w:t>
      </w:r>
      <w:r>
        <w:rPr>
          <w:sz w:val="16"/>
        </w:rPr>
        <w:t xml:space="preserve"> </w:t>
      </w:r>
      <w:r w:rsidRPr="00594ADE">
        <w:rPr>
          <w:sz w:val="16"/>
        </w:rPr>
        <w:t xml:space="preserve">The </w:t>
      </w:r>
      <w:r w:rsidRPr="00594ADE">
        <w:rPr>
          <w:rStyle w:val="StyleUnderline"/>
        </w:rPr>
        <w:t xml:space="preserve">level and consequences of these </w:t>
      </w:r>
      <w:r w:rsidRPr="00594ADE">
        <w:rPr>
          <w:rStyle w:val="Emphasis"/>
        </w:rPr>
        <w:t>risks may be severe</w:t>
      </w:r>
      <w:r w:rsidRPr="00594ADE">
        <w:rPr>
          <w:sz w:val="16"/>
        </w:rPr>
        <w:t xml:space="preserve">. </w:t>
      </w:r>
      <w:r w:rsidRPr="00594ADE">
        <w:rPr>
          <w:rStyle w:val="StyleUnderline"/>
        </w:rPr>
        <w:t>Existential Risks</w:t>
      </w:r>
      <w:r w:rsidRPr="00594ADE">
        <w:rPr>
          <w:sz w:val="16"/>
        </w:rPr>
        <w:t xml:space="preserve"> (ER) have a wide scope, with extreme danger, and are “a risk that </w:t>
      </w:r>
      <w:r w:rsidRPr="00594ADE">
        <w:rPr>
          <w:rStyle w:val="StyleUnderline"/>
        </w:rPr>
        <w:t>threaten</w:t>
      </w:r>
      <w:r w:rsidRPr="00594ADE">
        <w:rPr>
          <w:sz w:val="16"/>
        </w:rPr>
        <w:t xml:space="preserve">s the </w:t>
      </w:r>
      <w:r w:rsidRPr="00594ADE">
        <w:rPr>
          <w:rStyle w:val="StyleUnderline"/>
        </w:rPr>
        <w:t>premature extinction of humanity</w:t>
      </w:r>
      <w:r w:rsidRPr="00594ADE">
        <w:rPr>
          <w:sz w:val="16"/>
        </w:rPr>
        <w:t xml:space="preserve"> or the permanent and drastic destruction of its potential for desirable future development” (Farquhar et al., 2017,) essentially being an event or scenario that is “transgenerational in scope and terminal in intensity” (Baum &amp; Handoh, 2014). With a smaller scope, and lower level of severity, global catastrophic risk is defined as a scenario or event that results in at least 10 million fatalities, or $10 trillion in damages (Bostrom &amp; Ćirković, 2008). Global Catastrophic Risk (GCR) events are those which are global, but they are durable in that humanity is able to recover from them (Bostrom &amp; Ćirković, 2008; Cotton-Barratt, Farquhar, Halstead, Schubert, &amp; Snyder-Beattie, 2016) but which still have a long-term impact (Turchin &amp; Denkenberger, 2018b).</w:t>
      </w:r>
      <w:r>
        <w:rPr>
          <w:sz w:val="16"/>
        </w:rPr>
        <w:t xml:space="preserve"> </w:t>
      </w:r>
      <w:r w:rsidRPr="008D2E40">
        <w:rPr>
          <w:rStyle w:val="StyleUnderline"/>
          <w:highlight w:val="green"/>
        </w:rPr>
        <w:t>Achieving</w:t>
      </w:r>
      <w:r w:rsidRPr="00594ADE">
        <w:rPr>
          <w:sz w:val="16"/>
        </w:rPr>
        <w:t xml:space="preserve"> the </w:t>
      </w:r>
      <w:r w:rsidRPr="008D2E40">
        <w:rPr>
          <w:rStyle w:val="StyleUnderline"/>
          <w:highlight w:val="green"/>
        </w:rPr>
        <w:t>S</w:t>
      </w:r>
      <w:r w:rsidRPr="00594ADE">
        <w:rPr>
          <w:rStyle w:val="StyleUnderline"/>
        </w:rPr>
        <w:t xml:space="preserve">ustainable </w:t>
      </w:r>
      <w:r w:rsidRPr="008D2E40">
        <w:rPr>
          <w:rStyle w:val="StyleUnderline"/>
          <w:highlight w:val="green"/>
        </w:rPr>
        <w:t>D</w:t>
      </w:r>
      <w:r w:rsidRPr="00594ADE">
        <w:rPr>
          <w:rStyle w:val="StyleUnderline"/>
        </w:rPr>
        <w:t xml:space="preserve">evelopment </w:t>
      </w:r>
      <w:r w:rsidRPr="008D2E40">
        <w:rPr>
          <w:rStyle w:val="StyleUnderline"/>
          <w:highlight w:val="green"/>
        </w:rPr>
        <w:t>G</w:t>
      </w:r>
      <w:r w:rsidRPr="00594ADE">
        <w:rPr>
          <w:rStyle w:val="StyleUnderline"/>
        </w:rPr>
        <w:t>oal</w:t>
      </w:r>
      <w:r w:rsidRPr="008D2E40">
        <w:rPr>
          <w:rStyle w:val="StyleUnderline"/>
          <w:highlight w:val="green"/>
        </w:rPr>
        <w:t>s can</w:t>
      </w:r>
      <w:r w:rsidRPr="00594ADE">
        <w:rPr>
          <w:rStyle w:val="StyleUnderline"/>
        </w:rPr>
        <w:t xml:space="preserve"> be considered</w:t>
      </w:r>
      <w:r w:rsidRPr="00594ADE">
        <w:rPr>
          <w:sz w:val="16"/>
        </w:rPr>
        <w:t xml:space="preserve"> to be </w:t>
      </w:r>
      <w:r w:rsidRPr="00594ADE">
        <w:rPr>
          <w:rStyle w:val="StyleUnderline"/>
        </w:rPr>
        <w:t xml:space="preserve">a means of </w:t>
      </w:r>
      <w:r w:rsidRPr="008D2E40">
        <w:rPr>
          <w:rStyle w:val="StyleUnderline"/>
          <w:highlight w:val="green"/>
        </w:rPr>
        <w:t>reduc</w:t>
      </w:r>
      <w:r w:rsidRPr="00594ADE">
        <w:rPr>
          <w:rStyle w:val="StyleUnderline"/>
        </w:rPr>
        <w:t xml:space="preserve">ing </w:t>
      </w:r>
      <w:r w:rsidRPr="00726C77">
        <w:rPr>
          <w:rStyle w:val="StyleUnderline"/>
        </w:rPr>
        <w:t xml:space="preserve">the </w:t>
      </w:r>
      <w:r w:rsidRPr="00726C77">
        <w:rPr>
          <w:rStyle w:val="Emphasis"/>
        </w:rPr>
        <w:t xml:space="preserve">long-term global catastrophic and </w:t>
      </w:r>
      <w:r w:rsidRPr="008D2E40">
        <w:rPr>
          <w:rStyle w:val="Emphasis"/>
          <w:highlight w:val="green"/>
        </w:rPr>
        <w:t>existential risks</w:t>
      </w:r>
      <w:r w:rsidRPr="008D2E40">
        <w:rPr>
          <w:rStyle w:val="StyleUnderline"/>
          <w:highlight w:val="green"/>
        </w:rPr>
        <w:t xml:space="preserve"> </w:t>
      </w:r>
      <w:r w:rsidRPr="00726C77">
        <w:rPr>
          <w:rStyle w:val="StyleUnderline"/>
        </w:rPr>
        <w:t>for humanity</w:t>
      </w:r>
      <w:r w:rsidRPr="00726C77">
        <w:rPr>
          <w:sz w:val="16"/>
        </w:rPr>
        <w:t xml:space="preserve">. </w:t>
      </w:r>
      <w:r w:rsidRPr="00726C77">
        <w:rPr>
          <w:rStyle w:val="StyleUnderline"/>
        </w:rPr>
        <w:t xml:space="preserve">Conversely </w:t>
      </w:r>
      <w:r w:rsidRPr="008D2E40">
        <w:rPr>
          <w:rStyle w:val="StyleUnderline"/>
          <w:highlight w:val="green"/>
        </w:rPr>
        <w:t xml:space="preserve">if </w:t>
      </w:r>
      <w:r w:rsidRPr="00726C77">
        <w:rPr>
          <w:rStyle w:val="StyleUnderline"/>
        </w:rPr>
        <w:t xml:space="preserve">the targets represented across the </w:t>
      </w:r>
      <w:r w:rsidRPr="008D2E40">
        <w:rPr>
          <w:rStyle w:val="StyleUnderline"/>
          <w:highlight w:val="green"/>
        </w:rPr>
        <w:t xml:space="preserve">SDGs remain unachieved </w:t>
      </w:r>
      <w:r w:rsidRPr="00726C77">
        <w:rPr>
          <w:rStyle w:val="StyleUnderline"/>
        </w:rPr>
        <w:t xml:space="preserve">there is </w:t>
      </w:r>
      <w:r w:rsidRPr="00726C77">
        <w:rPr>
          <w:rStyle w:val="StyleUnderline"/>
          <w:highlight w:val="green"/>
        </w:rPr>
        <w:t>the</w:t>
      </w:r>
      <w:r w:rsidRPr="00726C77">
        <w:rPr>
          <w:rStyle w:val="StyleUnderline"/>
        </w:rPr>
        <w:t xml:space="preserve"> potential for these forms of </w:t>
      </w:r>
      <w:r w:rsidRPr="008D2E40">
        <w:rPr>
          <w:rStyle w:val="StyleUnderline"/>
          <w:highlight w:val="green"/>
        </w:rPr>
        <w:t xml:space="preserve">risk </w:t>
      </w:r>
      <w:r w:rsidRPr="00726C77">
        <w:rPr>
          <w:rStyle w:val="StyleUnderline"/>
        </w:rPr>
        <w:t>to</w:t>
      </w:r>
      <w:r w:rsidRPr="00726C77">
        <w:rPr>
          <w:sz w:val="16"/>
        </w:rPr>
        <w:t xml:space="preserve"> </w:t>
      </w:r>
      <w:r w:rsidRPr="008D2E40">
        <w:rPr>
          <w:rStyle w:val="Emphasis"/>
          <w:highlight w:val="green"/>
        </w:rPr>
        <w:t>develop</w:t>
      </w:r>
      <w:r w:rsidRPr="00594ADE">
        <w:rPr>
          <w:sz w:val="16"/>
        </w:rPr>
        <w:t xml:space="preserve">. This association combined with the likely emergence of new challenges over the next decades (Cook, Inayatullah, Burgman, Sutherland, &amp; Wintle, 2014) means that </w:t>
      </w:r>
      <w:r w:rsidRPr="00594ADE">
        <w:rPr>
          <w:rStyle w:val="StyleUnderline"/>
        </w:rPr>
        <w:t>it is of great value to identify points within</w:t>
      </w:r>
      <w:r w:rsidRPr="00594ADE">
        <w:rPr>
          <w:sz w:val="16"/>
        </w:rPr>
        <w:t xml:space="preserve"> the </w:t>
      </w:r>
      <w:r w:rsidRPr="00594ADE">
        <w:rPr>
          <w:rStyle w:val="StyleUnderline"/>
        </w:rPr>
        <w:t xml:space="preserve">systems </w:t>
      </w:r>
      <w:r w:rsidRPr="00594ADE">
        <w:rPr>
          <w:sz w:val="16"/>
        </w:rPr>
        <w:t xml:space="preserve">representations </w:t>
      </w:r>
      <w:r w:rsidRPr="00594ADE">
        <w:rPr>
          <w:rStyle w:val="StyleUnderline"/>
        </w:rPr>
        <w:t xml:space="preserve">of the Sustainable Development </w:t>
      </w:r>
      <w:r w:rsidRPr="008D2E40">
        <w:rPr>
          <w:rStyle w:val="StyleUnderline"/>
          <w:highlight w:val="green"/>
        </w:rPr>
        <w:t>Goals</w:t>
      </w:r>
      <w:r w:rsidRPr="00594ADE">
        <w:rPr>
          <w:rStyle w:val="StyleUnderline"/>
        </w:rPr>
        <w:t xml:space="preserve"> that</w:t>
      </w:r>
      <w:r w:rsidRPr="00594ADE">
        <w:rPr>
          <w:sz w:val="16"/>
        </w:rPr>
        <w:t xml:space="preserve"> could </w:t>
      </w:r>
      <w:r w:rsidRPr="00726C77">
        <w:rPr>
          <w:sz w:val="16"/>
        </w:rPr>
        <w:t xml:space="preserve">both </w:t>
      </w:r>
      <w:r w:rsidRPr="00726C77">
        <w:rPr>
          <w:rStyle w:val="StyleUnderline"/>
        </w:rPr>
        <w:t>lead to global catastrophic risk and existential risk, and</w:t>
      </w:r>
      <w:r w:rsidRPr="00726C77">
        <w:rPr>
          <w:sz w:val="16"/>
        </w:rPr>
        <w:t xml:space="preserve"> conversely that could</w:t>
      </w:r>
      <w:r w:rsidRPr="00594ADE">
        <w:rPr>
          <w:sz w:val="16"/>
        </w:rPr>
        <w:t xml:space="preserve"> </w:t>
      </w:r>
      <w:r w:rsidRPr="008D2E40">
        <w:rPr>
          <w:rStyle w:val="StyleUnderline"/>
          <w:highlight w:val="green"/>
        </w:rPr>
        <w:t xml:space="preserve">act as </w:t>
      </w:r>
      <w:r w:rsidRPr="008D2E40">
        <w:rPr>
          <w:rStyle w:val="Emphasis"/>
          <w:highlight w:val="green"/>
        </w:rPr>
        <w:t>prevention</w:t>
      </w:r>
      <w:r w:rsidRPr="00726C77">
        <w:rPr>
          <w:rStyle w:val="Emphasis"/>
        </w:rPr>
        <w:t xml:space="preserve">, or </w:t>
      </w:r>
      <w:r w:rsidRPr="00726C77">
        <w:rPr>
          <w:rStyle w:val="Emphasis"/>
        </w:rPr>
        <w:lastRenderedPageBreak/>
        <w:t>leverage points</w:t>
      </w:r>
      <w:r w:rsidRPr="00594ADE">
        <w:rPr>
          <w:sz w:val="16"/>
        </w:rPr>
        <w:t xml:space="preserve"> in order </w:t>
      </w:r>
      <w:r w:rsidRPr="008D2E40">
        <w:rPr>
          <w:rStyle w:val="StyleUnderline"/>
          <w:highlight w:val="green"/>
        </w:rPr>
        <w:t xml:space="preserve">to avoid </w:t>
      </w:r>
      <w:r w:rsidRPr="00726C77">
        <w:rPr>
          <w:rStyle w:val="StyleUnderline"/>
        </w:rPr>
        <w:t xml:space="preserve">such </w:t>
      </w:r>
      <w:r w:rsidRPr="008D2E40">
        <w:rPr>
          <w:rStyle w:val="StyleUnderline"/>
          <w:highlight w:val="green"/>
        </w:rPr>
        <w:t>outcomes</w:t>
      </w:r>
      <w:r w:rsidRPr="00594ADE">
        <w:rPr>
          <w:sz w:val="16"/>
        </w:rPr>
        <w:t>. This identification in turn enables sensible policy responses to be constructed (Sutherland &amp; Woodroof, 2009).</w:t>
      </w:r>
      <w:r>
        <w:rPr>
          <w:sz w:val="16"/>
        </w:rPr>
        <w:t xml:space="preserve"> </w:t>
      </w:r>
      <w:r w:rsidRPr="00594ADE">
        <w:rPr>
          <w:sz w:val="16"/>
        </w:rPr>
        <w:t xml:space="preserve">Whilst existential threats are unlikely, there is extensive peril in </w:t>
      </w:r>
      <w:r w:rsidRPr="00594ADE">
        <w:rPr>
          <w:rStyle w:val="StyleUnderline"/>
        </w:rPr>
        <w:t xml:space="preserve">global catastrophic </w:t>
      </w:r>
      <w:r w:rsidRPr="008D2E40">
        <w:rPr>
          <w:rStyle w:val="StyleUnderline"/>
          <w:highlight w:val="green"/>
        </w:rPr>
        <w:t>risks</w:t>
      </w:r>
      <w:r w:rsidRPr="00594ADE">
        <w:rPr>
          <w:sz w:val="16"/>
        </w:rPr>
        <w:t xml:space="preserve">. Despite being lesser in severity than existential risks, they </w:t>
      </w:r>
      <w:r w:rsidRPr="008D2E40">
        <w:rPr>
          <w:rStyle w:val="StyleUnderline"/>
          <w:highlight w:val="green"/>
        </w:rPr>
        <w:t>increase</w:t>
      </w:r>
      <w:r w:rsidRPr="00594ADE">
        <w:rPr>
          <w:rStyle w:val="StyleUnderline"/>
        </w:rPr>
        <w:t xml:space="preserve"> the </w:t>
      </w:r>
      <w:r w:rsidRPr="00726C77">
        <w:rPr>
          <w:rStyle w:val="StyleUnderline"/>
          <w:highlight w:val="green"/>
        </w:rPr>
        <w:t>likelihood of</w:t>
      </w:r>
      <w:r w:rsidRPr="00594ADE">
        <w:rPr>
          <w:rStyle w:val="StyleUnderline"/>
        </w:rPr>
        <w:t xml:space="preserve"> human </w:t>
      </w:r>
      <w:r w:rsidRPr="008D2E40">
        <w:rPr>
          <w:rStyle w:val="StyleUnderline"/>
          <w:highlight w:val="green"/>
        </w:rPr>
        <w:t>extinction</w:t>
      </w:r>
      <w:r w:rsidRPr="00594ADE">
        <w:rPr>
          <w:sz w:val="16"/>
        </w:rPr>
        <w:t xml:space="preserve"> (Turchin &amp; Denkenberger, 2018a) </w:t>
      </w:r>
      <w:r w:rsidRPr="008D2E40">
        <w:rPr>
          <w:rStyle w:val="StyleUnderline"/>
          <w:highlight w:val="green"/>
        </w:rPr>
        <w:t xml:space="preserve">through </w:t>
      </w:r>
      <w:r w:rsidRPr="008D2E40">
        <w:rPr>
          <w:rStyle w:val="Emphasis"/>
          <w:highlight w:val="green"/>
        </w:rPr>
        <w:t>chain reactions</w:t>
      </w:r>
      <w:r w:rsidRPr="00594ADE">
        <w:rPr>
          <w:sz w:val="16"/>
        </w:rPr>
        <w:t xml:space="preserve"> (Turchin &amp; Denkenberger, 2018a), </w:t>
      </w:r>
      <w:r w:rsidRPr="00726C77">
        <w:rPr>
          <w:rStyle w:val="StyleUnderline"/>
          <w:highlight w:val="green"/>
        </w:rPr>
        <w:t xml:space="preserve">and </w:t>
      </w:r>
      <w:r w:rsidRPr="00726C77">
        <w:rPr>
          <w:rStyle w:val="Emphasis"/>
          <w:highlight w:val="green"/>
        </w:rPr>
        <w:t>inhibiting</w:t>
      </w:r>
      <w:r w:rsidRPr="00594ADE">
        <w:rPr>
          <w:rStyle w:val="Emphasis"/>
        </w:rPr>
        <w:t xml:space="preserve"> humanity’s </w:t>
      </w:r>
      <w:r w:rsidRPr="008D2E40">
        <w:rPr>
          <w:rStyle w:val="Emphasis"/>
          <w:highlight w:val="green"/>
        </w:rPr>
        <w:t>response</w:t>
      </w:r>
      <w:r w:rsidRPr="008D2E40">
        <w:rPr>
          <w:rStyle w:val="StyleUnderline"/>
          <w:highlight w:val="green"/>
        </w:rPr>
        <w:t xml:space="preserve"> to other risks</w:t>
      </w:r>
      <w:r w:rsidRPr="00594ADE">
        <w:rPr>
          <w:sz w:val="16"/>
        </w:rPr>
        <w:t xml:space="preserve"> (Farquhar et al., 2017). It is necessary to consider </w:t>
      </w:r>
      <w:r w:rsidRPr="00594ADE">
        <w:rPr>
          <w:rStyle w:val="StyleUnderline"/>
        </w:rPr>
        <w:t>risks</w:t>
      </w:r>
      <w:r w:rsidRPr="00594ADE">
        <w:rPr>
          <w:sz w:val="16"/>
        </w:rPr>
        <w:t xml:space="preserve"> that </w:t>
      </w:r>
      <w:r w:rsidRPr="00594ADE">
        <w:rPr>
          <w:rStyle w:val="StyleUnderline"/>
        </w:rPr>
        <w:t>may seem small, as when acting together, they can have extensive consequences</w:t>
      </w:r>
      <w:r w:rsidRPr="00594ADE">
        <w:rPr>
          <w:sz w:val="16"/>
        </w:rPr>
        <w:t xml:space="preserve"> (Tonn, 2009). Furthermore, the high adaptability potential of humans, and society, means that for humanity to become extinct, </w:t>
      </w:r>
      <w:r w:rsidRPr="00594ADE">
        <w:rPr>
          <w:rStyle w:val="StyleUnderline"/>
        </w:rPr>
        <w:t xml:space="preserve">it is most likely that there would be a </w:t>
      </w:r>
      <w:r w:rsidRPr="00594ADE">
        <w:rPr>
          <w:rStyle w:val="Emphasis"/>
        </w:rPr>
        <w:t>series of events that culminate in extinction</w:t>
      </w:r>
      <w:r w:rsidRPr="00594ADE">
        <w:rPr>
          <w:sz w:val="16"/>
        </w:rPr>
        <w:t xml:space="preserve"> as opposed to one large scale event (Tonn &amp; MacGregor, 2009; Tonn, 2009).</w:t>
      </w:r>
      <w:r>
        <w:rPr>
          <w:sz w:val="16"/>
        </w:rPr>
        <w:t xml:space="preserve"> </w:t>
      </w:r>
      <w:r w:rsidRPr="00594ADE">
        <w:rPr>
          <w:sz w:val="16"/>
        </w:rPr>
        <w:t>Whilst the prospect of existential risk, or global catastrophic risk can seem distant, the Stern Review on the Economics of Climate Change estimated the risk of extinction for humanity as 0.1 % annually, which accumulates to provide the risk of extinction over the next century as 9.5 % (Cotton-Barratt et al., 2016). With respect to identifying these risks, it is known that in particular, “</w:t>
      </w:r>
      <w:r w:rsidRPr="008D2E40">
        <w:rPr>
          <w:rStyle w:val="Emphasis"/>
          <w:highlight w:val="green"/>
        </w:rPr>
        <w:t xml:space="preserve">positive </w:t>
      </w:r>
      <w:r w:rsidRPr="00726C77">
        <w:rPr>
          <w:rStyle w:val="Emphasis"/>
          <w:highlight w:val="green"/>
        </w:rPr>
        <w:t>feedback loops</w:t>
      </w:r>
      <w:r w:rsidRPr="00594ADE">
        <w:rPr>
          <w:rStyle w:val="StyleUnderline"/>
        </w:rPr>
        <w:t xml:space="preserve">… </w:t>
      </w:r>
      <w:r w:rsidRPr="00726C77">
        <w:rPr>
          <w:rStyle w:val="StyleUnderline"/>
        </w:rPr>
        <w:t>represent the gravest existential risks</w:t>
      </w:r>
      <w:r w:rsidRPr="00726C77">
        <w:rPr>
          <w:sz w:val="16"/>
        </w:rPr>
        <w:t>” (Kareiva</w:t>
      </w:r>
      <w:r w:rsidRPr="00594ADE">
        <w:rPr>
          <w:sz w:val="16"/>
        </w:rPr>
        <w:t xml:space="preserve"> &amp; Carranza, 2018), with pollution also having the potential to pose an existential risk.</w:t>
      </w:r>
      <w:r>
        <w:rPr>
          <w:sz w:val="16"/>
        </w:rPr>
        <w:t xml:space="preserve"> </w:t>
      </w:r>
      <w:r w:rsidRPr="00594ADE">
        <w:rPr>
          <w:sz w:val="16"/>
        </w:rPr>
        <w:t xml:space="preserve">With respect to reinforcing feedback loops, </w:t>
      </w:r>
      <w:r w:rsidRPr="00594ADE">
        <w:rPr>
          <w:rStyle w:val="StyleUnderline"/>
        </w:rPr>
        <w:t xml:space="preserve">there is </w:t>
      </w:r>
      <w:r w:rsidRPr="00594ADE">
        <w:rPr>
          <w:rStyle w:val="Emphasis"/>
        </w:rPr>
        <w:t>particular concern</w:t>
      </w:r>
      <w:r w:rsidRPr="00594ADE">
        <w:rPr>
          <w:rStyle w:val="StyleUnderline"/>
        </w:rPr>
        <w:t xml:space="preserve"> about</w:t>
      </w:r>
      <w:r w:rsidRPr="00594ADE">
        <w:rPr>
          <w:sz w:val="16"/>
        </w:rPr>
        <w:t xml:space="preserve"> the </w:t>
      </w:r>
      <w:r w:rsidRPr="00594ADE">
        <w:rPr>
          <w:rStyle w:val="StyleUnderline"/>
        </w:rPr>
        <w:t xml:space="preserve">effects of </w:t>
      </w:r>
      <w:r w:rsidRPr="00594ADE">
        <w:rPr>
          <w:rStyle w:val="Emphasis"/>
        </w:rPr>
        <w:t>time delay</w:t>
      </w:r>
      <w:r w:rsidRPr="00594ADE">
        <w:rPr>
          <w:rStyle w:val="StyleUnderline"/>
        </w:rPr>
        <w:t xml:space="preserve">, and the level of </w:t>
      </w:r>
      <w:r w:rsidRPr="00594ADE">
        <w:rPr>
          <w:rStyle w:val="Emphasis"/>
        </w:rPr>
        <w:t>uncertainty</w:t>
      </w:r>
      <w:r w:rsidRPr="00594ADE">
        <w:rPr>
          <w:rStyle w:val="StyleUnderline"/>
        </w:rPr>
        <w:t xml:space="preserve"> when feedback loops interact</w:t>
      </w:r>
      <w:r w:rsidRPr="00594ADE">
        <w:rPr>
          <w:sz w:val="16"/>
        </w:rPr>
        <w:t xml:space="preserve"> (Kareiva &amp; Carranza, 2018). It is difficult to identify the exact thresholds that are associated with tipping points (Moore, 2018), which leads to global catastrophic risk or existential risk, and thus it is necessary to understand the events that can lead to existential risks (Kareiva &amp; Carranza, 2018).</w:t>
      </w:r>
      <w:r>
        <w:rPr>
          <w:sz w:val="16"/>
        </w:rPr>
        <w:t xml:space="preserve"> </w:t>
      </w:r>
      <w:r w:rsidRPr="00594ADE">
        <w:rPr>
          <w:sz w:val="16"/>
        </w:rPr>
        <w:t>Table 1 identifies possible global catastrophic risks and existential risks as reported in the literature and from Fig. 3 these are aligned to the Sustainable Development Goals they impact on the most.</w:t>
      </w:r>
      <w:r>
        <w:rPr>
          <w:sz w:val="16"/>
        </w:rPr>
        <w:t xml:space="preserve"> </w:t>
      </w:r>
      <w:r w:rsidRPr="00594ADE">
        <w:rPr>
          <w:sz w:val="16"/>
        </w:rPr>
        <w:t>4.3. Linking risks with progress in the SDGs</w:t>
      </w:r>
      <w:r>
        <w:rPr>
          <w:sz w:val="16"/>
        </w:rPr>
        <w:t xml:space="preserve"> </w:t>
      </w:r>
      <w:r w:rsidRPr="00594ADE">
        <w:rPr>
          <w:sz w:val="16"/>
        </w:rPr>
        <w:t xml:space="preserve">Generally it is the Outcome/Foundational and Human input SDGs that are most directly related. For example as the </w:t>
      </w:r>
      <w:r w:rsidRPr="00594ADE">
        <w:rPr>
          <w:rStyle w:val="StyleUnderline"/>
        </w:rPr>
        <w:t xml:space="preserve">movement of </w:t>
      </w:r>
      <w:r w:rsidRPr="00726C77">
        <w:rPr>
          <w:rStyle w:val="Emphasis"/>
          <w:highlight w:val="green"/>
        </w:rPr>
        <w:t>refugees</w:t>
      </w:r>
      <w:r w:rsidRPr="00726C77">
        <w:rPr>
          <w:rStyle w:val="StyleUnderline"/>
          <w:highlight w:val="green"/>
        </w:rPr>
        <w:t xml:space="preserve"> increases </w:t>
      </w:r>
      <w:r w:rsidRPr="008D2E40">
        <w:rPr>
          <w:rStyle w:val="StyleUnderline"/>
          <w:highlight w:val="green"/>
        </w:rPr>
        <w:t>pandemic</w:t>
      </w:r>
      <w:r w:rsidRPr="00594ADE">
        <w:rPr>
          <w:rStyle w:val="StyleUnderline"/>
        </w:rPr>
        <w:t xml:space="preserve"> risk, </w:t>
      </w:r>
      <w:r w:rsidRPr="008D2E40">
        <w:rPr>
          <w:rStyle w:val="StyleUnderline"/>
          <w:highlight w:val="green"/>
        </w:rPr>
        <w:t>poverty</w:t>
      </w:r>
      <w:r w:rsidRPr="00594ADE">
        <w:rPr>
          <w:rStyle w:val="StyleUnderline"/>
        </w:rPr>
        <w:t xml:space="preserve"> levels</w:t>
      </w:r>
      <w:r w:rsidRPr="00594ADE">
        <w:rPr>
          <w:sz w:val="16"/>
        </w:rPr>
        <w:t xml:space="preserve"> in low and middle income countries increase </w:t>
      </w:r>
      <w:r w:rsidRPr="008D2E40">
        <w:rPr>
          <w:rStyle w:val="StyleUnderline"/>
          <w:highlight w:val="green"/>
        </w:rPr>
        <w:t>reducing</w:t>
      </w:r>
      <w:r w:rsidRPr="00594ADE">
        <w:rPr>
          <w:rStyle w:val="StyleUnderline"/>
        </w:rPr>
        <w:t xml:space="preserve"> the </w:t>
      </w:r>
      <w:r w:rsidRPr="008D2E40">
        <w:rPr>
          <w:rStyle w:val="StyleUnderline"/>
          <w:highlight w:val="green"/>
        </w:rPr>
        <w:t>health</w:t>
      </w:r>
      <w:r w:rsidRPr="00594ADE">
        <w:rPr>
          <w:rStyle w:val="StyleUnderline"/>
        </w:rPr>
        <w:t xml:space="preserve"> of the population, and</w:t>
      </w:r>
      <w:r w:rsidRPr="00594ADE">
        <w:rPr>
          <w:sz w:val="16"/>
        </w:rPr>
        <w:t xml:space="preserve"> so </w:t>
      </w:r>
      <w:r w:rsidRPr="00594ADE">
        <w:rPr>
          <w:rStyle w:val="StyleUnderline"/>
        </w:rPr>
        <w:t>restricting access to education</w:t>
      </w:r>
      <w:r w:rsidRPr="00594ADE">
        <w:rPr>
          <w:sz w:val="16"/>
        </w:rPr>
        <w:t xml:space="preserve"> which further enhances poverty and birth rates rise as family sizes increases generating unsustainable population growth which furthers the migration of refugees (Fig. 5). Fig. 3 shows that leverage points to reduce refugees lies in SDG 16 (Peace Justice and Strong Institutions), reducing malnutrition through alleviating SDG 2 (Zero Hunger) and taking SDG 13 (Climate Action) to avoid the mass movement of people to avoid the impacts of global warming.</w:t>
      </w:r>
      <w:r>
        <w:rPr>
          <w:sz w:val="16"/>
        </w:rPr>
        <w:t xml:space="preserve"> </w:t>
      </w:r>
      <w:r w:rsidRPr="00F807D1">
        <w:rPr>
          <w:rStyle w:val="Emphasis"/>
        </w:rPr>
        <w:t>Global warming</w:t>
      </w:r>
      <w:r w:rsidRPr="00F807D1">
        <w:rPr>
          <w:sz w:val="16"/>
        </w:rPr>
        <w:t xml:space="preserve"> itself </w:t>
      </w:r>
      <w:r w:rsidRPr="00F807D1">
        <w:rPr>
          <w:rStyle w:val="StyleUnderline"/>
        </w:rPr>
        <w:t>will drive disruptive changes in both terrestial and aquatic ecosystems</w:t>
      </w:r>
      <w:r w:rsidRPr="00F807D1">
        <w:rPr>
          <w:sz w:val="16"/>
        </w:rPr>
        <w:t xml:space="preserve"> affecting SDG 15 (Life on Land) and SDG 14 (Life Below Water) adding to their vulnerability to increases in pollution driven by a growing economy. Loop B (in Fig. 4)shows the constraints associated with SDG 13 (Climate Action) may slow the economic investment in industry and infrastructure reducing the pollution generated, encouraging adoption of SDG 7 (Affordable and Clean Energy) whilst stimulating carbon reduction and measures such as afforestation, which will also improve the foundational environmental goals. </w:t>
      </w:r>
      <w:r w:rsidRPr="00F807D1">
        <w:rPr>
          <w:rStyle w:val="StyleUnderline"/>
        </w:rPr>
        <w:t xml:space="preserve">Depletion of resources and </w:t>
      </w:r>
      <w:r w:rsidRPr="00F807D1">
        <w:rPr>
          <w:rStyle w:val="Emphasis"/>
        </w:rPr>
        <w:t xml:space="preserve">biodiversity </w:t>
      </w:r>
      <w:r w:rsidRPr="00F807D1">
        <w:rPr>
          <w:sz w:val="16"/>
        </w:rPr>
        <w:t xml:space="preserve">are strongly linked to SDG 12 (Responsible Consumption and Production) through measures such as halving global waste, reducing waste generation through recycling reuse and reduction schemes, and striving for more efficient industrial processes. The more resources that are used, the less responsible is Consumption and Production which may thus </w:t>
      </w:r>
      <w:r w:rsidRPr="00F807D1">
        <w:rPr>
          <w:rStyle w:val="StyleUnderline"/>
        </w:rPr>
        <w:t>reduce biodiversity</w:t>
      </w:r>
      <w:r w:rsidRPr="00F807D1">
        <w:rPr>
          <w:sz w:val="16"/>
        </w:rPr>
        <w:t xml:space="preserve"> (Fig. 3) </w:t>
      </w:r>
      <w:r w:rsidRPr="00F807D1">
        <w:rPr>
          <w:rStyle w:val="StyleUnderline"/>
        </w:rPr>
        <w:t xml:space="preserve">and increase the </w:t>
      </w:r>
      <w:r w:rsidRPr="00F807D1">
        <w:rPr>
          <w:rStyle w:val="Emphasis"/>
        </w:rPr>
        <w:t>amounts of wastes</w:t>
      </w:r>
      <w:r w:rsidRPr="00F807D1">
        <w:rPr>
          <w:rStyle w:val="StyleUnderline"/>
        </w:rPr>
        <w:t xml:space="preserve"> accumulating in the environment</w:t>
      </w:r>
      <w:r w:rsidRPr="00F807D1">
        <w:rPr>
          <w:sz w:val="16"/>
        </w:rPr>
        <w:t xml:space="preserve">. The final driver of Global Catastrophic Risk is an </w:t>
      </w:r>
      <w:r w:rsidRPr="00F807D1">
        <w:rPr>
          <w:rStyle w:val="Emphasis"/>
        </w:rPr>
        <w:t>agricultural shortfall</w:t>
      </w:r>
      <w:r w:rsidRPr="00F807D1">
        <w:rPr>
          <w:sz w:val="16"/>
        </w:rPr>
        <w:t xml:space="preserve"> which </w:t>
      </w:r>
      <w:r w:rsidRPr="00F807D1">
        <w:rPr>
          <w:rStyle w:val="StyleUnderline"/>
        </w:rPr>
        <w:t xml:space="preserve">will increase </w:t>
      </w:r>
      <w:r w:rsidRPr="00F807D1">
        <w:rPr>
          <w:rStyle w:val="Emphasis"/>
        </w:rPr>
        <w:t>global Hunger</w:t>
      </w:r>
      <w:r w:rsidRPr="00F807D1">
        <w:rPr>
          <w:sz w:val="16"/>
        </w:rPr>
        <w:t xml:space="preserve"> (SDG 2) </w:t>
      </w:r>
      <w:r w:rsidRPr="00F807D1">
        <w:rPr>
          <w:rStyle w:val="StyleUnderline"/>
        </w:rPr>
        <w:t>and widen</w:t>
      </w:r>
      <w:r w:rsidRPr="00F807D1">
        <w:rPr>
          <w:sz w:val="16"/>
        </w:rPr>
        <w:t xml:space="preserve"> the </w:t>
      </w:r>
      <w:r w:rsidRPr="00F807D1">
        <w:rPr>
          <w:rStyle w:val="Emphasis"/>
        </w:rPr>
        <w:t xml:space="preserve">Inequality </w:t>
      </w:r>
      <w:r w:rsidRPr="00F807D1">
        <w:rPr>
          <w:sz w:val="16"/>
        </w:rPr>
        <w:t xml:space="preserve">(SDG 10) between rich and poor nations and individuals. Quality Education (SDG 4) is important as a key leverage point to stimulate the generation and adoption of new technologies to improve energy (SDG 7) and water supplies (6) which can enhance agricultural production. Such linkages are convincingly examined and demonstrated in the recent film “The Boy Who Harnessed the Wind” (2019), based on a factual story of water shortages in Malawi in the mid 2000s. These examples may appear self evident, but it is the connections between the goals and how they adjust together that is important to consider so the consequence of policy actions in one area can be fully understood. Because of the underlying system structures global threats can quickly transmit through the system. </w:t>
      </w:r>
      <w:r w:rsidRPr="00F807D1">
        <w:rPr>
          <w:rStyle w:val="Emphasis"/>
        </w:rPr>
        <w:t>Water Crises</w:t>
      </w:r>
      <w:r w:rsidRPr="00F807D1">
        <w:rPr>
          <w:sz w:val="16"/>
        </w:rPr>
        <w:t xml:space="preserve"> will </w:t>
      </w:r>
      <w:r w:rsidRPr="00F807D1">
        <w:rPr>
          <w:rStyle w:val="StyleUnderline"/>
        </w:rPr>
        <w:t xml:space="preserve">limit </w:t>
      </w:r>
      <w:r w:rsidRPr="00F807D1">
        <w:rPr>
          <w:sz w:val="16"/>
        </w:rPr>
        <w:t xml:space="preserve">the </w:t>
      </w:r>
      <w:r w:rsidRPr="00F807D1">
        <w:rPr>
          <w:rStyle w:val="StyleUnderline"/>
        </w:rPr>
        <w:t>water available for agriculture and basic needs which</w:t>
      </w:r>
      <w:r w:rsidRPr="00F807D1">
        <w:rPr>
          <w:sz w:val="16"/>
        </w:rPr>
        <w:t xml:space="preserve"> in turn </w:t>
      </w:r>
      <w:r w:rsidRPr="00F807D1">
        <w:rPr>
          <w:rStyle w:val="StyleUnderline"/>
        </w:rPr>
        <w:t xml:space="preserve">will stimulate a decline in </w:t>
      </w:r>
      <w:r w:rsidRPr="00F807D1">
        <w:rPr>
          <w:rStyle w:val="Emphasis"/>
        </w:rPr>
        <w:t>Gender Equality</w:t>
      </w:r>
      <w:r w:rsidRPr="00F807D1">
        <w:rPr>
          <w:sz w:val="16"/>
        </w:rPr>
        <w:t xml:space="preserve"> (SDG 5). Technology disruption from cyber attacks will restrict the ability to operate Sustainable Cities and Communities (SDG 11) and potentially expose populations to extreme events by disrupting transport, health services, and the ability to pay for adaptation and mitigation of climate related threats from a weakened economy. </w:t>
      </w:r>
      <w:r w:rsidRPr="00F807D1">
        <w:rPr>
          <w:rStyle w:val="Emphasis"/>
        </w:rPr>
        <w:t>Conflict</w:t>
      </w:r>
      <w:r w:rsidRPr="00F807D1">
        <w:rPr>
          <w:sz w:val="16"/>
        </w:rPr>
        <w:t xml:space="preserve"> (in all forms) </w:t>
      </w:r>
      <w:r w:rsidRPr="00F807D1">
        <w:rPr>
          <w:rStyle w:val="StyleUnderline"/>
        </w:rPr>
        <w:t xml:space="preserve">will increase </w:t>
      </w:r>
      <w:r w:rsidRPr="00F807D1">
        <w:rPr>
          <w:rStyle w:val="Emphasis"/>
        </w:rPr>
        <w:t>refugees and climate change</w:t>
      </w:r>
      <w:r w:rsidRPr="00F807D1">
        <w:rPr>
          <w:rStyle w:val="StyleUnderline"/>
        </w:rPr>
        <w:t xml:space="preserve"> provides the backdrop against which</w:t>
      </w:r>
      <w:r w:rsidRPr="00F807D1">
        <w:rPr>
          <w:sz w:val="16"/>
        </w:rPr>
        <w:t xml:space="preserve"> all these </w:t>
      </w:r>
      <w:r w:rsidRPr="00F807D1">
        <w:rPr>
          <w:rStyle w:val="StyleUnderline"/>
        </w:rPr>
        <w:t>interactions will play out</w:t>
      </w:r>
      <w:r w:rsidRPr="00F807D1">
        <w:rPr>
          <w:sz w:val="16"/>
        </w:rPr>
        <w:t xml:space="preserve">. </w:t>
      </w:r>
    </w:p>
    <w:p w14:paraId="2933E7E0" w14:textId="77777777" w:rsidR="00F255AE" w:rsidRPr="002D5537" w:rsidRDefault="00F255AE" w:rsidP="00F255AE">
      <w:pPr>
        <w:pStyle w:val="Heading4"/>
      </w:pPr>
      <w:r>
        <w:t>If the US federal courts recognize this then we are able to save the world</w:t>
      </w:r>
    </w:p>
    <w:p w14:paraId="475348E0" w14:textId="77777777" w:rsidR="00F255AE" w:rsidRPr="00D2046C" w:rsidRDefault="00F255AE" w:rsidP="00F255AE">
      <w:r w:rsidRPr="00EA3C09">
        <w:rPr>
          <w:rStyle w:val="Style13ptBold"/>
        </w:rPr>
        <w:t xml:space="preserve">Brudney </w:t>
      </w:r>
      <w:r>
        <w:rPr>
          <w:rStyle w:val="Style13ptBold"/>
        </w:rPr>
        <w:t>21</w:t>
      </w:r>
      <w:r>
        <w:t xml:space="preserve"> [James; 2/8/21; </w:t>
      </w:r>
      <w:r w:rsidRPr="00EA3C09">
        <w:t>Joseph Crowley Chair in Labor and Employment Law, Fordham Law School</w:t>
      </w:r>
      <w:r>
        <w:t>; “</w:t>
      </w:r>
      <w:r w:rsidRPr="00EA3C09">
        <w:t>The Right to Strike as Customary International Law</w:t>
      </w:r>
      <w:r>
        <w:t xml:space="preserve">,” </w:t>
      </w:r>
      <w:r w:rsidRPr="00875A8F">
        <w:t>THE YALE JOURNAL OF INTERNATIONAL LAW</w:t>
      </w:r>
      <w:r>
        <w:t xml:space="preserve">, Vol 46, </w:t>
      </w:r>
      <w:hyperlink r:id="rId10" w:history="1">
        <w:r w:rsidRPr="00111F4F">
          <w:rPr>
            <w:rStyle w:val="Hyperlink"/>
          </w:rPr>
          <w:t>https://digitalcommons.law.yale.edu/cgi/viewcontent.cgi?article=1710&amp;context=yjil</w:t>
        </w:r>
      </w:hyperlink>
      <w:r>
        <w:t>] Justin ** Brackets in original</w:t>
      </w:r>
    </w:p>
    <w:p w14:paraId="611FA4AC" w14:textId="77777777" w:rsidR="00F255AE" w:rsidRDefault="00F255AE" w:rsidP="00F255AE">
      <w:pPr>
        <w:rPr>
          <w:sz w:val="16"/>
        </w:rPr>
      </w:pPr>
      <w:r w:rsidRPr="008D2E40">
        <w:rPr>
          <w:highlight w:val="green"/>
          <w:u w:val="single"/>
        </w:rPr>
        <w:lastRenderedPageBreak/>
        <w:t xml:space="preserve">In order for the </w:t>
      </w:r>
      <w:r w:rsidRPr="002018C1">
        <w:rPr>
          <w:rStyle w:val="Emphasis"/>
        </w:rPr>
        <w:t xml:space="preserve">international </w:t>
      </w:r>
      <w:r w:rsidRPr="008D2E40">
        <w:rPr>
          <w:rStyle w:val="Emphasis"/>
          <w:highlight w:val="green"/>
        </w:rPr>
        <w:t>right to strike to receive protection</w:t>
      </w:r>
      <w:r w:rsidRPr="00C81766">
        <w:rPr>
          <w:u w:val="single"/>
        </w:rPr>
        <w:t xml:space="preserve"> in a U.S. domestic law setting</w:t>
      </w:r>
      <w:r w:rsidRPr="00696421">
        <w:rPr>
          <w:sz w:val="16"/>
        </w:rPr>
        <w:t xml:space="preserve">, </w:t>
      </w:r>
      <w:r w:rsidRPr="008D2E40">
        <w:rPr>
          <w:highlight w:val="green"/>
          <w:u w:val="single"/>
        </w:rPr>
        <w:t>this CIL</w:t>
      </w:r>
      <w:r w:rsidRPr="00C81766">
        <w:rPr>
          <w:u w:val="single"/>
        </w:rPr>
        <w:t xml:space="preserve"> right </w:t>
      </w:r>
      <w:r w:rsidRPr="008D2E40">
        <w:rPr>
          <w:highlight w:val="green"/>
          <w:u w:val="single"/>
        </w:rPr>
        <w:t xml:space="preserve">must be </w:t>
      </w:r>
      <w:r w:rsidRPr="008D2E40">
        <w:rPr>
          <w:rStyle w:val="Emphasis"/>
          <w:highlight w:val="green"/>
        </w:rPr>
        <w:t>cognizable</w:t>
      </w:r>
      <w:r w:rsidRPr="008D2E40">
        <w:rPr>
          <w:highlight w:val="green"/>
          <w:u w:val="single"/>
        </w:rPr>
        <w:t xml:space="preserve"> in </w:t>
      </w:r>
      <w:r w:rsidRPr="008D2E40">
        <w:rPr>
          <w:rStyle w:val="Emphasis"/>
          <w:highlight w:val="green"/>
        </w:rPr>
        <w:t>federal court</w:t>
      </w:r>
      <w:r w:rsidRPr="00C81766">
        <w:rPr>
          <w:u w:val="single"/>
        </w:rPr>
        <w:t xml:space="preserve">. Workers asserting </w:t>
      </w:r>
      <w:r w:rsidRPr="002018C1">
        <w:rPr>
          <w:rStyle w:val="Emphasis"/>
        </w:rPr>
        <w:t>such a right</w:t>
      </w:r>
      <w:r w:rsidRPr="00C81766">
        <w:rPr>
          <w:u w:val="single"/>
        </w:rPr>
        <w:t xml:space="preserve"> would be </w:t>
      </w:r>
      <w:r w:rsidRPr="008D2E40">
        <w:rPr>
          <w:rStyle w:val="Emphasis"/>
          <w:highlight w:val="green"/>
        </w:rPr>
        <w:t>seeking direct application</w:t>
      </w:r>
      <w:r w:rsidRPr="00C81766">
        <w:rPr>
          <w:u w:val="single"/>
        </w:rPr>
        <w:t xml:space="preserve"> of CIL, </w:t>
      </w:r>
      <w:r w:rsidRPr="008D2E40">
        <w:rPr>
          <w:highlight w:val="green"/>
          <w:u w:val="single"/>
        </w:rPr>
        <w:t xml:space="preserve">stemming from </w:t>
      </w:r>
      <w:r w:rsidRPr="008D2E40">
        <w:rPr>
          <w:rStyle w:val="Emphasis"/>
          <w:highlight w:val="green"/>
        </w:rPr>
        <w:t>legal principles</w:t>
      </w:r>
      <w:r w:rsidRPr="002018C1">
        <w:rPr>
          <w:rStyle w:val="Emphasis"/>
        </w:rPr>
        <w:t xml:space="preserve"> set forth </w:t>
      </w:r>
      <w:r w:rsidRPr="008D2E40">
        <w:rPr>
          <w:rStyle w:val="Emphasis"/>
          <w:highlight w:val="green"/>
        </w:rPr>
        <w:t>in The Paquete Habana</w:t>
      </w:r>
      <w:r w:rsidRPr="002018C1">
        <w:rPr>
          <w:rStyle w:val="Emphasis"/>
        </w:rPr>
        <w:t>233</w:t>
      </w:r>
      <w:r w:rsidRPr="00696421">
        <w:rPr>
          <w:sz w:val="16"/>
        </w:rPr>
        <w:t xml:space="preserve"> </w:t>
      </w:r>
      <w:r w:rsidRPr="00C81766">
        <w:rPr>
          <w:u w:val="single"/>
        </w:rPr>
        <w:t xml:space="preserve">and </w:t>
      </w:r>
      <w:r w:rsidRPr="002018C1">
        <w:rPr>
          <w:rStyle w:val="Emphasis"/>
        </w:rPr>
        <w:t>subsequent cases</w:t>
      </w:r>
      <w:r w:rsidRPr="00C81766">
        <w:rPr>
          <w:u w:val="single"/>
        </w:rPr>
        <w:t xml:space="preserve">. The Paquete Habana involved </w:t>
      </w:r>
      <w:r w:rsidRPr="002018C1">
        <w:rPr>
          <w:rStyle w:val="Emphasis"/>
        </w:rPr>
        <w:t>U.S. seizure</w:t>
      </w:r>
      <w:r w:rsidRPr="00C81766">
        <w:rPr>
          <w:u w:val="single"/>
        </w:rPr>
        <w:t xml:space="preserve"> of two Spanish fishing vessels during the </w:t>
      </w:r>
      <w:r w:rsidRPr="002018C1">
        <w:rPr>
          <w:rStyle w:val="Emphasis"/>
        </w:rPr>
        <w:t>Spanish American War.</w:t>
      </w:r>
      <w:r w:rsidRPr="00C81766">
        <w:rPr>
          <w:u w:val="single"/>
        </w:rPr>
        <w:t xml:space="preserve"> The Court relied on </w:t>
      </w:r>
      <w:r w:rsidRPr="002018C1">
        <w:rPr>
          <w:rStyle w:val="Emphasis"/>
        </w:rPr>
        <w:t>customary international law</w:t>
      </w:r>
      <w:r w:rsidRPr="00C81766">
        <w:rPr>
          <w:u w:val="single"/>
        </w:rPr>
        <w:t xml:space="preserve"> to hold that the vessels and their cargoes were exempt from capture as prizes of war.</w:t>
      </w:r>
      <w:r w:rsidRPr="00696421">
        <w:rPr>
          <w:sz w:val="16"/>
        </w:rPr>
        <w:t xml:space="preserve">234 </w:t>
      </w:r>
      <w:r w:rsidRPr="00C81766">
        <w:rPr>
          <w:u w:val="single"/>
        </w:rPr>
        <w:t xml:space="preserve">Justice Gray’s oft-quoted language, </w:t>
      </w:r>
      <w:r w:rsidRPr="008D2E40">
        <w:rPr>
          <w:highlight w:val="green"/>
          <w:u w:val="single"/>
        </w:rPr>
        <w:t>recognizing</w:t>
      </w:r>
      <w:r w:rsidRPr="00C81766">
        <w:rPr>
          <w:u w:val="single"/>
        </w:rPr>
        <w:t xml:space="preserve"> </w:t>
      </w:r>
      <w:r w:rsidRPr="002018C1">
        <w:rPr>
          <w:rStyle w:val="Emphasis"/>
        </w:rPr>
        <w:t xml:space="preserve">that </w:t>
      </w:r>
      <w:r w:rsidRPr="008D2E40">
        <w:rPr>
          <w:rStyle w:val="Emphasis"/>
          <w:highlight w:val="green"/>
        </w:rPr>
        <w:t>CIL is part of</w:t>
      </w:r>
      <w:r w:rsidRPr="002018C1">
        <w:rPr>
          <w:rStyle w:val="Emphasis"/>
        </w:rPr>
        <w:t xml:space="preserve"> the </w:t>
      </w:r>
      <w:r w:rsidRPr="008D2E40">
        <w:rPr>
          <w:rStyle w:val="Emphasis"/>
          <w:highlight w:val="green"/>
        </w:rPr>
        <w:t>law of the U</w:t>
      </w:r>
      <w:r w:rsidRPr="002018C1">
        <w:rPr>
          <w:rStyle w:val="Emphasis"/>
        </w:rPr>
        <w:t xml:space="preserve">nited </w:t>
      </w:r>
      <w:r w:rsidRPr="008D2E40">
        <w:rPr>
          <w:rStyle w:val="Emphasis"/>
          <w:highlight w:val="green"/>
        </w:rPr>
        <w:t>S</w:t>
      </w:r>
      <w:r w:rsidRPr="002018C1">
        <w:rPr>
          <w:rStyle w:val="Emphasis"/>
        </w:rPr>
        <w:t>tates</w:t>
      </w:r>
      <w:r w:rsidRPr="00C81766">
        <w:rPr>
          <w:u w:val="single"/>
        </w:rPr>
        <w:t>, is as follows</w:t>
      </w:r>
      <w:r w:rsidRPr="00696421">
        <w:rPr>
          <w:sz w:val="16"/>
        </w:rPr>
        <w:t xml:space="preserve">: </w:t>
      </w:r>
      <w:r w:rsidRPr="00C81766">
        <w:rPr>
          <w:u w:val="single"/>
        </w:rPr>
        <w:t xml:space="preserve">International law is </w:t>
      </w:r>
      <w:r w:rsidRPr="002018C1">
        <w:rPr>
          <w:rStyle w:val="Emphasis"/>
        </w:rPr>
        <w:t>part of our la</w:t>
      </w:r>
      <w:r w:rsidRPr="00C81766">
        <w:rPr>
          <w:u w:val="single"/>
        </w:rPr>
        <w:t xml:space="preserve">w </w:t>
      </w:r>
      <w:r w:rsidRPr="008D2E40">
        <w:rPr>
          <w:highlight w:val="green"/>
          <w:u w:val="single"/>
        </w:rPr>
        <w:t>and must be</w:t>
      </w:r>
      <w:r w:rsidRPr="00C81766">
        <w:rPr>
          <w:u w:val="single"/>
        </w:rPr>
        <w:t xml:space="preserve"> </w:t>
      </w:r>
      <w:r w:rsidRPr="002018C1">
        <w:rPr>
          <w:rStyle w:val="Emphasis"/>
        </w:rPr>
        <w:t>ascertained</w:t>
      </w:r>
      <w:r w:rsidRPr="00C81766">
        <w:rPr>
          <w:u w:val="single"/>
        </w:rPr>
        <w:t xml:space="preserve"> and </w:t>
      </w:r>
      <w:r w:rsidRPr="008D2E40">
        <w:rPr>
          <w:rStyle w:val="Emphasis"/>
          <w:highlight w:val="green"/>
        </w:rPr>
        <w:t>administered</w:t>
      </w:r>
      <w:r w:rsidRPr="008D2E40">
        <w:rPr>
          <w:highlight w:val="green"/>
          <w:u w:val="single"/>
        </w:rPr>
        <w:t xml:space="preserve"> by</w:t>
      </w:r>
      <w:r w:rsidRPr="00C81766">
        <w:rPr>
          <w:u w:val="single"/>
        </w:rPr>
        <w:t xml:space="preserve"> the </w:t>
      </w:r>
      <w:r w:rsidRPr="008D2E40">
        <w:rPr>
          <w:rStyle w:val="Emphasis"/>
          <w:highlight w:val="green"/>
        </w:rPr>
        <w:t>courts of justice</w:t>
      </w:r>
      <w:r w:rsidRPr="002018C1">
        <w:rPr>
          <w:rStyle w:val="Emphasis"/>
        </w:rPr>
        <w:t xml:space="preserve"> of appropriate jurisdiction</w:t>
      </w:r>
      <w:r w:rsidRPr="00C81766">
        <w:rPr>
          <w:u w:val="single"/>
        </w:rPr>
        <w:t xml:space="preserve"> as often as </w:t>
      </w:r>
      <w:r w:rsidRPr="002018C1">
        <w:rPr>
          <w:rStyle w:val="Emphasis"/>
        </w:rPr>
        <w:t>questions of right</w:t>
      </w:r>
      <w:r w:rsidRPr="00C81766">
        <w:rPr>
          <w:u w:val="single"/>
        </w:rPr>
        <w:t xml:space="preserve"> depending upon it are </w:t>
      </w:r>
      <w:r w:rsidRPr="002018C1">
        <w:rPr>
          <w:rStyle w:val="Emphasis"/>
        </w:rPr>
        <w:t>duly presented for their determination</w:t>
      </w:r>
      <w:r w:rsidRPr="00696421">
        <w:rPr>
          <w:sz w:val="16"/>
        </w:rPr>
        <w:t xml:space="preserve">. For this purpose, where there is no treaty and no controlling executive or legislative act or judicial decision, resort must be had to the customs and usages of civilized nations . . . . 235 </w:t>
      </w:r>
      <w:r w:rsidRPr="00C81766">
        <w:rPr>
          <w:u w:val="single"/>
        </w:rPr>
        <w:t xml:space="preserve">In a </w:t>
      </w:r>
      <w:r w:rsidRPr="002018C1">
        <w:rPr>
          <w:rStyle w:val="Emphasis"/>
        </w:rPr>
        <w:t>number of decisions</w:t>
      </w:r>
      <w:r w:rsidRPr="00C81766">
        <w:rPr>
          <w:u w:val="single"/>
        </w:rPr>
        <w:t xml:space="preserve"> beginning in the 1960s, the Court has </w:t>
      </w:r>
      <w:r w:rsidRPr="002018C1">
        <w:rPr>
          <w:rStyle w:val="Emphasis"/>
        </w:rPr>
        <w:t>applied CIL rules</w:t>
      </w:r>
      <w:r w:rsidRPr="00C81766">
        <w:rPr>
          <w:u w:val="single"/>
        </w:rPr>
        <w:t xml:space="preserve"> when determining the legal status of </w:t>
      </w:r>
      <w:r w:rsidRPr="002018C1">
        <w:rPr>
          <w:rStyle w:val="Emphasis"/>
        </w:rPr>
        <w:t>submerged offshore areas</w:t>
      </w:r>
      <w:r w:rsidRPr="00696421">
        <w:rPr>
          <w:sz w:val="16"/>
        </w:rPr>
        <w:t xml:space="preserve">, </w:t>
      </w:r>
      <w:r w:rsidRPr="00C81766">
        <w:rPr>
          <w:u w:val="single"/>
        </w:rPr>
        <w:t xml:space="preserve">helping guide its application of </w:t>
      </w:r>
      <w:r w:rsidRPr="002018C1">
        <w:rPr>
          <w:rStyle w:val="Emphasis"/>
        </w:rPr>
        <w:t>federal statutes and treaties</w:t>
      </w:r>
      <w:r w:rsidRPr="00C81766">
        <w:rPr>
          <w:u w:val="single"/>
        </w:rPr>
        <w:t xml:space="preserve"> implicating the law of the seas</w:t>
      </w:r>
      <w:r w:rsidRPr="00696421">
        <w:rPr>
          <w:sz w:val="16"/>
        </w:rPr>
        <w:t xml:space="preserve">. 236 </w:t>
      </w:r>
      <w:r w:rsidRPr="00C81766">
        <w:rPr>
          <w:u w:val="single"/>
        </w:rPr>
        <w:t xml:space="preserve">The </w:t>
      </w:r>
      <w:r w:rsidRPr="008D2E40">
        <w:rPr>
          <w:highlight w:val="green"/>
          <w:u w:val="single"/>
        </w:rPr>
        <w:t>Court has</w:t>
      </w:r>
      <w:r w:rsidRPr="00C81766">
        <w:rPr>
          <w:u w:val="single"/>
        </w:rPr>
        <w:t xml:space="preserve"> also </w:t>
      </w:r>
      <w:r w:rsidRPr="008D2E40">
        <w:rPr>
          <w:rStyle w:val="Emphasis"/>
          <w:highlight w:val="green"/>
        </w:rPr>
        <w:t>invoked CIL</w:t>
      </w:r>
      <w:r w:rsidRPr="008D2E40">
        <w:rPr>
          <w:highlight w:val="green"/>
          <w:u w:val="single"/>
        </w:rPr>
        <w:t xml:space="preserve"> </w:t>
      </w:r>
      <w:r w:rsidRPr="00696421">
        <w:rPr>
          <w:u w:val="single"/>
        </w:rPr>
        <w:t>in</w:t>
      </w:r>
      <w:r w:rsidRPr="00C81766">
        <w:rPr>
          <w:u w:val="single"/>
        </w:rPr>
        <w:t xml:space="preserve"> determining when an instrumentality of a sovereign state becomes the </w:t>
      </w:r>
      <w:r w:rsidRPr="002018C1">
        <w:rPr>
          <w:rStyle w:val="Emphasis"/>
        </w:rPr>
        <w:t>“alter ego” of that state</w:t>
      </w:r>
      <w:r w:rsidRPr="00696421">
        <w:rPr>
          <w:sz w:val="16"/>
        </w:rPr>
        <w:t xml:space="preserve">, </w:t>
      </w:r>
      <w:r w:rsidRPr="00C81766">
        <w:rPr>
          <w:u w:val="single"/>
        </w:rPr>
        <w:t xml:space="preserve">a question not controlled by the </w:t>
      </w:r>
      <w:r w:rsidRPr="002018C1">
        <w:rPr>
          <w:rStyle w:val="Emphasis"/>
        </w:rPr>
        <w:t>relevant foreign sovereign immunity statute</w:t>
      </w:r>
      <w:r w:rsidRPr="00696421">
        <w:rPr>
          <w:sz w:val="16"/>
        </w:rPr>
        <w:t xml:space="preserve">.237 Relatedly, </w:t>
      </w:r>
      <w:r w:rsidRPr="00C81766">
        <w:rPr>
          <w:u w:val="single"/>
        </w:rPr>
        <w:t xml:space="preserve">the </w:t>
      </w:r>
      <w:r w:rsidRPr="002018C1">
        <w:rPr>
          <w:rStyle w:val="Emphasis"/>
        </w:rPr>
        <w:t>Court</w:t>
      </w:r>
      <w:r w:rsidRPr="00C81766">
        <w:rPr>
          <w:u w:val="single"/>
        </w:rPr>
        <w:t xml:space="preserve"> in </w:t>
      </w:r>
      <w:r w:rsidRPr="002018C1">
        <w:rPr>
          <w:rStyle w:val="Emphasis"/>
        </w:rPr>
        <w:t>Banco Nacional de Cuba v. Sabbatino238</w:t>
      </w:r>
      <w:r w:rsidRPr="00C81766">
        <w:rPr>
          <w:u w:val="single"/>
        </w:rPr>
        <w:t xml:space="preserve"> relied on a judge-made principle of U.S. foreign relations law—the </w:t>
      </w:r>
      <w:r w:rsidRPr="002018C1">
        <w:rPr>
          <w:rStyle w:val="Emphasis"/>
        </w:rPr>
        <w:t>Act of State doctrine</w:t>
      </w:r>
      <w:r w:rsidRPr="00C81766">
        <w:rPr>
          <w:u w:val="single"/>
        </w:rPr>
        <w:t xml:space="preserve">—to decline to </w:t>
      </w:r>
      <w:r w:rsidRPr="002018C1">
        <w:rPr>
          <w:rStyle w:val="Emphasis"/>
        </w:rPr>
        <w:t>examine the validity</w:t>
      </w:r>
      <w:r w:rsidRPr="00C81766">
        <w:rPr>
          <w:u w:val="single"/>
        </w:rPr>
        <w:t xml:space="preserve"> of the taking of property by a </w:t>
      </w:r>
      <w:r w:rsidRPr="002018C1">
        <w:rPr>
          <w:rStyle w:val="Emphasis"/>
        </w:rPr>
        <w:t>foreign sovereign government</w:t>
      </w:r>
      <w:r w:rsidRPr="00C81766">
        <w:rPr>
          <w:u w:val="single"/>
        </w:rPr>
        <w:t xml:space="preserve"> within its own territory</w:t>
      </w:r>
      <w:r w:rsidRPr="00696421">
        <w:rPr>
          <w:sz w:val="16"/>
        </w:rPr>
        <w:t xml:space="preserve">.239 Turning to lower federal courts, </w:t>
      </w:r>
      <w:r w:rsidRPr="00947E67">
        <w:rPr>
          <w:u w:val="single"/>
        </w:rPr>
        <w:t xml:space="preserve">the </w:t>
      </w:r>
      <w:r w:rsidRPr="008D2E40">
        <w:rPr>
          <w:rStyle w:val="Emphasis"/>
          <w:highlight w:val="green"/>
        </w:rPr>
        <w:t>courts</w:t>
      </w:r>
      <w:r w:rsidRPr="002018C1">
        <w:rPr>
          <w:rStyle w:val="Emphasis"/>
        </w:rPr>
        <w:t xml:space="preserve"> of appeals have </w:t>
      </w:r>
      <w:r w:rsidRPr="008D2E40">
        <w:rPr>
          <w:rStyle w:val="Emphasis"/>
          <w:highlight w:val="green"/>
        </w:rPr>
        <w:t>regularly applied</w:t>
      </w:r>
      <w:r w:rsidRPr="002018C1">
        <w:rPr>
          <w:rStyle w:val="Emphasis"/>
        </w:rPr>
        <w:t xml:space="preserve"> the </w:t>
      </w:r>
      <w:r w:rsidRPr="008D2E40">
        <w:rPr>
          <w:rStyle w:val="Emphasis"/>
          <w:highlight w:val="green"/>
        </w:rPr>
        <w:t>Vienna Convention</w:t>
      </w:r>
      <w:r w:rsidRPr="00947E67">
        <w:rPr>
          <w:u w:val="single"/>
        </w:rPr>
        <w:t xml:space="preserve"> on the </w:t>
      </w:r>
      <w:r w:rsidRPr="002018C1">
        <w:rPr>
          <w:rStyle w:val="Emphasis"/>
        </w:rPr>
        <w:t>Law of Treaties</w:t>
      </w:r>
      <w:r w:rsidRPr="00947E67">
        <w:rPr>
          <w:u w:val="single"/>
        </w:rPr>
        <w:t xml:space="preserve"> “as an articulation of the </w:t>
      </w:r>
      <w:r w:rsidRPr="002018C1">
        <w:rPr>
          <w:rStyle w:val="Emphasis"/>
        </w:rPr>
        <w:t>customary</w:t>
      </w:r>
      <w:r w:rsidRPr="00947E67">
        <w:rPr>
          <w:u w:val="single"/>
        </w:rPr>
        <w:t xml:space="preserve"> </w:t>
      </w:r>
      <w:r w:rsidRPr="002018C1">
        <w:rPr>
          <w:rStyle w:val="Emphasis"/>
        </w:rPr>
        <w:t>international</w:t>
      </w:r>
      <w:r w:rsidRPr="00947E67">
        <w:rPr>
          <w:u w:val="single"/>
        </w:rPr>
        <w:t xml:space="preserve"> </w:t>
      </w:r>
      <w:r w:rsidRPr="002018C1">
        <w:rPr>
          <w:rStyle w:val="Emphasis"/>
        </w:rPr>
        <w:t>law</w:t>
      </w:r>
      <w:r w:rsidRPr="00947E67">
        <w:rPr>
          <w:u w:val="single"/>
        </w:rPr>
        <w:t xml:space="preserve"> of treaty interpretation, </w:t>
      </w:r>
      <w:r w:rsidRPr="008D2E40">
        <w:rPr>
          <w:highlight w:val="green"/>
          <w:u w:val="single"/>
        </w:rPr>
        <w:t xml:space="preserve">even though </w:t>
      </w:r>
      <w:r w:rsidRPr="008D2E40">
        <w:rPr>
          <w:rStyle w:val="Emphasis"/>
          <w:highlight w:val="green"/>
        </w:rPr>
        <w:t>the U</w:t>
      </w:r>
      <w:r w:rsidRPr="002018C1">
        <w:rPr>
          <w:rStyle w:val="Emphasis"/>
        </w:rPr>
        <w:t xml:space="preserve">nited </w:t>
      </w:r>
      <w:r w:rsidRPr="008D2E40">
        <w:rPr>
          <w:rStyle w:val="Emphasis"/>
          <w:highlight w:val="green"/>
        </w:rPr>
        <w:t>S</w:t>
      </w:r>
      <w:r w:rsidRPr="002018C1">
        <w:rPr>
          <w:rStyle w:val="Emphasis"/>
        </w:rPr>
        <w:t xml:space="preserve">tates </w:t>
      </w:r>
      <w:r w:rsidRPr="008D2E40">
        <w:rPr>
          <w:rStyle w:val="Emphasis"/>
          <w:highlight w:val="green"/>
        </w:rPr>
        <w:t>is not a party to the treaty itself</w:t>
      </w:r>
      <w:r w:rsidRPr="00696421">
        <w:rPr>
          <w:sz w:val="16"/>
        </w:rPr>
        <w:t xml:space="preserve">.”240 And </w:t>
      </w:r>
      <w:r w:rsidRPr="00947E67">
        <w:rPr>
          <w:u w:val="single"/>
        </w:rPr>
        <w:t xml:space="preserve">at least one district court has </w:t>
      </w:r>
      <w:r w:rsidRPr="002018C1">
        <w:rPr>
          <w:rStyle w:val="Emphasis"/>
        </w:rPr>
        <w:t>recognized FOA and the right to organize as CIL</w:t>
      </w:r>
      <w:r w:rsidRPr="00947E67">
        <w:rPr>
          <w:u w:val="single"/>
        </w:rPr>
        <w:t xml:space="preserve"> when denying a motion to dismiss</w:t>
      </w:r>
      <w:r w:rsidRPr="00696421">
        <w:rPr>
          <w:sz w:val="16"/>
        </w:rPr>
        <w:t xml:space="preserve">.241 Finally, </w:t>
      </w:r>
      <w:r w:rsidRPr="00947E67">
        <w:rPr>
          <w:u w:val="single"/>
        </w:rPr>
        <w:t xml:space="preserve">the </w:t>
      </w:r>
      <w:r w:rsidRPr="002018C1">
        <w:rPr>
          <w:rStyle w:val="Emphasis"/>
        </w:rPr>
        <w:t>executive branch</w:t>
      </w:r>
      <w:r w:rsidRPr="00947E67">
        <w:rPr>
          <w:u w:val="single"/>
        </w:rPr>
        <w:t xml:space="preserve"> also has applied </w:t>
      </w:r>
      <w:r w:rsidRPr="002018C1">
        <w:rPr>
          <w:rStyle w:val="Emphasis"/>
        </w:rPr>
        <w:t>CIL in certain circumstances</w:t>
      </w:r>
      <w:r w:rsidRPr="00947E67">
        <w:rPr>
          <w:u w:val="single"/>
        </w:rPr>
        <w:t xml:space="preserve">. </w:t>
      </w:r>
      <w:r w:rsidRPr="008D2E40">
        <w:rPr>
          <w:highlight w:val="green"/>
          <w:u w:val="single"/>
        </w:rPr>
        <w:t xml:space="preserve">Although the </w:t>
      </w:r>
      <w:r w:rsidRPr="008D2E40">
        <w:rPr>
          <w:rStyle w:val="Emphasis"/>
          <w:highlight w:val="green"/>
        </w:rPr>
        <w:t>U.S. voted against</w:t>
      </w:r>
      <w:r w:rsidRPr="002018C1">
        <w:rPr>
          <w:rStyle w:val="Emphasis"/>
        </w:rPr>
        <w:t xml:space="preserve"> adoption</w:t>
      </w:r>
      <w:r w:rsidRPr="00947E67">
        <w:rPr>
          <w:u w:val="single"/>
        </w:rPr>
        <w:t xml:space="preserve"> of the </w:t>
      </w:r>
      <w:r w:rsidRPr="002018C1">
        <w:rPr>
          <w:rStyle w:val="Emphasis"/>
        </w:rPr>
        <w:t>1982</w:t>
      </w:r>
      <w:r w:rsidRPr="00947E67">
        <w:rPr>
          <w:u w:val="single"/>
        </w:rPr>
        <w:t xml:space="preserve"> </w:t>
      </w:r>
      <w:r w:rsidRPr="008D2E40">
        <w:rPr>
          <w:rStyle w:val="Emphasis"/>
          <w:highlight w:val="green"/>
        </w:rPr>
        <w:t>UN</w:t>
      </w:r>
      <w:r w:rsidRPr="008D2E40">
        <w:rPr>
          <w:highlight w:val="green"/>
          <w:u w:val="single"/>
        </w:rPr>
        <w:t xml:space="preserve"> </w:t>
      </w:r>
      <w:r w:rsidRPr="008D2E40">
        <w:rPr>
          <w:rStyle w:val="Emphasis"/>
          <w:highlight w:val="green"/>
        </w:rPr>
        <w:t>Convention</w:t>
      </w:r>
      <w:r w:rsidRPr="00947E67">
        <w:rPr>
          <w:u w:val="single"/>
        </w:rPr>
        <w:t xml:space="preserve"> on the Law of the Seas, </w:t>
      </w:r>
      <w:r w:rsidRPr="008D2E40">
        <w:rPr>
          <w:rStyle w:val="Emphasis"/>
          <w:highlight w:val="green"/>
        </w:rPr>
        <w:t>the U.S.</w:t>
      </w:r>
      <w:r w:rsidRPr="002018C1">
        <w:rPr>
          <w:rStyle w:val="Emphasis"/>
        </w:rPr>
        <w:t xml:space="preserve"> government </w:t>
      </w:r>
      <w:r w:rsidRPr="008D2E40">
        <w:rPr>
          <w:rStyle w:val="Emphasis"/>
          <w:highlight w:val="green"/>
        </w:rPr>
        <w:t>accepts its key provisions</w:t>
      </w:r>
      <w:r w:rsidRPr="00947E67">
        <w:rPr>
          <w:u w:val="single"/>
        </w:rPr>
        <w:t xml:space="preserve"> regarding the </w:t>
      </w:r>
      <w:r w:rsidRPr="002018C1">
        <w:rPr>
          <w:rStyle w:val="Emphasis"/>
        </w:rPr>
        <w:t>maximum breadth of territorial sea</w:t>
      </w:r>
      <w:r w:rsidRPr="00947E67">
        <w:rPr>
          <w:u w:val="single"/>
        </w:rPr>
        <w:t xml:space="preserve"> and the extent of </w:t>
      </w:r>
      <w:r w:rsidRPr="002018C1">
        <w:rPr>
          <w:rStyle w:val="Emphasis"/>
        </w:rPr>
        <w:t>exclusive economic zones as</w:t>
      </w:r>
      <w:r w:rsidRPr="00947E67">
        <w:rPr>
          <w:u w:val="single"/>
        </w:rPr>
        <w:t xml:space="preserve"> </w:t>
      </w:r>
      <w:r w:rsidRPr="002018C1">
        <w:rPr>
          <w:rStyle w:val="Emphasis"/>
        </w:rPr>
        <w:t>CIL</w:t>
      </w:r>
      <w:r w:rsidRPr="00696421">
        <w:rPr>
          <w:sz w:val="16"/>
        </w:rPr>
        <w:t xml:space="preserve">.242 In short, </w:t>
      </w:r>
      <w:r w:rsidRPr="008D2E40">
        <w:rPr>
          <w:highlight w:val="green"/>
          <w:u w:val="single"/>
        </w:rPr>
        <w:t xml:space="preserve">U.S. </w:t>
      </w:r>
      <w:r w:rsidRPr="008D2E40">
        <w:rPr>
          <w:rStyle w:val="Emphasis"/>
          <w:highlight w:val="green"/>
        </w:rPr>
        <w:t>courts</w:t>
      </w:r>
      <w:r w:rsidRPr="002018C1">
        <w:rPr>
          <w:rStyle w:val="Emphasis"/>
        </w:rPr>
        <w:t xml:space="preserve"> and executive branch</w:t>
      </w:r>
      <w:r w:rsidRPr="00947E67">
        <w:rPr>
          <w:u w:val="single"/>
        </w:rPr>
        <w:t xml:space="preserve"> </w:t>
      </w:r>
      <w:r w:rsidRPr="002018C1">
        <w:rPr>
          <w:rStyle w:val="Emphasis"/>
        </w:rPr>
        <w:t>officials</w:t>
      </w:r>
      <w:r w:rsidRPr="00947E67">
        <w:rPr>
          <w:u w:val="single"/>
        </w:rPr>
        <w:t xml:space="preserve"> have directly </w:t>
      </w:r>
      <w:r w:rsidRPr="008D2E40">
        <w:rPr>
          <w:rStyle w:val="Emphasis"/>
          <w:highlight w:val="green"/>
        </w:rPr>
        <w:t>applied CIL</w:t>
      </w:r>
      <w:r w:rsidRPr="008D2E40">
        <w:rPr>
          <w:highlight w:val="green"/>
          <w:u w:val="single"/>
        </w:rPr>
        <w:t xml:space="preserve"> and</w:t>
      </w:r>
      <w:r w:rsidRPr="00947E67">
        <w:rPr>
          <w:u w:val="single"/>
        </w:rPr>
        <w:t xml:space="preserve"> </w:t>
      </w:r>
      <w:r w:rsidRPr="008D2E40">
        <w:rPr>
          <w:highlight w:val="green"/>
          <w:u w:val="single"/>
        </w:rPr>
        <w:t>been guided by</w:t>
      </w:r>
      <w:r w:rsidRPr="00947E67">
        <w:rPr>
          <w:u w:val="single"/>
        </w:rPr>
        <w:t xml:space="preserve"> its </w:t>
      </w:r>
      <w:r w:rsidRPr="008D2E40">
        <w:rPr>
          <w:rStyle w:val="Emphasis"/>
          <w:highlight w:val="green"/>
        </w:rPr>
        <w:t>teachings</w:t>
      </w:r>
      <w:r w:rsidRPr="002018C1">
        <w:rPr>
          <w:rStyle w:val="Emphasis"/>
        </w:rPr>
        <w:t xml:space="preserve"> in a range of doctrinal settings</w:t>
      </w:r>
      <w:r w:rsidRPr="00696421">
        <w:rPr>
          <w:sz w:val="16"/>
        </w:rPr>
        <w:t xml:space="preserve">. 243 As noted earlier, </w:t>
      </w:r>
      <w:r w:rsidRPr="00947E67">
        <w:rPr>
          <w:u w:val="single"/>
        </w:rPr>
        <w:t xml:space="preserve">CIL on human rights has been </w:t>
      </w:r>
      <w:r w:rsidRPr="002018C1">
        <w:rPr>
          <w:rStyle w:val="Emphasis"/>
        </w:rPr>
        <w:t>deemed applicable in U.S. courts</w:t>
      </w:r>
      <w:r w:rsidRPr="00947E67">
        <w:rPr>
          <w:u w:val="single"/>
        </w:rPr>
        <w:t xml:space="preserve"> for suitably defined misconduct occurring in other countries</w:t>
      </w:r>
      <w:r w:rsidRPr="00696421">
        <w:rPr>
          <w:sz w:val="16"/>
        </w:rPr>
        <w:t xml:space="preserve">. 244 These doctrinal precedents do not involve direct application of CIL in a domestic law setting akin to the labor and human rights claims being proposed here. That said, lower courts have invoked CIL when applying federal rules of decision in a range of domestic law contexts. Indeed, </w:t>
      </w:r>
      <w:r w:rsidRPr="00947E67">
        <w:rPr>
          <w:u w:val="single"/>
        </w:rPr>
        <w:t xml:space="preserve">the use of CIL when </w:t>
      </w:r>
      <w:r w:rsidRPr="002018C1">
        <w:rPr>
          <w:rStyle w:val="Emphasis"/>
        </w:rPr>
        <w:t>applying</w:t>
      </w:r>
      <w:r w:rsidRPr="00947E67">
        <w:rPr>
          <w:u w:val="single"/>
        </w:rPr>
        <w:t xml:space="preserve"> and </w:t>
      </w:r>
      <w:r w:rsidRPr="002018C1">
        <w:rPr>
          <w:rStyle w:val="Emphasis"/>
        </w:rPr>
        <w:t>construing various federal statutes</w:t>
      </w:r>
      <w:r w:rsidRPr="00947E67">
        <w:rPr>
          <w:u w:val="single"/>
        </w:rPr>
        <w:t xml:space="preserve"> has increased markedly in recent decades</w:t>
      </w:r>
      <w:r w:rsidRPr="00696421">
        <w:rPr>
          <w:sz w:val="16"/>
        </w:rPr>
        <w:t xml:space="preserve">.245 Examples include its use when applying an armed conflict statute to establish limits on detention of a U.S. citizen within the U.S.;246 when construing the same statute to help establish requirements for release and repatriation of a foreign national held on U.S. soil;247 and when limiting the scope of an immigration statute’s authorization of detention.248 In addition, </w:t>
      </w:r>
      <w:r w:rsidRPr="00947E67">
        <w:rPr>
          <w:u w:val="single"/>
        </w:rPr>
        <w:t xml:space="preserve">CIL has been </w:t>
      </w:r>
      <w:r w:rsidRPr="002018C1">
        <w:rPr>
          <w:rStyle w:val="Emphasis"/>
        </w:rPr>
        <w:t>applied to help courts apply the choice</w:t>
      </w:r>
      <w:r w:rsidRPr="00947E67">
        <w:rPr>
          <w:u w:val="single"/>
        </w:rPr>
        <w:t xml:space="preserve"> between </w:t>
      </w:r>
      <w:r w:rsidRPr="002018C1">
        <w:rPr>
          <w:rStyle w:val="Emphasis"/>
        </w:rPr>
        <w:t>indefinite detention</w:t>
      </w:r>
      <w:r w:rsidRPr="00947E67">
        <w:rPr>
          <w:u w:val="single"/>
        </w:rPr>
        <w:t xml:space="preserve"> and </w:t>
      </w:r>
      <w:r w:rsidRPr="002018C1">
        <w:rPr>
          <w:rStyle w:val="Emphasis"/>
        </w:rPr>
        <w:t>exclusion</w:t>
      </w:r>
      <w:r w:rsidRPr="00947E67">
        <w:rPr>
          <w:u w:val="single"/>
        </w:rPr>
        <w:t xml:space="preserve"> under a different </w:t>
      </w:r>
      <w:r w:rsidRPr="002018C1">
        <w:rPr>
          <w:rStyle w:val="Emphasis"/>
        </w:rPr>
        <w:t>immigration statute</w:t>
      </w:r>
      <w:r w:rsidRPr="00947E67">
        <w:rPr>
          <w:u w:val="single"/>
        </w:rPr>
        <w:t>,</w:t>
      </w:r>
      <w:r w:rsidRPr="00696421">
        <w:rPr>
          <w:sz w:val="16"/>
        </w:rPr>
        <w:t xml:space="preserve">249 </w:t>
      </w:r>
      <w:r w:rsidRPr="00947E67">
        <w:rPr>
          <w:u w:val="single"/>
        </w:rPr>
        <w:t xml:space="preserve">and to </w:t>
      </w:r>
      <w:r w:rsidRPr="002018C1">
        <w:rPr>
          <w:rStyle w:val="Emphasis"/>
        </w:rPr>
        <w:t>assist judicial construction</w:t>
      </w:r>
      <w:r w:rsidRPr="00947E67">
        <w:rPr>
          <w:u w:val="single"/>
        </w:rPr>
        <w:t xml:space="preserve"> of a </w:t>
      </w:r>
      <w:r w:rsidRPr="002018C1">
        <w:rPr>
          <w:rStyle w:val="Emphasis"/>
        </w:rPr>
        <w:t>statute regulating recovery</w:t>
      </w:r>
      <w:r w:rsidRPr="00947E67">
        <w:rPr>
          <w:u w:val="single"/>
        </w:rPr>
        <w:t xml:space="preserve"> of sunken warships in U.S. waters</w:t>
      </w:r>
      <w:r w:rsidRPr="00696421">
        <w:rPr>
          <w:sz w:val="16"/>
        </w:rPr>
        <w:t xml:space="preserve">. 250 </w:t>
      </w:r>
      <w:r w:rsidRPr="00947E67">
        <w:rPr>
          <w:u w:val="single"/>
        </w:rPr>
        <w:t>It is not obvious why CIL should be deemed inapplicable when construing federal statutes that implicate appropriately qualified labor/human rights misconduct occurring within our borders</w:t>
      </w:r>
      <w:r w:rsidRPr="00696421">
        <w:rPr>
          <w:sz w:val="16"/>
        </w:rPr>
        <w:t xml:space="preserve">.251 Moreover, as previously noted, </w:t>
      </w:r>
      <w:r w:rsidRPr="00947E67">
        <w:rPr>
          <w:u w:val="single"/>
        </w:rPr>
        <w:t xml:space="preserve">a number of </w:t>
      </w:r>
      <w:r w:rsidRPr="008D2E40">
        <w:rPr>
          <w:highlight w:val="green"/>
          <w:u w:val="single"/>
        </w:rPr>
        <w:t>other countries</w:t>
      </w:r>
      <w:r w:rsidRPr="00947E67">
        <w:rPr>
          <w:u w:val="single"/>
        </w:rPr>
        <w:t xml:space="preserve"> have </w:t>
      </w:r>
      <w:r w:rsidRPr="008D2E40">
        <w:rPr>
          <w:rStyle w:val="Emphasis"/>
          <w:highlight w:val="green"/>
        </w:rPr>
        <w:t>accepted the right to strike as</w:t>
      </w:r>
      <w:r w:rsidRPr="002018C1">
        <w:rPr>
          <w:rStyle w:val="Emphasis"/>
        </w:rPr>
        <w:t xml:space="preserve"> a principle of </w:t>
      </w:r>
      <w:r w:rsidRPr="008D2E40">
        <w:rPr>
          <w:rStyle w:val="Emphasis"/>
          <w:highlight w:val="green"/>
        </w:rPr>
        <w:t>international law</w:t>
      </w:r>
      <w:r w:rsidRPr="00947E67">
        <w:rPr>
          <w:u w:val="single"/>
        </w:rPr>
        <w:t xml:space="preserve"> when applying their </w:t>
      </w:r>
      <w:r w:rsidRPr="002018C1">
        <w:rPr>
          <w:rStyle w:val="Emphasis"/>
        </w:rPr>
        <w:t xml:space="preserve">own domestic law </w:t>
      </w:r>
      <w:r w:rsidRPr="008D2E40">
        <w:rPr>
          <w:rStyle w:val="Emphasis"/>
          <w:highlight w:val="green"/>
        </w:rPr>
        <w:t>despite</w:t>
      </w:r>
      <w:r w:rsidRPr="00947E67">
        <w:rPr>
          <w:u w:val="single"/>
        </w:rPr>
        <w:t xml:space="preserve"> their conscious decision </w:t>
      </w:r>
      <w:r w:rsidRPr="008D2E40">
        <w:rPr>
          <w:highlight w:val="green"/>
          <w:u w:val="single"/>
        </w:rPr>
        <w:t xml:space="preserve">not to </w:t>
      </w:r>
      <w:r w:rsidRPr="008D2E40">
        <w:rPr>
          <w:rStyle w:val="Emphasis"/>
          <w:highlight w:val="green"/>
        </w:rPr>
        <w:t>ratify Convention 87</w:t>
      </w:r>
      <w:r w:rsidRPr="008D2E40">
        <w:rPr>
          <w:sz w:val="16"/>
          <w:highlight w:val="green"/>
        </w:rPr>
        <w:t>.</w:t>
      </w:r>
      <w:r w:rsidRPr="00696421">
        <w:rPr>
          <w:sz w:val="16"/>
        </w:rPr>
        <w:t xml:space="preserve">252 Once one accepts that recognized </w:t>
      </w:r>
      <w:r w:rsidRPr="00947E67">
        <w:rPr>
          <w:u w:val="single"/>
        </w:rPr>
        <w:t>CIL has substantive traction in a domestic law setting</w:t>
      </w:r>
      <w:r w:rsidRPr="00696421">
        <w:rPr>
          <w:sz w:val="16"/>
        </w:rPr>
        <w:t>, the focus should be on whether this CIL can be situated in relation to certain procedural or jurisdictional limitations that characterize the U.S. judicial context. Accordingly, application of CIL to sustain claims based on FOA and the right to strike requires consideration of how this CIL relates to other aspects of U.S. law.</w:t>
      </w:r>
      <w:r>
        <w:rPr>
          <w:sz w:val="16"/>
        </w:rPr>
        <w:t xml:space="preserve"> </w:t>
      </w:r>
      <w:r w:rsidRPr="00FC6656">
        <w:rPr>
          <w:u w:val="single"/>
        </w:rPr>
        <w:t xml:space="preserve">B. </w:t>
      </w:r>
      <w:r w:rsidRPr="00947E67">
        <w:rPr>
          <w:u w:val="single"/>
        </w:rPr>
        <w:t>CIL as Federal Common Law</w:t>
      </w:r>
      <w:r>
        <w:rPr>
          <w:sz w:val="16"/>
        </w:rPr>
        <w:t xml:space="preserve"> </w:t>
      </w:r>
      <w:r w:rsidRPr="00696421">
        <w:rPr>
          <w:sz w:val="16"/>
        </w:rPr>
        <w:t xml:space="preserve">A threshold question is whether U.S. courts should determine matters of CIL as federal common law or as state law in light of the Erie doctrine.253 The question has been extensively debated by able international law scholars,254 and I will not attempt to add new value in this setting. I am persuaded that </w:t>
      </w:r>
      <w:r w:rsidRPr="008D2E40">
        <w:rPr>
          <w:highlight w:val="green"/>
          <w:u w:val="single"/>
        </w:rPr>
        <w:t xml:space="preserve">CIL </w:t>
      </w:r>
      <w:r w:rsidRPr="008D2E40">
        <w:rPr>
          <w:rStyle w:val="Emphasis"/>
          <w:highlight w:val="green"/>
        </w:rPr>
        <w:t>should be</w:t>
      </w:r>
      <w:r w:rsidRPr="002018C1">
        <w:rPr>
          <w:rStyle w:val="Emphasis"/>
        </w:rPr>
        <w:t xml:space="preserve"> understood and </w:t>
      </w:r>
      <w:r w:rsidRPr="008D2E40">
        <w:rPr>
          <w:rStyle w:val="Emphasis"/>
          <w:highlight w:val="green"/>
        </w:rPr>
        <w:t>litigated as federal common law</w:t>
      </w:r>
      <w:r w:rsidRPr="00696421">
        <w:rPr>
          <w:sz w:val="16"/>
        </w:rPr>
        <w:t xml:space="preserve">, </w:t>
      </w:r>
      <w:r w:rsidRPr="00947E67">
        <w:rPr>
          <w:u w:val="single"/>
        </w:rPr>
        <w:t xml:space="preserve">for reasons presented at </w:t>
      </w:r>
      <w:r w:rsidRPr="002018C1">
        <w:rPr>
          <w:rStyle w:val="Emphasis"/>
        </w:rPr>
        <w:t xml:space="preserve">length in a </w:t>
      </w:r>
      <w:r w:rsidRPr="002018C1">
        <w:rPr>
          <w:rStyle w:val="Emphasis"/>
        </w:rPr>
        <w:lastRenderedPageBreak/>
        <w:t>range of sources</w:t>
      </w:r>
      <w:r w:rsidRPr="00696421">
        <w:rPr>
          <w:sz w:val="16"/>
        </w:rPr>
        <w:t>. 255 Indeed, as one international law scholar has recently and thoroughly explained, “</w:t>
      </w:r>
      <w:r w:rsidRPr="00947E67">
        <w:rPr>
          <w:u w:val="single"/>
        </w:rPr>
        <w:t>[t]he law of nations was the original federal common law</w:t>
      </w:r>
      <w:r w:rsidRPr="00696421">
        <w:rPr>
          <w:sz w:val="16"/>
        </w:rPr>
        <w:t xml:space="preserve">.”256 The basic contours of this position were set forth by the Supreme Court in Sabbatino, when it held that the Act of State doctrine is federal law, binding on the states and not within the scope of Erie. 257 In the words of Justice Harlan for an eight-member majority, “an issue concerned with a basic choice regarding the competence and function of the Judiciary and National Executive in ordering our relationships with other members of the international community must be treated exclusively as an aspect of federal law.”258 Subsequently, leading commentators have joined the Court in concluding that Erie was never meant to apply to CIL;259 that federal courts’ </w:t>
      </w:r>
      <w:r w:rsidRPr="008D2E40">
        <w:rPr>
          <w:rStyle w:val="Emphasis"/>
          <w:highlight w:val="green"/>
        </w:rPr>
        <w:t>incorporation</w:t>
      </w:r>
      <w:r w:rsidRPr="002018C1">
        <w:rPr>
          <w:rStyle w:val="Emphasis"/>
        </w:rPr>
        <w:t xml:space="preserve"> of the CIL of labor</w:t>
      </w:r>
      <w:r w:rsidRPr="00B76585">
        <w:rPr>
          <w:u w:val="single"/>
        </w:rPr>
        <w:t xml:space="preserve"> and </w:t>
      </w:r>
      <w:r w:rsidRPr="002018C1">
        <w:rPr>
          <w:rStyle w:val="Emphasis"/>
        </w:rPr>
        <w:t>human rights</w:t>
      </w:r>
      <w:r w:rsidRPr="00B76585">
        <w:rPr>
          <w:u w:val="single"/>
        </w:rPr>
        <w:t xml:space="preserve"> follows post-Erie precedent recognizing and helping to </w:t>
      </w:r>
      <w:r w:rsidRPr="008D2E40">
        <w:rPr>
          <w:highlight w:val="green"/>
          <w:u w:val="single"/>
        </w:rPr>
        <w:t xml:space="preserve">create a </w:t>
      </w:r>
      <w:r w:rsidRPr="008D2E40">
        <w:rPr>
          <w:rStyle w:val="Emphasis"/>
          <w:highlight w:val="green"/>
        </w:rPr>
        <w:t>federal common law</w:t>
      </w:r>
      <w:r w:rsidRPr="00B76585">
        <w:rPr>
          <w:u w:val="single"/>
        </w:rPr>
        <w:t xml:space="preserve"> for labor relations and for other </w:t>
      </w:r>
      <w:r w:rsidRPr="002018C1">
        <w:rPr>
          <w:rStyle w:val="Emphasis"/>
        </w:rPr>
        <w:t>uniquely federal interests</w:t>
      </w:r>
      <w:r w:rsidRPr="00696421">
        <w:rPr>
          <w:sz w:val="16"/>
        </w:rPr>
        <w:t xml:space="preserve">;260 that </w:t>
      </w:r>
      <w:r w:rsidRPr="00B76585">
        <w:rPr>
          <w:u w:val="single"/>
        </w:rPr>
        <w:t xml:space="preserve">CIL may </w:t>
      </w:r>
      <w:r w:rsidRPr="008D2E40">
        <w:rPr>
          <w:rStyle w:val="Emphasis"/>
          <w:highlight w:val="green"/>
        </w:rPr>
        <w:t>reflect developments</w:t>
      </w:r>
      <w:r w:rsidRPr="008D2E40">
        <w:rPr>
          <w:highlight w:val="green"/>
          <w:u w:val="single"/>
        </w:rPr>
        <w:t xml:space="preserve"> in the </w:t>
      </w:r>
      <w:r w:rsidRPr="008D2E40">
        <w:rPr>
          <w:rStyle w:val="Emphasis"/>
          <w:highlight w:val="green"/>
        </w:rPr>
        <w:t xml:space="preserve">international arena </w:t>
      </w:r>
      <w:r w:rsidRPr="002018C1">
        <w:rPr>
          <w:rStyle w:val="Emphasis"/>
        </w:rPr>
        <w:t>of labor</w:t>
      </w:r>
      <w:r w:rsidRPr="00064200">
        <w:rPr>
          <w:u w:val="single"/>
        </w:rPr>
        <w:t xml:space="preserve"> and human </w:t>
      </w:r>
      <w:r w:rsidRPr="008D2E40">
        <w:rPr>
          <w:rStyle w:val="Emphasis"/>
          <w:highlight w:val="green"/>
        </w:rPr>
        <w:t>rights in addition to filling gaps</w:t>
      </w:r>
      <w:r w:rsidRPr="002018C1">
        <w:rPr>
          <w:rStyle w:val="Emphasis"/>
        </w:rPr>
        <w:t xml:space="preserve"> with respect</w:t>
      </w:r>
      <w:r w:rsidRPr="00B76585">
        <w:rPr>
          <w:u w:val="single"/>
        </w:rPr>
        <w:t xml:space="preserve"> </w:t>
      </w:r>
      <w:r w:rsidRPr="008D2E40">
        <w:rPr>
          <w:highlight w:val="green"/>
          <w:u w:val="single"/>
        </w:rPr>
        <w:t xml:space="preserve">to </w:t>
      </w:r>
      <w:r w:rsidRPr="008D2E40">
        <w:rPr>
          <w:rStyle w:val="Emphasis"/>
          <w:highlight w:val="green"/>
        </w:rPr>
        <w:t>jurisdictional statutes</w:t>
      </w:r>
      <w:r w:rsidRPr="00B76585">
        <w:rPr>
          <w:u w:val="single"/>
        </w:rPr>
        <w:t xml:space="preserve"> such as the </w:t>
      </w:r>
      <w:r w:rsidRPr="002018C1">
        <w:rPr>
          <w:rStyle w:val="Emphasis"/>
        </w:rPr>
        <w:t>ATS and the Torture Victim Prevention</w:t>
      </w:r>
      <w:r w:rsidRPr="00B76585">
        <w:rPr>
          <w:u w:val="single"/>
        </w:rPr>
        <w:t xml:space="preserve"> </w:t>
      </w:r>
      <w:r w:rsidRPr="002018C1">
        <w:rPr>
          <w:rStyle w:val="Emphasis"/>
        </w:rPr>
        <w:t>Act</w:t>
      </w:r>
      <w:r w:rsidRPr="00696421">
        <w:rPr>
          <w:sz w:val="16"/>
        </w:rPr>
        <w:t xml:space="preserve"> (TVPA); 261 and that CIL remains subject to the democratic checks of supervision, endorsement, or revision by the federal political branches.262 Relying on the weight of these arguments in Boyle v. United Technologies Corp., Justice Scalia for the Court recognized that a few areas involving “uniquely federal interests” are committed to federal control, including the development of federal common law, and he cited Court precedent on CIL as one such area.263 C. The Presence or Absence of Controlling Law As indicated in The Paquete Habana excerpt above, an important additional consideration is whether there is a treaty or any “controlling executive or legislative act or judicial decision” that would preclude federal courts from recognizing a right to strike as CIL. Lower </w:t>
      </w:r>
      <w:r w:rsidRPr="008D2E40">
        <w:rPr>
          <w:highlight w:val="green"/>
          <w:u w:val="single"/>
        </w:rPr>
        <w:t>court decisions</w:t>
      </w:r>
      <w:r w:rsidRPr="00696421">
        <w:rPr>
          <w:u w:val="single"/>
        </w:rPr>
        <w:t xml:space="preserve"> </w:t>
      </w:r>
      <w:r w:rsidRPr="002018C1">
        <w:rPr>
          <w:rStyle w:val="Emphasis"/>
        </w:rPr>
        <w:t>invoking the “controlling law” principle</w:t>
      </w:r>
      <w:r w:rsidRPr="00696421">
        <w:rPr>
          <w:u w:val="single"/>
        </w:rPr>
        <w:t xml:space="preserve"> from Paquete Habana have </w:t>
      </w:r>
      <w:r w:rsidRPr="008D2E40">
        <w:rPr>
          <w:highlight w:val="green"/>
          <w:u w:val="single"/>
        </w:rPr>
        <w:t>applied</w:t>
      </w:r>
      <w:r w:rsidRPr="00696421">
        <w:rPr>
          <w:u w:val="single"/>
        </w:rPr>
        <w:t xml:space="preserve"> a </w:t>
      </w:r>
      <w:r w:rsidRPr="002018C1">
        <w:rPr>
          <w:rStyle w:val="Emphasis"/>
        </w:rPr>
        <w:t xml:space="preserve">fairly </w:t>
      </w:r>
      <w:r w:rsidRPr="008D2E40">
        <w:rPr>
          <w:rStyle w:val="Emphasis"/>
          <w:highlight w:val="green"/>
        </w:rPr>
        <w:t>rigorous standard</w:t>
      </w:r>
      <w:r w:rsidRPr="00064200">
        <w:rPr>
          <w:u w:val="single"/>
        </w:rPr>
        <w:t>,</w:t>
      </w:r>
      <w:r w:rsidRPr="00696421">
        <w:rPr>
          <w:u w:val="single"/>
        </w:rPr>
        <w:t xml:space="preserve"> relying on a comprehensive scheme of </w:t>
      </w:r>
      <w:r w:rsidRPr="002018C1">
        <w:rPr>
          <w:rStyle w:val="Emphasis"/>
        </w:rPr>
        <w:t>statutes and regulations</w:t>
      </w:r>
      <w:r w:rsidRPr="00696421">
        <w:rPr>
          <w:u w:val="single"/>
        </w:rPr>
        <w:t xml:space="preserve"> addressing the </w:t>
      </w:r>
      <w:r w:rsidRPr="002018C1">
        <w:rPr>
          <w:rStyle w:val="Emphasis"/>
        </w:rPr>
        <w:t>precise issue</w:t>
      </w:r>
      <w:r w:rsidRPr="00696421">
        <w:rPr>
          <w:sz w:val="16"/>
        </w:rPr>
        <w:t xml:space="preserve">,264 or on a treaty ratified by the U.S. directed to the same problem.265 </w:t>
      </w:r>
      <w:r w:rsidRPr="00696421">
        <w:rPr>
          <w:u w:val="single"/>
        </w:rPr>
        <w:t xml:space="preserve">These lower courts also have invoked Supreme Court </w:t>
      </w:r>
      <w:r w:rsidRPr="002018C1">
        <w:rPr>
          <w:rStyle w:val="Emphasis"/>
        </w:rPr>
        <w:t>statements that focus</w:t>
      </w:r>
      <w:r w:rsidRPr="00696421">
        <w:rPr>
          <w:u w:val="single"/>
        </w:rPr>
        <w:t xml:space="preserve"> on the central role of </w:t>
      </w:r>
      <w:r w:rsidRPr="002018C1">
        <w:rPr>
          <w:rStyle w:val="Emphasis"/>
        </w:rPr>
        <w:t>legislative expression</w:t>
      </w:r>
      <w:r w:rsidRPr="00696421">
        <w:rPr>
          <w:u w:val="single"/>
        </w:rPr>
        <w:t xml:space="preserve"> when concluding that certain </w:t>
      </w:r>
      <w:r w:rsidRPr="002018C1">
        <w:rPr>
          <w:rStyle w:val="Emphasis"/>
        </w:rPr>
        <w:t>controlling congressional acts</w:t>
      </w:r>
      <w:r w:rsidRPr="00696421">
        <w:rPr>
          <w:u w:val="single"/>
        </w:rPr>
        <w:t xml:space="preserve"> were taken with a purpose to </w:t>
      </w:r>
      <w:r w:rsidRPr="002018C1">
        <w:rPr>
          <w:rStyle w:val="Emphasis"/>
        </w:rPr>
        <w:t>preclude the application</w:t>
      </w:r>
      <w:r w:rsidRPr="00696421">
        <w:rPr>
          <w:u w:val="single"/>
        </w:rPr>
        <w:t xml:space="preserve"> of CIL to a particular situation</w:t>
      </w:r>
      <w:r w:rsidRPr="00696421">
        <w:rPr>
          <w:sz w:val="16"/>
        </w:rPr>
        <w:t xml:space="preserve">.266 Under this standard, </w:t>
      </w:r>
      <w:r w:rsidRPr="002018C1">
        <w:rPr>
          <w:rStyle w:val="Emphasis"/>
        </w:rPr>
        <w:t xml:space="preserve">controlling U.S. </w:t>
      </w:r>
      <w:r w:rsidRPr="008D2E40">
        <w:rPr>
          <w:rStyle w:val="Emphasis"/>
          <w:highlight w:val="green"/>
        </w:rPr>
        <w:t>domestic law</w:t>
      </w:r>
      <w:r w:rsidRPr="008D2E40">
        <w:rPr>
          <w:highlight w:val="green"/>
          <w:u w:val="single"/>
        </w:rPr>
        <w:t xml:space="preserve"> does not preclude </w:t>
      </w:r>
      <w:r w:rsidRPr="008D2E40">
        <w:rPr>
          <w:rStyle w:val="Emphasis"/>
          <w:highlight w:val="green"/>
        </w:rPr>
        <w:t>federal courts’</w:t>
      </w:r>
      <w:r w:rsidRPr="002018C1">
        <w:rPr>
          <w:rStyle w:val="Emphasis"/>
        </w:rPr>
        <w:t xml:space="preserve"> authority</w:t>
      </w:r>
      <w:r w:rsidRPr="00696421">
        <w:rPr>
          <w:u w:val="single"/>
        </w:rPr>
        <w:t xml:space="preserve"> to recognize a right to strike as CIL; on the contrary, </w:t>
      </w:r>
      <w:r w:rsidRPr="008D2E40">
        <w:rPr>
          <w:highlight w:val="green"/>
          <w:u w:val="single"/>
        </w:rPr>
        <w:t>it</w:t>
      </w:r>
      <w:r w:rsidRPr="00696421">
        <w:rPr>
          <w:u w:val="single"/>
        </w:rPr>
        <w:t xml:space="preserve"> </w:t>
      </w:r>
      <w:r w:rsidRPr="002018C1">
        <w:rPr>
          <w:rStyle w:val="Emphasis"/>
        </w:rPr>
        <w:t xml:space="preserve">arguably </w:t>
      </w:r>
      <w:r w:rsidRPr="008D2E40">
        <w:rPr>
          <w:rStyle w:val="Emphasis"/>
          <w:highlight w:val="green"/>
        </w:rPr>
        <w:t>supports such authority</w:t>
      </w:r>
      <w:r w:rsidRPr="00696421">
        <w:rPr>
          <w:u w:val="single"/>
        </w:rPr>
        <w:t>. As an ILO member</w:t>
      </w:r>
      <w:r w:rsidRPr="002018C1">
        <w:rPr>
          <w:rStyle w:val="Emphasis"/>
        </w:rPr>
        <w:t>, the U.S.</w:t>
      </w:r>
      <w:r w:rsidRPr="00696421">
        <w:rPr>
          <w:u w:val="single"/>
        </w:rPr>
        <w:t xml:space="preserve"> is a party to the 1944 Declaration of Philadelphia</w:t>
      </w:r>
      <w:r w:rsidRPr="00696421">
        <w:rPr>
          <w:sz w:val="16"/>
        </w:rPr>
        <w:t xml:space="preserve">, </w:t>
      </w:r>
      <w:r w:rsidRPr="00696421">
        <w:rPr>
          <w:u w:val="single"/>
        </w:rPr>
        <w:t xml:space="preserve">the 1998 Declaration on Fundamental Principles and Rights at Work, and the 2008 Declaration on Social Justice for a Fair Globalization.267 Each of these core ILO commitments specifies the </w:t>
      </w:r>
      <w:r w:rsidRPr="002018C1">
        <w:rPr>
          <w:rStyle w:val="Emphasis"/>
        </w:rPr>
        <w:t>fundamental importance of FOA</w:t>
      </w:r>
      <w:r w:rsidRPr="00696421">
        <w:rPr>
          <w:sz w:val="16"/>
        </w:rPr>
        <w:t>. Congress in two separate trade statutes has incorporated FOA as an “internationally recognized worker right.”268 In addition, the U.S. has ratified the ICCPR, which has incorporated the right to strike as part of FOA, and has signed the ICESCR, which expressly recognizes that right within its text. 269 And both the Administration’s 2015 statement at ILO Governing Body proceedings and its most recent trade agreement, drafted and executed by the Trump Administration, have specified that the right to strike is an integral part of FOA.270</w:t>
      </w:r>
    </w:p>
    <w:p w14:paraId="15FD3886" w14:textId="77777777" w:rsidR="00F255AE" w:rsidRPr="00244048" w:rsidRDefault="00F255AE" w:rsidP="00F255AE"/>
    <w:p w14:paraId="298C8094"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E3ABC"/>
    <w:multiLevelType w:val="hybridMultilevel"/>
    <w:tmpl w:val="1B8A0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E2407"/>
    <w:multiLevelType w:val="hybridMultilevel"/>
    <w:tmpl w:val="2BD61EF0"/>
    <w:lvl w:ilvl="0" w:tplc="BC1C32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255A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0C72"/>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55A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050EA"/>
  <w15:chartTrackingRefBased/>
  <w15:docId w15:val="{4808DD0F-A8B0-46D1-B85A-26B48DD3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55AE"/>
    <w:rPr>
      <w:rFonts w:ascii="Calibri" w:hAnsi="Calibri"/>
    </w:rPr>
  </w:style>
  <w:style w:type="paragraph" w:styleId="Heading1">
    <w:name w:val="heading 1"/>
    <w:aliases w:val="Pocket"/>
    <w:basedOn w:val="Normal"/>
    <w:next w:val="Normal"/>
    <w:link w:val="Heading1Char"/>
    <w:qFormat/>
    <w:rsid w:val="00F255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55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55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
    <w:basedOn w:val="Normal"/>
    <w:next w:val="Normal"/>
    <w:link w:val="Heading4Char"/>
    <w:uiPriority w:val="3"/>
    <w:unhideWhenUsed/>
    <w:qFormat/>
    <w:rsid w:val="00F255A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55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55AE"/>
  </w:style>
  <w:style w:type="character" w:customStyle="1" w:styleId="Heading1Char">
    <w:name w:val="Heading 1 Char"/>
    <w:aliases w:val="Pocket Char"/>
    <w:basedOn w:val="DefaultParagraphFont"/>
    <w:link w:val="Heading1"/>
    <w:rsid w:val="00F255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55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255AE"/>
    <w:rPr>
      <w:rFonts w:ascii="Calibri" w:eastAsiaTheme="majorEastAsia" w:hAnsi="Calibri" w:cstheme="majorBidi"/>
      <w:b/>
      <w:sz w:val="32"/>
      <w:szCs w:val="24"/>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F255AE"/>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s"/>
    <w:basedOn w:val="DefaultParagraphFont"/>
    <w:link w:val="textbold"/>
    <w:uiPriority w:val="7"/>
    <w:qFormat/>
    <w:rsid w:val="00F255AE"/>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255AE"/>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B"/>
    <w:basedOn w:val="DefaultParagraphFont"/>
    <w:uiPriority w:val="6"/>
    <w:qFormat/>
    <w:rsid w:val="00F255AE"/>
    <w:rPr>
      <w:b w:val="0"/>
      <w:sz w:val="22"/>
      <w:u w:val="singl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link w:val="NoSpacing"/>
    <w:uiPriority w:val="99"/>
    <w:unhideWhenUsed/>
    <w:rsid w:val="00F255AE"/>
    <w:rPr>
      <w:color w:val="auto"/>
      <w:u w:val="none"/>
    </w:rPr>
  </w:style>
  <w:style w:type="character" w:styleId="FollowedHyperlink">
    <w:name w:val="FollowedHyperlink"/>
    <w:basedOn w:val="DefaultParagraphFont"/>
    <w:uiPriority w:val="99"/>
    <w:semiHidden/>
    <w:unhideWhenUsed/>
    <w:rsid w:val="00F255AE"/>
    <w:rPr>
      <w:color w:val="auto"/>
      <w:u w:val="none"/>
    </w:rPr>
  </w:style>
  <w:style w:type="paragraph" w:styleId="DocumentMap">
    <w:name w:val="Document Map"/>
    <w:basedOn w:val="Normal"/>
    <w:link w:val="DocumentMapChar"/>
    <w:uiPriority w:val="99"/>
    <w:semiHidden/>
    <w:unhideWhenUsed/>
    <w:rsid w:val="00F255AE"/>
    <w:rPr>
      <w:rFonts w:ascii="Lucida Grande" w:hAnsi="Lucida Grande" w:cs="Lucida Grande"/>
    </w:rPr>
  </w:style>
  <w:style w:type="character" w:customStyle="1" w:styleId="DocumentMapChar">
    <w:name w:val="Document Map Char"/>
    <w:basedOn w:val="DefaultParagraphFont"/>
    <w:link w:val="DocumentMap"/>
    <w:uiPriority w:val="99"/>
    <w:semiHidden/>
    <w:rsid w:val="00F255AE"/>
    <w:rPr>
      <w:rFonts w:ascii="Lucida Grande" w:hAnsi="Lucida Grande" w:cs="Lucida Grande"/>
    </w:rPr>
  </w:style>
  <w:style w:type="character" w:styleId="UnresolvedMention">
    <w:name w:val="Unresolved Mention"/>
    <w:basedOn w:val="DefaultParagraphFont"/>
    <w:uiPriority w:val="99"/>
    <w:semiHidden/>
    <w:unhideWhenUsed/>
    <w:rsid w:val="00F255AE"/>
    <w:rPr>
      <w:color w:val="605E5C"/>
      <w:shd w:val="clear" w:color="auto" w:fill="E1DFDD"/>
    </w:rPr>
  </w:style>
  <w:style w:type="paragraph" w:customStyle="1" w:styleId="textbold">
    <w:name w:val="text bold"/>
    <w:basedOn w:val="Normal"/>
    <w:link w:val="Emphasis"/>
    <w:uiPriority w:val="7"/>
    <w:qFormat/>
    <w:rsid w:val="00F255AE"/>
    <w:pPr>
      <w:widowControl w:val="0"/>
      <w:ind w:left="720"/>
    </w:pPr>
    <w:rPr>
      <w:b/>
      <w:iCs/>
      <w:u w:val="single"/>
    </w:rPr>
  </w:style>
  <w:style w:type="paragraph" w:styleId="NoSpacing">
    <w:name w:val="No Spacing"/>
    <w:aliases w:val="Card Format,ClearFormatting,DDI Tag,Tag Title,No Spacing51,Dont use,Tag and Cite,No Spacing31,CD - Cite,No Spacing22,No Spacing41,No Spacing6,No Spacing7,Very Small Text,No Spacing8,Dont u,No Spacing311,No Spacing2,Medium Grid 21,tag,Clear"/>
    <w:basedOn w:val="Heading1"/>
    <w:link w:val="Hyperlink"/>
    <w:autoRedefine/>
    <w:uiPriority w:val="99"/>
    <w:qFormat/>
    <w:rsid w:val="00F255AE"/>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basedOn w:val="Normal"/>
    <w:uiPriority w:val="34"/>
    <w:qFormat/>
    <w:rsid w:val="00F255AE"/>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6"/>
    <w:qFormat/>
    <w:rsid w:val="00F255AE"/>
    <w:pPr>
      <w:autoSpaceDE w:val="0"/>
      <w:autoSpaceDN w:val="0"/>
      <w:adjustRightInd w:val="0"/>
      <w:spacing w:before="480" w:line="254" w:lineRule="auto"/>
      <w:ind w:left="432" w:right="432"/>
      <w:jc w:val="both"/>
    </w:pPr>
    <w:rPr>
      <w:rFonts w:asciiTheme="minorHAnsi" w:hAnsiTheme="minorHAnsi"/>
      <w:u w:val="single"/>
    </w:rPr>
  </w:style>
  <w:style w:type="paragraph" w:customStyle="1" w:styleId="CiteSpacing">
    <w:name w:val="Cite Spacing"/>
    <w:uiPriority w:val="4"/>
    <w:qFormat/>
    <w:rsid w:val="00F255AE"/>
  </w:style>
  <w:style w:type="character" w:customStyle="1" w:styleId="TitleChar">
    <w:name w:val="Title Char"/>
    <w:aliases w:val="title Char,UNDERLINE Char,Cites and Cards Char,Bold Underlined Char,Block Heading Char,Read This Char,Non Read Text Char,Debate Normal Char"/>
    <w:basedOn w:val="DefaultParagraphFont"/>
    <w:link w:val="Title"/>
    <w:uiPriority w:val="1"/>
    <w:qFormat/>
    <w:rsid w:val="00F255AE"/>
    <w:rPr>
      <w:u w:val="single"/>
    </w:rPr>
  </w:style>
  <w:style w:type="paragraph" w:styleId="Title">
    <w:name w:val="Title"/>
    <w:aliases w:val="title,UNDERLINE,Cites and Cards,Bold Underlined,Block Heading,Read This,Non Read Text,Debate Normal"/>
    <w:basedOn w:val="Normal"/>
    <w:link w:val="TitleChar"/>
    <w:uiPriority w:val="1"/>
    <w:qFormat/>
    <w:rsid w:val="00F255AE"/>
    <w:pPr>
      <w:spacing w:before="240" w:after="60"/>
      <w:ind w:left="432" w:right="432"/>
      <w:jc w:val="center"/>
      <w:outlineLvl w:val="0"/>
    </w:pPr>
    <w:rPr>
      <w:rFonts w:asciiTheme="minorHAnsi" w:hAnsiTheme="minorHAnsi"/>
      <w:u w:val="single"/>
    </w:rPr>
  </w:style>
  <w:style w:type="character" w:customStyle="1" w:styleId="TitleChar1">
    <w:name w:val="Title Char1"/>
    <w:basedOn w:val="DefaultParagraphFont"/>
    <w:uiPriority w:val="10"/>
    <w:rsid w:val="00F255AE"/>
    <w:rPr>
      <w:rFonts w:asciiTheme="majorHAnsi" w:eastAsiaTheme="majorEastAsia" w:hAnsiTheme="majorHAnsi" w:cstheme="majorBidi"/>
      <w:spacing w:val="-10"/>
      <w:kern w:val="28"/>
      <w:sz w:val="56"/>
      <w:szCs w:val="56"/>
    </w:rPr>
  </w:style>
  <w:style w:type="paragraph" w:customStyle="1" w:styleId="Body">
    <w:name w:val="Body"/>
    <w:autoRedefine/>
    <w:rsid w:val="00F255AE"/>
    <w:pPr>
      <w:spacing w:after="0" w:line="240" w:lineRule="auto"/>
    </w:pPr>
    <w:rPr>
      <w:rFonts w:ascii="Times New Roman" w:eastAsia="ヒラギノ角ゴ Pro W3" w:hAnsi="Times New Roman" w:cs="Times New Roman"/>
      <w:color w:val="000000"/>
      <w:sz w:val="24"/>
      <w:szCs w:val="20"/>
    </w:rPr>
  </w:style>
  <w:style w:type="character" w:styleId="IntenseEmphasis">
    <w:name w:val="Intense Emphasis"/>
    <w:aliases w:val="cites Char Ch,Intense Emphasis4,9.5 pt,Intense Emphasi,Box Out,Intense Emphasis5,Char Char Char1,Sty,Style Underli,Minimized Char,cites Char Char,Underlined Text Char,title Char1"/>
    <w:uiPriority w:val="5"/>
    <w:qFormat/>
    <w:rsid w:val="00F255AE"/>
    <w:rPr>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commons.law.yale.edu/cgi/viewcontent.cgi?article=1710&amp;context=yjil" TargetMode="External"/><Relationship Id="rId3" Type="http://schemas.openxmlformats.org/officeDocument/2006/relationships/styles" Target="styles.xml"/><Relationship Id="rId7" Type="http://schemas.openxmlformats.org/officeDocument/2006/relationships/hyperlink" Target="https://sci-hub.se/https://doi.org/10.1177/203195252199441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gitalcommons.law.yale.edu/cgi/viewcontent.cgi?article=1710&amp;context=yji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gitalcommons.law.yale.edu/cgi/viewcontent.cgi?article=1710&amp;context=yjil" TargetMode="External"/><Relationship Id="rId4" Type="http://schemas.openxmlformats.org/officeDocument/2006/relationships/settings" Target="settings.xml"/><Relationship Id="rId9" Type="http://schemas.openxmlformats.org/officeDocument/2006/relationships/hyperlink" Target="https://www.ilo.org/global/standards/introduction-to-international-labour-standards/the-benefits-of-international-labour-standards/lang--en/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12</Pages>
  <Words>9364</Words>
  <Characters>53376</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2</cp:revision>
  <dcterms:created xsi:type="dcterms:W3CDTF">2021-11-13T00:15:00Z</dcterms:created>
  <dcterms:modified xsi:type="dcterms:W3CDTF">2021-11-13T00:16:00Z</dcterms:modified>
</cp:coreProperties>
</file>