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41D29" w14:textId="24E25666" w:rsidR="00DE58F7" w:rsidRDefault="00DE58F7" w:rsidP="00DE58F7">
      <w:pPr>
        <w:pStyle w:val="Heading1"/>
      </w:pPr>
      <w:r w:rsidRPr="00DE58F7">
        <w:t>1NC v. Cierra Valley R6</w:t>
      </w:r>
    </w:p>
    <w:p w14:paraId="3ED85885" w14:textId="73B1180A" w:rsidR="002B1DBE" w:rsidRDefault="002B1DBE" w:rsidP="002B1DBE">
      <w:pPr>
        <w:pStyle w:val="Heading2"/>
      </w:pPr>
      <w:r>
        <w:t>1</w:t>
      </w:r>
    </w:p>
    <w:p w14:paraId="0610BC09" w14:textId="403E9EF7" w:rsidR="002B1DBE" w:rsidRDefault="00836B2F" w:rsidP="00836B2F">
      <w:pPr>
        <w:pStyle w:val="Heading3"/>
      </w:pPr>
      <w:r>
        <w:t>DA</w:t>
      </w:r>
    </w:p>
    <w:p w14:paraId="731FCFB7" w14:textId="77777777" w:rsidR="00836B2F" w:rsidRPr="00FB5463" w:rsidRDefault="00836B2F" w:rsidP="00836B2F">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6708888" w14:textId="77777777" w:rsidR="00836B2F" w:rsidRPr="00FB5463" w:rsidRDefault="00836B2F" w:rsidP="00836B2F">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632965C" w14:textId="77777777" w:rsidR="00836B2F" w:rsidRDefault="00836B2F" w:rsidP="00836B2F">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1DBF0FCE" w14:textId="77777777" w:rsidR="00836B2F" w:rsidRDefault="00836B2F" w:rsidP="00836B2F">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5CE1725" w14:textId="77777777" w:rsidR="00836B2F" w:rsidRPr="00AD3E38" w:rsidRDefault="00836B2F" w:rsidP="00836B2F">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0E5AC0F5" w14:textId="77777777" w:rsidR="00836B2F" w:rsidRPr="00AD3E38" w:rsidRDefault="00836B2F" w:rsidP="00836B2F">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AA93AAA" w14:textId="77777777" w:rsidR="00836B2F" w:rsidRDefault="00836B2F" w:rsidP="00836B2F">
      <w:pPr>
        <w:pStyle w:val="Heading4"/>
        <w:rPr>
          <w:rFonts w:cs="Times New Roman"/>
        </w:rPr>
      </w:pPr>
      <w:r>
        <w:rPr>
          <w:rFonts w:cs="Times New Roman"/>
        </w:rPr>
        <w:t>Warming causes Extinction</w:t>
      </w:r>
    </w:p>
    <w:p w14:paraId="593C666B" w14:textId="77777777" w:rsidR="00836B2F" w:rsidRPr="00601C82" w:rsidRDefault="00836B2F" w:rsidP="00836B2F">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D320ED4" w14:textId="77777777" w:rsidR="00836B2F" w:rsidRDefault="00836B2F" w:rsidP="00836B2F">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D6552A1" w14:textId="511D31D1" w:rsidR="00836B2F" w:rsidRDefault="00836B2F" w:rsidP="00836B2F">
      <w:pPr>
        <w:pStyle w:val="Heading2"/>
      </w:pPr>
      <w:r>
        <w:t>2</w:t>
      </w:r>
    </w:p>
    <w:p w14:paraId="680D10AA" w14:textId="608DDACD" w:rsidR="00836B2F" w:rsidRDefault="00D85FF2" w:rsidP="00836B2F">
      <w:pPr>
        <w:pStyle w:val="Heading3"/>
      </w:pPr>
      <w:r>
        <w:t>DA</w:t>
      </w:r>
    </w:p>
    <w:p w14:paraId="3D0FE3DB" w14:textId="1FD2BD74" w:rsidR="00D85FF2" w:rsidRDefault="00D85FF2" w:rsidP="00D85FF2">
      <w:pPr>
        <w:pStyle w:val="Heading4"/>
      </w:pPr>
      <w:r>
        <w:t xml:space="preserve">Low prices </w:t>
      </w:r>
      <w:r>
        <w:rPr>
          <w:u w:val="single"/>
        </w:rPr>
        <w:t>independently</w:t>
      </w:r>
      <w:r>
        <w:t xml:space="preserve"> cause AMR disease outbreaks.</w:t>
      </w:r>
    </w:p>
    <w:p w14:paraId="25A52C4A" w14:textId="77777777" w:rsidR="00D85FF2" w:rsidRPr="005C1D4C" w:rsidRDefault="00D85FF2" w:rsidP="00D85FF2">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4CA0E3A8" w14:textId="77777777" w:rsidR="00D85FF2" w:rsidRPr="005C1D4C" w:rsidRDefault="00D85FF2" w:rsidP="00D85FF2">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534A7687" w14:textId="77777777" w:rsidR="00D85FF2" w:rsidRPr="005C1D4C" w:rsidRDefault="00D85FF2" w:rsidP="00D85FF2">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6AB1F25B" w14:textId="77777777" w:rsidR="00D85FF2" w:rsidRPr="005C1D4C" w:rsidRDefault="00D85FF2" w:rsidP="00D85FF2">
      <w:r w:rsidRPr="005C1D4C">
        <w:rPr>
          <w:rStyle w:val="Style13ptBold"/>
        </w:rPr>
        <w:t>Silverman 16</w:t>
      </w:r>
      <w:r>
        <w:t xml:space="preserve"> Rachel Silverman 4-19-2016 “Confronting Antimicrobial Resistance: Can We Get to Collective Action?” </w:t>
      </w:r>
      <w:hyperlink r:id="rId10"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47AB7AAE" w14:textId="77777777" w:rsidR="00D85FF2" w:rsidRPr="005C1D4C" w:rsidRDefault="00D85FF2" w:rsidP="00D85FF2">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5C1D4C">
        <w:rPr>
          <w:rStyle w:val="StyleUnderline"/>
          <w:sz w:val="24"/>
          <w:highlight w:val="green"/>
          <w:bdr w:val="single" w:sz="18" w:space="0" w:color="auto"/>
        </w:rPr>
        <w:t>AMR is</w:t>
      </w:r>
      <w:r w:rsidRPr="005C1D4C">
        <w:rPr>
          <w:rStyle w:val="StyleUnderline"/>
          <w:sz w:val="24"/>
        </w:rPr>
        <w:t xml:space="preserve"> already </w:t>
      </w:r>
      <w:r w:rsidRPr="005C1D4C">
        <w:rPr>
          <w:rStyle w:val="StyleUnderline"/>
          <w:sz w:val="24"/>
          <w:highlight w:val="green"/>
          <w:bdr w:val="single" w:sz="18" w:space="0" w:color="auto"/>
        </w:rPr>
        <w:t>responsible for</w:t>
      </w:r>
      <w:r w:rsidRPr="005C1D4C">
        <w:rPr>
          <w:sz w:val="16"/>
        </w:rPr>
        <w:t xml:space="preserve"> an estimated </w:t>
      </w:r>
      <w:r w:rsidRPr="005C1D4C">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5C1D4C">
        <w:rPr>
          <w:rStyle w:val="Emphasis"/>
          <w:sz w:val="24"/>
          <w:highlight w:val="green"/>
        </w:rPr>
        <w:t>AMR could cause 10 million deaths</w:t>
      </w:r>
      <w:r w:rsidRPr="005C1D4C">
        <w:rPr>
          <w:rStyle w:val="Emphasis"/>
          <w:sz w:val="24"/>
        </w:rPr>
        <w:t xml:space="preserve"> </w:t>
      </w:r>
      <w:r w:rsidRPr="005C1D4C">
        <w:rPr>
          <w:rStyle w:val="Emphasis"/>
          <w:sz w:val="24"/>
          <w:highlight w:val="green"/>
        </w:rPr>
        <w:t>each year by 2050</w:t>
      </w:r>
      <w:r w:rsidRPr="005C1D4C">
        <w:rPr>
          <w:highlight w:val="green"/>
          <w:u w:val="single"/>
          <w:bdr w:val="single" w:sz="18" w:space="0" w:color="auto"/>
        </w:rPr>
        <w:t xml:space="preserve">, </w:t>
      </w:r>
      <w:r w:rsidRPr="005C1D4C">
        <w:rPr>
          <w:rStyle w:val="StyleUnderline"/>
          <w:bCs/>
          <w:sz w:val="24"/>
          <w:highlight w:val="green"/>
          <w:bdr w:val="single" w:sz="18" w:space="0" w:color="auto"/>
        </w:rPr>
        <w:t>with</w:t>
      </w:r>
      <w:r w:rsidRPr="005C1D4C">
        <w:rPr>
          <w:highlight w:val="green"/>
          <w:u w:val="single"/>
          <w:bdr w:val="single" w:sz="18" w:space="0" w:color="auto"/>
        </w:rPr>
        <w:t xml:space="preserve"> </w:t>
      </w:r>
      <w:r w:rsidRPr="005C1D4C">
        <w:rPr>
          <w:rStyle w:val="Emphasis"/>
          <w:sz w:val="24"/>
          <w:highlight w:val="green"/>
        </w:rPr>
        <w:t>knock-on effects</w:t>
      </w:r>
      <w:r w:rsidRPr="005C1D4C">
        <w:rPr>
          <w:sz w:val="16"/>
        </w:rPr>
        <w:t xml:space="preserve"> </w:t>
      </w:r>
      <w:r w:rsidRPr="005C1D4C">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5C1D4C">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5C1D4C">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5C1D4C">
        <w:rPr>
          <w:rStyle w:val="StyleUnderline"/>
          <w:bCs/>
          <w:sz w:val="24"/>
          <w:highlight w:val="green"/>
          <w:bdr w:val="single" w:sz="18" w:space="0" w:color="auto"/>
        </w:rPr>
        <w:t>represent</w:t>
      </w:r>
      <w:r w:rsidRPr="005C1D4C">
        <w:rPr>
          <w:sz w:val="16"/>
        </w:rPr>
        <w:t xml:space="preserve"> the top three </w:t>
      </w:r>
      <w:r w:rsidRPr="005C1D4C">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5C1D4C">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seems like a</w:t>
      </w:r>
      <w:r w:rsidRPr="005C1D4C">
        <w:rPr>
          <w:sz w:val="16"/>
        </w:rPr>
        <w:t xml:space="preserve"> “</w:t>
      </w:r>
      <w:r w:rsidRPr="005C1D4C">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5C1D4C">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and</w:t>
      </w:r>
      <w:r w:rsidRPr="005C1D4C">
        <w:rPr>
          <w:sz w:val="16"/>
          <w:bdr w:val="single" w:sz="18" w:space="0" w:color="auto"/>
        </w:rPr>
        <w:t xml:space="preserve"> </w:t>
      </w:r>
      <w:r w:rsidRPr="005C1D4C">
        <w:rPr>
          <w:rStyle w:val="Emphasis"/>
          <w:sz w:val="24"/>
          <w:highlight w:val="green"/>
        </w:rPr>
        <w:t>mostly invisible</w:t>
      </w:r>
      <w:r w:rsidRPr="005C1D4C">
        <w:rPr>
          <w:sz w:val="16"/>
        </w:rPr>
        <w:t xml:space="preserve">. </w:t>
      </w:r>
      <w:r w:rsidRPr="005C1D4C">
        <w:rPr>
          <w:rStyle w:val="StyleUnderline"/>
          <w:bCs/>
          <w:sz w:val="24"/>
          <w:highlight w:val="green"/>
          <w:bdr w:val="single" w:sz="18" w:space="0" w:color="auto"/>
        </w:rPr>
        <w:t>But</w:t>
      </w:r>
      <w:r w:rsidRPr="005C1D4C">
        <w:rPr>
          <w:b/>
          <w:bCs/>
          <w:sz w:val="16"/>
          <w:highlight w:val="green"/>
          <w:bdr w:val="single" w:sz="18" w:space="0" w:color="auto"/>
        </w:rPr>
        <w:t xml:space="preserve"> </w:t>
      </w:r>
      <w:r w:rsidRPr="005C1D4C">
        <w:rPr>
          <w:rStyle w:val="StyleUnderline"/>
          <w:bCs/>
          <w:sz w:val="24"/>
          <w:highlight w:val="green"/>
          <w:bdr w:val="single" w:sz="18" w:space="0" w:color="auto"/>
        </w:rPr>
        <w:t>at some point</w:t>
      </w:r>
      <w:r w:rsidRPr="005C1D4C">
        <w:rPr>
          <w:rStyle w:val="StyleUnderline"/>
          <w:sz w:val="24"/>
        </w:rPr>
        <w:t xml:space="preserve"> in the future </w:t>
      </w:r>
      <w:r w:rsidRPr="005C1D4C">
        <w:rPr>
          <w:rStyle w:val="StyleUnderline"/>
          <w:bCs/>
          <w:sz w:val="24"/>
          <w:highlight w:val="green"/>
          <w:bdr w:val="single" w:sz="18" w:space="0" w:color="auto"/>
        </w:rPr>
        <w:t>they could</w:t>
      </w:r>
      <w:r w:rsidRPr="005C1D4C">
        <w:rPr>
          <w:sz w:val="16"/>
          <w:bdr w:val="single" w:sz="18" w:space="0" w:color="auto"/>
        </w:rPr>
        <w:t xml:space="preserve"> </w:t>
      </w:r>
      <w:r w:rsidRPr="005C1D4C">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5C1D4C">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67EEA17F" w14:textId="04AD7CDB" w:rsidR="00836B2F" w:rsidRDefault="00D85FF2" w:rsidP="00D85FF2">
      <w:pPr>
        <w:pStyle w:val="Heading2"/>
      </w:pPr>
      <w:r>
        <w:t>3</w:t>
      </w:r>
    </w:p>
    <w:p w14:paraId="0E9B8101" w14:textId="5D260D75" w:rsidR="00D85FF2" w:rsidRDefault="00D85FF2" w:rsidP="00D85FF2">
      <w:pPr>
        <w:pStyle w:val="Heading3"/>
      </w:pPr>
      <w:r>
        <w:t>CP</w:t>
      </w:r>
    </w:p>
    <w:p w14:paraId="0C44831D" w14:textId="77777777" w:rsidR="00D85FF2" w:rsidRDefault="00D85FF2" w:rsidP="00D85FF2">
      <w:pPr>
        <w:pStyle w:val="Heading4"/>
      </w:pPr>
      <w:r>
        <w:t>Text – Member states of the World Trade Organization ought to individually domestically establish single-payer national health insurance.</w:t>
      </w:r>
    </w:p>
    <w:p w14:paraId="3B66B49F" w14:textId="77777777" w:rsidR="00D85FF2" w:rsidRDefault="00D85FF2" w:rsidP="00D85FF2">
      <w:pPr>
        <w:pStyle w:val="Heading4"/>
      </w:pPr>
      <w:r>
        <w:t xml:space="preserve">Single Payer </w:t>
      </w:r>
      <w:r>
        <w:rPr>
          <w:u w:val="single"/>
        </w:rPr>
        <w:t>solves High Drug Prices</w:t>
      </w:r>
      <w:r>
        <w:t>.</w:t>
      </w:r>
    </w:p>
    <w:p w14:paraId="6E2BFD5E" w14:textId="77777777" w:rsidR="00D85FF2" w:rsidRPr="00B354B5" w:rsidRDefault="00D85FF2" w:rsidP="00D85FF2">
      <w:r w:rsidRPr="00B354B5">
        <w:rPr>
          <w:rStyle w:val="Style13ptBold"/>
        </w:rPr>
        <w:t>Rotolo 19</w:t>
      </w:r>
      <w:r>
        <w:t xml:space="preserve"> </w:t>
      </w:r>
      <w:r w:rsidRPr="00B354B5">
        <w:t>Shannon Rotolo 11-18-2019 "Letters: ‘Medicare for All’ would drive down drug costs"</w:t>
      </w:r>
      <w:r>
        <w:t xml:space="preserve"> </w:t>
      </w:r>
      <w:hyperlink r:id="rId11" w:history="1">
        <w:r w:rsidRPr="00952336">
          <w:rPr>
            <w:rStyle w:val="Hyperlink"/>
          </w:rPr>
          <w:t>https://www.chicagotribune.com/opinion/letters/ct-letters-vp-111819-20191118-3q6k5toz6fgmvafspzylpbs2ca-story.html</w:t>
        </w:r>
      </w:hyperlink>
      <w:r>
        <w:t xml:space="preserve"> (</w:t>
      </w:r>
      <w:r w:rsidRPr="00B354B5">
        <w:t>pharmacist and member of the Illinois Single-Payer Coalition, Chicago</w:t>
      </w:r>
      <w:r>
        <w:t xml:space="preserve">)//Elmer </w:t>
      </w:r>
    </w:p>
    <w:p w14:paraId="28A3F589" w14:textId="77777777" w:rsidR="00D85FF2" w:rsidRPr="004025F4" w:rsidRDefault="00D85FF2" w:rsidP="00D85FF2">
      <w:pPr>
        <w:rPr>
          <w:sz w:val="16"/>
        </w:rPr>
      </w:pPr>
      <w:r w:rsidRPr="00B354B5">
        <w:rPr>
          <w:u w:val="single"/>
        </w:rPr>
        <w:t>In 2017, a study found that more than 15% of people living in the United States went without a needed medication because of its cost</w:t>
      </w:r>
      <w:r w:rsidRPr="004025F4">
        <w:rPr>
          <w:sz w:val="16"/>
        </w:rPr>
        <w:t xml:space="preserve">. </w:t>
      </w:r>
      <w:r w:rsidRPr="004025F4">
        <w:rPr>
          <w:u w:val="single"/>
        </w:rPr>
        <w:t>This is significantly higher than the nonadherence in a majority of European countries. While there are multiple bills at the state and federal level aimed at reducing drug prices for single classes of drugs, such as insulin, or targeting high-cost drugs as a category</w:t>
      </w:r>
      <w:r w:rsidRPr="004025F4">
        <w:rPr>
          <w:sz w:val="16"/>
        </w:rPr>
        <w:t xml:space="preserve">, </w:t>
      </w:r>
      <w:r w:rsidRPr="003477F0">
        <w:rPr>
          <w:b/>
          <w:sz w:val="26"/>
          <w:highlight w:val="green"/>
          <w:u w:val="single"/>
          <w:bdr w:val="single" w:sz="12" w:space="0" w:color="auto"/>
        </w:rPr>
        <w:t>none of these bills has the potential to make the same impact as a switch to a single-payer system</w:t>
      </w:r>
      <w:r w:rsidRPr="004025F4">
        <w:rPr>
          <w:sz w:val="16"/>
        </w:rPr>
        <w:t xml:space="preserve">, commonly known as “Medicare for All.” Creation of a single-payer system has the </w:t>
      </w:r>
      <w:r w:rsidRPr="003477F0">
        <w:rPr>
          <w:b/>
          <w:sz w:val="26"/>
          <w:highlight w:val="green"/>
          <w:u w:val="single"/>
        </w:rPr>
        <w:t>ability to drive down drug prices by consolidating negotiating power</w:t>
      </w:r>
      <w:r w:rsidRPr="004025F4">
        <w:rPr>
          <w:sz w:val="16"/>
        </w:rPr>
        <w:t xml:space="preserve">. This is something we’ve been told pharmacy benefit managers (PBMs), middlemen in our current system, could achieve. But despite their presence, drug costs have continued to skyrocket. A single-payer system, on the other hand, is </w:t>
      </w:r>
      <w:r w:rsidRPr="003477F0">
        <w:rPr>
          <w:b/>
          <w:sz w:val="26"/>
          <w:highlight w:val="green"/>
          <w:u w:val="single"/>
        </w:rPr>
        <w:t>projected to reduce</w:t>
      </w:r>
      <w:r w:rsidRPr="003477F0">
        <w:rPr>
          <w:sz w:val="16"/>
          <w:highlight w:val="green"/>
        </w:rPr>
        <w:t xml:space="preserve"> </w:t>
      </w:r>
      <w:r w:rsidRPr="004025F4">
        <w:rPr>
          <w:sz w:val="16"/>
        </w:rPr>
        <w:t xml:space="preserve">brand name </w:t>
      </w:r>
      <w:r w:rsidRPr="003477F0">
        <w:rPr>
          <w:b/>
          <w:sz w:val="26"/>
          <w:highlight w:val="green"/>
          <w:u w:val="single"/>
          <w:bdr w:val="single" w:sz="12" w:space="0" w:color="auto"/>
        </w:rPr>
        <w:t>drug prices by about 50%.</w:t>
      </w:r>
      <w:r w:rsidRPr="003477F0">
        <w:rPr>
          <w:sz w:val="16"/>
          <w:highlight w:val="green"/>
        </w:rPr>
        <w:t xml:space="preserve"> </w:t>
      </w:r>
      <w:r w:rsidRPr="004025F4">
        <w:rPr>
          <w:sz w:val="16"/>
        </w:rPr>
        <w:t xml:space="preserve">These changes in average wholesale price (AWP) or any other price measures used by the industry or in retail pharmacies aren’t necessarily tied to the copay you see at the pharmacy counter, though. Medicare for All would address that piece as well, </w:t>
      </w:r>
      <w:r w:rsidRPr="003477F0">
        <w:rPr>
          <w:b/>
          <w:sz w:val="26"/>
          <w:highlight w:val="green"/>
          <w:u w:val="single"/>
        </w:rPr>
        <w:t>with no copays or deductibles</w:t>
      </w:r>
      <w:r w:rsidRPr="003477F0">
        <w:rPr>
          <w:highlight w:val="green"/>
          <w:u w:val="single"/>
        </w:rPr>
        <w:t xml:space="preserve"> </w:t>
      </w:r>
      <w:r w:rsidRPr="004025F4">
        <w:rPr>
          <w:u w:val="single"/>
        </w:rPr>
        <w:t xml:space="preserve">in one proposed version, and a maximum of $200 per year on prescriptions in the other. Another unique advantage of Medicare for All is that it would </w:t>
      </w:r>
      <w:r w:rsidRPr="003477F0">
        <w:rPr>
          <w:b/>
          <w:sz w:val="26"/>
          <w:highlight w:val="green"/>
          <w:u w:val="single"/>
        </w:rPr>
        <w:t>restore patient choice in pharmacy</w:t>
      </w:r>
      <w:r w:rsidRPr="004025F4">
        <w:rPr>
          <w:u w:val="single"/>
        </w:rPr>
        <w:t xml:space="preserve">. </w:t>
      </w:r>
      <w:r w:rsidRPr="003477F0">
        <w:rPr>
          <w:b/>
          <w:sz w:val="26"/>
          <w:highlight w:val="green"/>
          <w:u w:val="single"/>
        </w:rPr>
        <w:t>Private insurance</w:t>
      </w:r>
      <w:r w:rsidRPr="003477F0">
        <w:rPr>
          <w:highlight w:val="green"/>
          <w:u w:val="single"/>
        </w:rPr>
        <w:t xml:space="preserve"> </w:t>
      </w:r>
      <w:r w:rsidRPr="004025F4">
        <w:rPr>
          <w:u w:val="single"/>
        </w:rPr>
        <w:t xml:space="preserve">and PBMs </w:t>
      </w:r>
      <w:r w:rsidRPr="003477F0">
        <w:rPr>
          <w:b/>
          <w:sz w:val="26"/>
          <w:highlight w:val="green"/>
          <w:u w:val="single"/>
        </w:rPr>
        <w:t>ensure</w:t>
      </w:r>
      <w:r w:rsidRPr="003477F0">
        <w:rPr>
          <w:highlight w:val="green"/>
          <w:u w:val="single"/>
        </w:rPr>
        <w:t xml:space="preserve"> </w:t>
      </w:r>
      <w:r w:rsidRPr="004025F4">
        <w:rPr>
          <w:u w:val="single"/>
        </w:rPr>
        <w:t xml:space="preserve">greater </w:t>
      </w:r>
      <w:r w:rsidRPr="003477F0">
        <w:rPr>
          <w:b/>
          <w:sz w:val="26"/>
          <w:highlight w:val="green"/>
          <w:u w:val="single"/>
        </w:rPr>
        <w:t>profits</w:t>
      </w:r>
      <w:r w:rsidRPr="003477F0">
        <w:rPr>
          <w:highlight w:val="green"/>
          <w:u w:val="single"/>
        </w:rPr>
        <w:t xml:space="preserve"> </w:t>
      </w:r>
      <w:r w:rsidRPr="004025F4">
        <w:rPr>
          <w:u w:val="single"/>
        </w:rPr>
        <w:t xml:space="preserve">for themselves </w:t>
      </w:r>
      <w:r w:rsidRPr="003477F0">
        <w:rPr>
          <w:b/>
          <w:sz w:val="26"/>
          <w:highlight w:val="green"/>
          <w:u w:val="single"/>
        </w:rPr>
        <w:t>by restricting choice</w:t>
      </w:r>
      <w:r w:rsidRPr="004025F4">
        <w:rPr>
          <w:u w:val="single"/>
        </w:rPr>
        <w:t xml:space="preserve">, </w:t>
      </w:r>
      <w:r w:rsidRPr="003477F0">
        <w:rPr>
          <w:b/>
          <w:sz w:val="26"/>
          <w:highlight w:val="green"/>
          <w:u w:val="single"/>
          <w:bdr w:val="single" w:sz="12" w:space="0" w:color="auto"/>
        </w:rPr>
        <w:t>driving prescriptions to the chains they own.</w:t>
      </w:r>
      <w:r w:rsidRPr="003477F0">
        <w:rPr>
          <w:highlight w:val="green"/>
          <w:u w:val="single"/>
        </w:rPr>
        <w:t xml:space="preserve"> </w:t>
      </w:r>
      <w:r w:rsidRPr="004025F4">
        <w:rPr>
          <w:u w:val="single"/>
        </w:rPr>
        <w:t xml:space="preserve">When they do permit patients to use alternative pharmacies, the reimbursement to those small businesses can be so low that prescriptions are often filled at a loss. The end </w:t>
      </w:r>
      <w:r w:rsidRPr="003477F0">
        <w:rPr>
          <w:b/>
          <w:sz w:val="26"/>
          <w:highlight w:val="green"/>
          <w:u w:val="single"/>
        </w:rPr>
        <w:t>result is</w:t>
      </w:r>
      <w:r w:rsidRPr="003477F0">
        <w:rPr>
          <w:highlight w:val="green"/>
          <w:u w:val="single"/>
        </w:rPr>
        <w:t xml:space="preserve"> </w:t>
      </w:r>
      <w:r w:rsidRPr="004025F4">
        <w:rPr>
          <w:u w:val="single"/>
        </w:rPr>
        <w:t xml:space="preserve">the </w:t>
      </w:r>
      <w:r w:rsidRPr="003477F0">
        <w:rPr>
          <w:b/>
          <w:sz w:val="26"/>
          <w:highlight w:val="green"/>
          <w:u w:val="single"/>
        </w:rPr>
        <w:t>pharmacy deserts</w:t>
      </w:r>
      <w:r w:rsidRPr="003477F0">
        <w:rPr>
          <w:highlight w:val="green"/>
          <w:u w:val="single"/>
        </w:rPr>
        <w:t xml:space="preserve"> </w:t>
      </w:r>
      <w:r w:rsidRPr="004025F4">
        <w:rPr>
          <w:u w:val="single"/>
        </w:rPr>
        <w:t>we see on the South and West sides of Chicago, and closing of independent pharmacies in the Chicago area in general</w:t>
      </w:r>
      <w:r w:rsidRPr="004025F4">
        <w:rPr>
          <w:sz w:val="16"/>
        </w:rPr>
        <w:t>. Medication only helps if you can take it, and you can only take it if you can afford it. Everyone deserves to get the medication they need from a pharmacy they trust. I encourage everyone who takes medication or loves someone who takes medication to learn more about Medicare for All and to support the candidates who will fight for it.</w:t>
      </w:r>
    </w:p>
    <w:p w14:paraId="17DF2CF4" w14:textId="4D057381" w:rsidR="00D85FF2" w:rsidRDefault="00D85FF2" w:rsidP="00D85FF2">
      <w:pPr>
        <w:pStyle w:val="Heading2"/>
      </w:pPr>
      <w:r>
        <w:t>Case</w:t>
      </w:r>
    </w:p>
    <w:p w14:paraId="652CEC7C" w14:textId="4F7F8CA9" w:rsidR="00D85FF2" w:rsidRDefault="00D85FF2" w:rsidP="00D85FF2">
      <w:pPr>
        <w:pStyle w:val="Heading3"/>
      </w:pPr>
      <w:r>
        <w:t>1NC – AT: Contention</w:t>
      </w:r>
    </w:p>
    <w:p w14:paraId="765C30D2" w14:textId="77777777" w:rsidR="00DE58F7" w:rsidRPr="00453930" w:rsidRDefault="00DE58F7" w:rsidP="00DE58F7">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49C9E5CB" w14:textId="77777777" w:rsidR="00DE58F7" w:rsidRPr="00453930" w:rsidRDefault="00DE58F7" w:rsidP="00DE58F7">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6181802D" w14:textId="77777777" w:rsidR="00DE58F7" w:rsidRPr="0027272F" w:rsidRDefault="00DE58F7" w:rsidP="00DE58F7">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5513CBF3" w14:textId="77777777" w:rsidR="00DE58F7" w:rsidRDefault="00DE58F7" w:rsidP="00DE58F7">
      <w:pPr>
        <w:pStyle w:val="Heading4"/>
      </w:pPr>
      <w:r w:rsidRPr="006C2B22">
        <w:rPr>
          <w:u w:val="single"/>
        </w:rPr>
        <w:t>Hurts Innovation</w:t>
      </w:r>
      <w:r>
        <w:t xml:space="preserve"> </w:t>
      </w:r>
    </w:p>
    <w:p w14:paraId="73840E21" w14:textId="77777777" w:rsidR="00DE58F7" w:rsidRPr="001247B6" w:rsidRDefault="00DE58F7" w:rsidP="00DE58F7">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2C1EF490" w14:textId="77777777" w:rsidR="00DE58F7" w:rsidRDefault="00DE58F7" w:rsidP="00DE58F7">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6B441046" w14:textId="77777777" w:rsidR="00DE58F7" w:rsidRPr="00DE58F7" w:rsidRDefault="00DE58F7" w:rsidP="00DE58F7"/>
    <w:sectPr w:rsidR="00DE58F7" w:rsidRPr="00DE5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50320514992"/>
    <w:docVar w:name="VerbatimVersion" w:val="5.1"/>
  </w:docVars>
  <w:rsids>
    <w:rsidRoot w:val="002B1DB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1DBE"/>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36B2F"/>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00DB"/>
    <w:rsid w:val="00D85FF2"/>
    <w:rsid w:val="00DA1C92"/>
    <w:rsid w:val="00DA25D4"/>
    <w:rsid w:val="00DA6538"/>
    <w:rsid w:val="00DE58F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C009F"/>
  <w15:chartTrackingRefBased/>
  <w15:docId w15:val="{1507E9DF-411A-4ED1-AADC-673A9C08A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00DB"/>
    <w:rPr>
      <w:rFonts w:ascii="Calibri" w:hAnsi="Calibri"/>
    </w:rPr>
  </w:style>
  <w:style w:type="paragraph" w:styleId="Heading1">
    <w:name w:val="heading 1"/>
    <w:aliases w:val="Pocket"/>
    <w:basedOn w:val="Normal"/>
    <w:next w:val="Normal"/>
    <w:link w:val="Heading1Char"/>
    <w:qFormat/>
    <w:rsid w:val="00D800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00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00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D800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00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0DB"/>
  </w:style>
  <w:style w:type="character" w:customStyle="1" w:styleId="Heading1Char">
    <w:name w:val="Heading 1 Char"/>
    <w:aliases w:val="Pocket Char"/>
    <w:basedOn w:val="DefaultParagraphFont"/>
    <w:link w:val="Heading1"/>
    <w:rsid w:val="00D800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00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00D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800DB"/>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D800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800D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800DB"/>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D800DB"/>
    <w:rPr>
      <w:color w:val="auto"/>
      <w:u w:val="none"/>
    </w:rPr>
  </w:style>
  <w:style w:type="character" w:styleId="FollowedHyperlink">
    <w:name w:val="FollowedHyperlink"/>
    <w:basedOn w:val="DefaultParagraphFont"/>
    <w:uiPriority w:val="99"/>
    <w:semiHidden/>
    <w:unhideWhenUsed/>
    <w:rsid w:val="00D800DB"/>
    <w:rPr>
      <w:color w:val="auto"/>
      <w:u w:val="none"/>
    </w:rPr>
  </w:style>
  <w:style w:type="paragraph" w:customStyle="1" w:styleId="Emphasis1">
    <w:name w:val="Emphasis1"/>
    <w:basedOn w:val="Normal"/>
    <w:link w:val="Emphasis"/>
    <w:autoRedefine/>
    <w:uiPriority w:val="7"/>
    <w:qFormat/>
    <w:rsid w:val="002B1DB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D85FF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DE58F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chicagotribune.com/opinion/letters/ct-letters-vp-111819-20191118-3q6k5toz6fgmvafspzylpbs2ca-story.html" TargetMode="External"/><Relationship Id="rId5" Type="http://schemas.openxmlformats.org/officeDocument/2006/relationships/webSettings" Target="webSettings.xml"/><Relationship Id="rId10" Type="http://schemas.openxmlformats.org/officeDocument/2006/relationships/hyperlink" Target="https://www.cgdev.org/blog/confronting-antimicrobial-resistance-can-we-get-collective-action" TargetMode="Externa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7411</Words>
  <Characters>42245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2021-09-26T17:03:00Z</dcterms:created>
  <dcterms:modified xsi:type="dcterms:W3CDTF">2021-09-26T18:32:00Z</dcterms:modified>
</cp:coreProperties>
</file>