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B88F9" w14:textId="3DEA9156" w:rsidR="005C692C" w:rsidRDefault="005C692C" w:rsidP="005C692C">
      <w:pPr>
        <w:pStyle w:val="Heading1"/>
      </w:pPr>
      <w:bookmarkStart w:id="0" w:name="_Hlk87541535"/>
      <w:r>
        <w:t>1</w:t>
      </w:r>
      <w:r w:rsidR="00A9570E">
        <w:t>A</w:t>
      </w:r>
      <w:r>
        <w:t xml:space="preserve">C </w:t>
      </w:r>
      <w:proofErr w:type="spellStart"/>
      <w:r>
        <w:t>Glenbrooks</w:t>
      </w:r>
      <w:proofErr w:type="spellEnd"/>
      <w:r>
        <w:t xml:space="preserve"> Round 6</w:t>
      </w:r>
    </w:p>
    <w:p w14:paraId="781EF278" w14:textId="4DD7713C" w:rsidR="005C692C" w:rsidRPr="005C692C" w:rsidRDefault="005C692C" w:rsidP="005C692C">
      <w:pPr>
        <w:pStyle w:val="Heading2"/>
      </w:pPr>
      <w:r>
        <w:t>1AC</w:t>
      </w:r>
    </w:p>
    <w:p w14:paraId="6A634794" w14:textId="16946B78" w:rsidR="005C692C" w:rsidRDefault="005C692C" w:rsidP="005C692C">
      <w:pPr>
        <w:pStyle w:val="Heading3"/>
      </w:pPr>
      <w:r>
        <w:t xml:space="preserve">1AC: Plan </w:t>
      </w:r>
    </w:p>
    <w:p w14:paraId="7DBDF9DD" w14:textId="77777777" w:rsidR="005C692C" w:rsidRDefault="005C692C" w:rsidP="005C692C">
      <w:pPr>
        <w:pStyle w:val="Heading4"/>
      </w:pPr>
      <w:bookmarkStart w:id="1" w:name="_Hlk87541481"/>
      <w:bookmarkEnd w:id="0"/>
      <w:r>
        <w:t xml:space="preserve">Plan – A just government of the People’s Republic of China ought to </w:t>
      </w:r>
      <w:r w:rsidRPr="007A4168">
        <w:t>recognize an unconditional right of workers to strike.</w:t>
      </w:r>
    </w:p>
    <w:p w14:paraId="7C279236" w14:textId="77777777" w:rsidR="005C692C" w:rsidRPr="007A4168" w:rsidRDefault="005C692C" w:rsidP="005C692C">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1521166F" w14:textId="77777777" w:rsidR="005C692C" w:rsidRPr="00A44704" w:rsidRDefault="005C692C" w:rsidP="005C692C">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6"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31665AB2" w14:textId="77777777" w:rsidR="005C692C" w:rsidRDefault="005C692C" w:rsidP="005C692C">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3EB2253F" w14:textId="77777777" w:rsidR="005C692C" w:rsidRPr="00065A8D" w:rsidRDefault="005C692C" w:rsidP="005C692C"/>
    <w:p w14:paraId="534BBFC5" w14:textId="0A17A7AB" w:rsidR="005C692C" w:rsidRDefault="005C692C" w:rsidP="005C692C">
      <w:pPr>
        <w:pStyle w:val="Heading3"/>
      </w:pPr>
      <w:r>
        <w:t xml:space="preserve">1AC: </w:t>
      </w:r>
      <w:r w:rsidR="00817EC4">
        <w:t>Advantage</w:t>
      </w:r>
    </w:p>
    <w:p w14:paraId="1C08D943" w14:textId="77777777" w:rsidR="005C692C" w:rsidRPr="007A7A2D" w:rsidRDefault="005C692C" w:rsidP="005C692C">
      <w:pPr>
        <w:pStyle w:val="Heading4"/>
      </w:pPr>
      <w:r>
        <w:t xml:space="preserve">Lack of Chinese Right to Strike </w:t>
      </w:r>
      <w:r>
        <w:rPr>
          <w:u w:val="single"/>
        </w:rPr>
        <w:t>devastates</w:t>
      </w:r>
      <w:r>
        <w:t xml:space="preserve"> Collective Bargaining – undermines any legal leverage for Strikes.</w:t>
      </w:r>
    </w:p>
    <w:p w14:paraId="1A839A03" w14:textId="77777777" w:rsidR="005C692C" w:rsidRPr="00DE1165" w:rsidRDefault="005C692C" w:rsidP="005C692C">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45B8212F" w14:textId="77777777" w:rsidR="005C692C" w:rsidRPr="00D74C52" w:rsidRDefault="005C692C" w:rsidP="005C692C">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3DDD57A" w14:textId="77777777" w:rsidR="005C692C" w:rsidRDefault="005C692C" w:rsidP="005C692C">
      <w:pPr>
        <w:pStyle w:val="Heading4"/>
      </w:pPr>
      <w:r>
        <w:t xml:space="preserve">Any credible union power is </w:t>
      </w:r>
      <w:r>
        <w:rPr>
          <w:u w:val="single"/>
        </w:rPr>
        <w:t>under-cut</w:t>
      </w:r>
      <w:r>
        <w:t xml:space="preserve"> by detentions of labor activists.</w:t>
      </w:r>
    </w:p>
    <w:p w14:paraId="30537526" w14:textId="77777777" w:rsidR="005C692C" w:rsidRPr="00FC7D85" w:rsidRDefault="005C692C" w:rsidP="005C692C">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0CC205C1" w14:textId="77777777" w:rsidR="005C692C" w:rsidRPr="00D74C52" w:rsidRDefault="005C692C" w:rsidP="005C692C">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A637384" w14:textId="77777777" w:rsidR="005C692C" w:rsidRDefault="005C692C" w:rsidP="005C692C">
      <w:pPr>
        <w:pStyle w:val="Heading4"/>
      </w:pPr>
      <w:r>
        <w:t xml:space="preserve">The Right to Strike </w:t>
      </w:r>
      <w:r>
        <w:rPr>
          <w:u w:val="single"/>
        </w:rPr>
        <w:t>re-balances</w:t>
      </w:r>
      <w:r>
        <w:t xml:space="preserve"> China’s Economy. </w:t>
      </w:r>
    </w:p>
    <w:p w14:paraId="24533D7C" w14:textId="77777777" w:rsidR="005C692C" w:rsidRDefault="005C692C" w:rsidP="005C692C">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86A902C" w14:textId="77777777" w:rsidR="005C692C" w:rsidRDefault="005C692C" w:rsidP="005C692C">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1B299E76" w14:textId="77777777" w:rsidR="005C692C" w:rsidRDefault="005C692C" w:rsidP="005C692C">
      <w:pPr>
        <w:pStyle w:val="Heading4"/>
      </w:pPr>
      <w:r>
        <w:t xml:space="preserve">Enhanced Unions and Labor Reforms key to </w:t>
      </w:r>
      <w:r>
        <w:rPr>
          <w:u w:val="single"/>
        </w:rPr>
        <w:t>sustained</w:t>
      </w:r>
      <w:r>
        <w:t xml:space="preserve"> Chinese Economic Growth.</w:t>
      </w:r>
    </w:p>
    <w:p w14:paraId="26B0CA5E" w14:textId="77777777" w:rsidR="005C692C" w:rsidRPr="00A415B4" w:rsidRDefault="005C692C" w:rsidP="005C692C">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67504626" w14:textId="77777777" w:rsidR="005C692C" w:rsidRDefault="005C692C" w:rsidP="005C692C">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D9FFD05" w14:textId="77777777" w:rsidR="005C692C" w:rsidRPr="00C46568" w:rsidRDefault="005C692C" w:rsidP="005C692C">
      <w:pPr>
        <w:pStyle w:val="Heading4"/>
      </w:pPr>
      <w:r>
        <w:t xml:space="preserve">China’s Economy is on the </w:t>
      </w:r>
      <w:r>
        <w:rPr>
          <w:u w:val="single"/>
        </w:rPr>
        <w:t>brink of collapse</w:t>
      </w:r>
      <w:r>
        <w:t xml:space="preserve"> – only solving poverty can </w:t>
      </w:r>
      <w:r>
        <w:rPr>
          <w:u w:val="single"/>
        </w:rPr>
        <w:t>reverse it</w:t>
      </w:r>
      <w:r>
        <w:t>.</w:t>
      </w:r>
    </w:p>
    <w:p w14:paraId="4DBA5ACB" w14:textId="77777777" w:rsidR="005C692C" w:rsidRPr="00C46568" w:rsidRDefault="005C692C" w:rsidP="005C692C">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0139FD82" w14:textId="77777777" w:rsidR="005C692C" w:rsidRPr="00047E55" w:rsidRDefault="005C692C" w:rsidP="005C692C">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 xml:space="preserve">needs people to </w:t>
      </w:r>
      <w:proofErr w:type="gramStart"/>
      <w:r w:rsidRPr="00C46568">
        <w:rPr>
          <w:b/>
          <w:sz w:val="26"/>
          <w:highlight w:val="green"/>
          <w:u w:val="single"/>
        </w:rPr>
        <w:t>actually use</w:t>
      </w:r>
      <w:proofErr w:type="gramEnd"/>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0D066EE2" w14:textId="77777777" w:rsidR="005C692C" w:rsidRPr="003432AE" w:rsidRDefault="005C692C" w:rsidP="005C692C">
      <w:pPr>
        <w:pStyle w:val="Heading4"/>
      </w:pPr>
      <w:r>
        <w:t xml:space="preserve">Chinese Economic Decline leads to </w:t>
      </w:r>
      <w:r>
        <w:rPr>
          <w:u w:val="single"/>
        </w:rPr>
        <w:t>all-out War</w:t>
      </w:r>
      <w:r>
        <w:t xml:space="preserve"> – specifically over </w:t>
      </w:r>
      <w:r>
        <w:rPr>
          <w:u w:val="single"/>
        </w:rPr>
        <w:t>Taiwan</w:t>
      </w:r>
      <w:r>
        <w:t>.</w:t>
      </w:r>
    </w:p>
    <w:p w14:paraId="4AD87DB0" w14:textId="77777777" w:rsidR="005C692C" w:rsidRPr="00065A8D" w:rsidRDefault="005C692C" w:rsidP="005C692C">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E5A9B82" w14:textId="77777777" w:rsidR="005C692C" w:rsidRPr="00065A8D" w:rsidRDefault="005C692C" w:rsidP="005C692C">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50CAA83" w14:textId="77777777" w:rsidR="005C692C" w:rsidRDefault="005C692C" w:rsidP="005C692C">
      <w:pPr>
        <w:pStyle w:val="Heading4"/>
      </w:pPr>
      <w:r>
        <w:t>Taiwan goes Nuclear.</w:t>
      </w:r>
    </w:p>
    <w:p w14:paraId="71F626CC" w14:textId="77777777" w:rsidR="005C692C" w:rsidRPr="007B7203" w:rsidRDefault="005C692C" w:rsidP="005C692C">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0B3B5DB1" w14:textId="77777777" w:rsidR="005C692C" w:rsidRDefault="005C692C" w:rsidP="005C692C">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7F861342" w14:textId="77777777" w:rsidR="005C692C" w:rsidRDefault="005C692C" w:rsidP="005C692C">
      <w:pPr>
        <w:pStyle w:val="Heading4"/>
      </w:pPr>
      <w:r>
        <w:t xml:space="preserve">Nuke war causes extinction AND outweighs </w:t>
      </w:r>
      <w:r w:rsidRPr="00C339DB">
        <w:rPr>
          <w:u w:val="single"/>
        </w:rPr>
        <w:t>other</w:t>
      </w:r>
      <w:r>
        <w:t xml:space="preserve"> existential risks</w:t>
      </w:r>
    </w:p>
    <w:p w14:paraId="559DC183" w14:textId="77777777" w:rsidR="005C692C" w:rsidRPr="005E50AE" w:rsidRDefault="005C692C" w:rsidP="005C692C">
      <w:pPr>
        <w:pStyle w:val="ListParagraph"/>
        <w:numPr>
          <w:ilvl w:val="0"/>
          <w:numId w:val="11"/>
        </w:numPr>
      </w:pPr>
      <w:r>
        <w:t>Checked</w:t>
      </w:r>
    </w:p>
    <w:p w14:paraId="2015A638" w14:textId="77777777" w:rsidR="005C692C" w:rsidRPr="00E530E8" w:rsidRDefault="005C692C" w:rsidP="005C692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79966DD5" w14:textId="77777777" w:rsidR="005C692C" w:rsidRPr="00C30ECF" w:rsidRDefault="005C692C" w:rsidP="005C692C">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1"/>
    <w:p w14:paraId="481AA182" w14:textId="1210ED63" w:rsidR="00A95652" w:rsidRDefault="00817EC4" w:rsidP="00817EC4">
      <w:pPr>
        <w:pStyle w:val="Heading3"/>
      </w:pPr>
      <w:r>
        <w:t>1AC: O-Source</w:t>
      </w:r>
    </w:p>
    <w:p w14:paraId="0C05373C" w14:textId="543255DC" w:rsidR="00817EC4" w:rsidRPr="009A0BAF" w:rsidRDefault="00817EC4" w:rsidP="00817EC4">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w:t>
      </w:r>
      <w:r w:rsidR="005D7009">
        <w:rPr>
          <w:rFonts w:cs="Calibri"/>
        </w:rPr>
        <w:t>21</w:t>
      </w:r>
      <w:r w:rsidRPr="009A0BAF">
        <w:rPr>
          <w:rFonts w:cs="Calibri"/>
        </w:rPr>
        <w:t>-</w:t>
      </w:r>
      <w:r>
        <w:rPr>
          <w:rFonts w:cs="Calibri"/>
        </w:rPr>
        <w:t>2</w:t>
      </w:r>
      <w:r w:rsidR="005D7009">
        <w:rPr>
          <w:rFonts w:cs="Calibri"/>
        </w:rPr>
        <w:t>2</w:t>
      </w:r>
      <w:r w:rsidRPr="009A0BAF">
        <w:rPr>
          <w:rFonts w:cs="Calibri"/>
        </w:rPr>
        <w:t xml:space="preserve"> NDCA LD wiki after the round in which they read them. </w:t>
      </w:r>
    </w:p>
    <w:p w14:paraId="3F24AFA5" w14:textId="5B3A2214" w:rsidR="00817EC4" w:rsidRDefault="00817EC4" w:rsidP="00817EC4">
      <w:pPr>
        <w:pStyle w:val="Heading4"/>
        <w:rPr>
          <w:rFonts w:cs="Calibri"/>
        </w:rPr>
      </w:pPr>
      <w:r w:rsidRPr="009A0BAF">
        <w:rPr>
          <w:rFonts w:cs="Calibri"/>
        </w:rPr>
        <w:t>Violation –</w:t>
      </w:r>
      <w:r>
        <w:rPr>
          <w:rFonts w:cs="Calibri"/>
        </w:rPr>
        <w:t xml:space="preserve"> </w:t>
      </w:r>
      <w:r>
        <w:rPr>
          <w:rFonts w:cs="Calibri"/>
        </w:rPr>
        <w:t>Screenshots</w:t>
      </w:r>
    </w:p>
    <w:p w14:paraId="603A4A2E" w14:textId="40E64105" w:rsidR="00817EC4" w:rsidRDefault="00817EC4" w:rsidP="00817EC4">
      <w:r w:rsidRPr="00817EC4">
        <w:drawing>
          <wp:inline distT="0" distB="0" distL="0" distR="0" wp14:anchorId="63D7BFEF" wp14:editId="79FE6CC9">
            <wp:extent cx="5727700" cy="1204071"/>
            <wp:effectExtent l="0" t="0" r="6350" b="0"/>
            <wp:docPr id="1" name="Picture 1" descr="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catter chart&#10;&#10;Description automatically generated"/>
                    <pic:cNvPicPr/>
                  </pic:nvPicPr>
                  <pic:blipFill>
                    <a:blip r:embed="rId15"/>
                    <a:stretch>
                      <a:fillRect/>
                    </a:stretch>
                  </pic:blipFill>
                  <pic:spPr>
                    <a:xfrm>
                      <a:off x="0" y="0"/>
                      <a:ext cx="5761801" cy="1211240"/>
                    </a:xfrm>
                    <a:prstGeom prst="rect">
                      <a:avLst/>
                    </a:prstGeom>
                  </pic:spPr>
                </pic:pic>
              </a:graphicData>
            </a:graphic>
          </wp:inline>
        </w:drawing>
      </w:r>
    </w:p>
    <w:p w14:paraId="5C5921F9" w14:textId="35F30611" w:rsidR="00817EC4" w:rsidRPr="00817EC4" w:rsidRDefault="00817EC4" w:rsidP="00817EC4">
      <w:r w:rsidRPr="00817EC4">
        <w:drawing>
          <wp:inline distT="0" distB="0" distL="0" distR="0" wp14:anchorId="473C8E9F" wp14:editId="395D3D5E">
            <wp:extent cx="5778500" cy="2163297"/>
            <wp:effectExtent l="0" t="0" r="0" b="889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with medium confidence"/>
                    <pic:cNvPicPr/>
                  </pic:nvPicPr>
                  <pic:blipFill>
                    <a:blip r:embed="rId16"/>
                    <a:stretch>
                      <a:fillRect/>
                    </a:stretch>
                  </pic:blipFill>
                  <pic:spPr>
                    <a:xfrm>
                      <a:off x="0" y="0"/>
                      <a:ext cx="5787290" cy="2166588"/>
                    </a:xfrm>
                    <a:prstGeom prst="rect">
                      <a:avLst/>
                    </a:prstGeom>
                  </pic:spPr>
                </pic:pic>
              </a:graphicData>
            </a:graphic>
          </wp:inline>
        </w:drawing>
      </w:r>
    </w:p>
    <w:p w14:paraId="7D732547" w14:textId="77777777" w:rsidR="00817EC4" w:rsidRPr="009A0BAF" w:rsidRDefault="00817EC4" w:rsidP="00817EC4">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456A1AEA" w14:textId="77777777" w:rsidR="00817EC4" w:rsidRPr="009A0BAF" w:rsidRDefault="00817EC4" w:rsidP="00817EC4">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1297623F" w14:textId="77777777" w:rsidR="00817EC4" w:rsidRDefault="00817EC4" w:rsidP="00817EC4">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817EC4">
        <w:rPr>
          <w:rStyle w:val="StyleUnderline"/>
        </w:rPr>
        <w:t>It's better to share the wealth than limit production or participation</w:t>
      </w:r>
      <w:r w:rsidRPr="009A0BAF">
        <w:rPr>
          <w:rFonts w:eastAsia="Times New Roman"/>
          <w:szCs w:val="20"/>
        </w:rPr>
        <w:t xml:space="preserve">. Various flavors of argument communism appeal to different </w:t>
      </w:r>
      <w:proofErr w:type="gramStart"/>
      <w:r w:rsidRPr="009A0BAF">
        <w:rPr>
          <w:rFonts w:eastAsia="Times New Roman"/>
          <w:szCs w:val="20"/>
        </w:rPr>
        <w:t>people, but</w:t>
      </w:r>
      <w:proofErr w:type="gramEnd"/>
      <w:r w:rsidRPr="009A0BAF">
        <w:rPr>
          <w:rFonts w:eastAsia="Times New Roman"/>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 xml:space="preserve">open systems may be the </w:t>
      </w:r>
      <w:r w:rsidRPr="00817EC4">
        <w:rPr>
          <w:rStyle w:val="StyleUnderline"/>
        </w:rPr>
        <w:t xml:space="preserve">only structural, rule-based </w:t>
      </w:r>
      <w:r w:rsidRPr="00553758">
        <w:rPr>
          <w:rStyle w:val="StyleUnderline"/>
          <w:highlight w:val="green"/>
        </w:rPr>
        <w:t>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817EC4">
        <w:rPr>
          <w:rStyle w:val="StyleUnderline"/>
        </w:rPr>
        <w:t xml:space="preserve">would </w:t>
      </w:r>
      <w:r w:rsidRPr="00553758">
        <w:rPr>
          <w:rStyle w:val="StyleUnderline"/>
          <w:highlight w:val="green"/>
        </w:rPr>
        <w:t>reduce entry barriers</w:t>
      </w:r>
      <w:r w:rsidRPr="00553758">
        <w:rPr>
          <w:rStyle w:val="StyleUnderline"/>
        </w:rPr>
        <w:t xml:space="preserve">. This is especially true </w:t>
      </w:r>
      <w:r w:rsidRPr="005D7009">
        <w:rPr>
          <w:rStyle w:val="StyleUnderline"/>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w:t>
      </w:r>
      <w:r w:rsidRPr="00817EC4">
        <w:rPr>
          <w:rStyle w:val="StyleUnderline"/>
        </w:rPr>
        <w:t xml:space="preserve">fundamentally </w:t>
      </w:r>
      <w:r w:rsidRPr="00553758">
        <w:rPr>
          <w:rStyle w:val="StyleUnderline"/>
          <w:highlight w:val="green"/>
        </w:rPr>
        <w:t xml:space="preserve">change the evidence </w:t>
      </w:r>
      <w:r w:rsidRPr="00817EC4">
        <w:rPr>
          <w:rStyle w:val="StyleUnderline"/>
          <w:highlight w:val="green"/>
        </w:rPr>
        <w:t>economy</w:t>
      </w:r>
      <w:r w:rsidRPr="00817EC4">
        <w:rPr>
          <w:rStyle w:val="StyleUnderline"/>
        </w:rPr>
        <w:t xml:space="preserve">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54A0B931" w14:textId="77777777" w:rsidR="00817EC4" w:rsidRDefault="00817EC4" w:rsidP="00817EC4">
      <w:pPr>
        <w:pStyle w:val="Heading4"/>
      </w:pPr>
      <w:r>
        <w:t>Open source does equal the playing field</w:t>
      </w:r>
    </w:p>
    <w:p w14:paraId="34ED7062" w14:textId="77777777" w:rsidR="00817EC4" w:rsidRDefault="00817EC4" w:rsidP="00817EC4">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13FD2271" w14:textId="77777777" w:rsidR="00817EC4" w:rsidRPr="00D37464" w:rsidRDefault="00817EC4" w:rsidP="00817EC4">
      <w:pPr>
        <w:rPr>
          <w:szCs w:val="26"/>
        </w:rPr>
      </w:pPr>
      <w:r w:rsidRPr="00D37464">
        <w:rPr>
          <w:b/>
          <w:sz w:val="26"/>
          <w:szCs w:val="26"/>
          <w:u w:val="single"/>
        </w:rPr>
        <w:t>Open source improves on usual disclosure practices</w:t>
      </w:r>
      <w:r w:rsidRPr="00D37464">
        <w:rPr>
          <w:szCs w:val="26"/>
        </w:rPr>
        <w:t xml:space="preserve"> in the obvious way – </w:t>
      </w:r>
      <w:r w:rsidRPr="00D37464">
        <w:rPr>
          <w:b/>
          <w:sz w:val="26"/>
          <w:szCs w:val="26"/>
          <w:highlight w:val="green"/>
          <w:u w:val="single"/>
        </w:rPr>
        <w:t>you can read their ev</w:t>
      </w:r>
      <w:r w:rsidRPr="00D37464">
        <w:rPr>
          <w:b/>
          <w:sz w:val="26"/>
          <w:szCs w:val="26"/>
          <w:u w:val="single"/>
        </w:rPr>
        <w:t xml:space="preserve">idence </w:t>
      </w:r>
      <w:r w:rsidRPr="00D3746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5D7009">
        <w:rPr>
          <w:b/>
          <w:sz w:val="26"/>
          <w:szCs w:val="26"/>
          <w:u w:val="single"/>
        </w:rPr>
        <w:t xml:space="preserve">so round-altering uncarded </w:t>
      </w:r>
      <w:r w:rsidRPr="005D7009">
        <w:rPr>
          <w:b/>
          <w:sz w:val="26"/>
          <w:szCs w:val="26"/>
          <w:highlight w:val="green"/>
          <w:u w:val="single"/>
        </w:rPr>
        <w:t xml:space="preserve">arguments </w:t>
      </w:r>
      <w:r w:rsidRPr="00D37464">
        <w:rPr>
          <w:b/>
          <w:sz w:val="26"/>
          <w:szCs w:val="26"/>
          <w:highlight w:val="green"/>
          <w:u w:val="single"/>
        </w:rPr>
        <w:t>are available</w:t>
      </w:r>
      <w:r w:rsidRPr="00D37464">
        <w:rPr>
          <w:szCs w:val="26"/>
        </w:rPr>
        <w:t xml:space="preserve"> (though this doesn’t really apply to Harvard-Westlake), </w:t>
      </w:r>
      <w:r w:rsidRPr="00D37464">
        <w:rPr>
          <w:b/>
          <w:sz w:val="26"/>
          <w:szCs w:val="26"/>
          <w:u w:val="single"/>
        </w:rPr>
        <w:t xml:space="preserve">and </w:t>
      </w:r>
      <w:r w:rsidRPr="005D7009">
        <w:rPr>
          <w:b/>
          <w:sz w:val="26"/>
          <w:szCs w:val="26"/>
          <w:u w:val="single"/>
        </w:rPr>
        <w:t xml:space="preserve">it </w:t>
      </w:r>
      <w:r w:rsidRPr="005D7009">
        <w:rPr>
          <w:b/>
          <w:sz w:val="26"/>
          <w:szCs w:val="26"/>
          <w:highlight w:val="green"/>
          <w:u w:val="single"/>
        </w:rPr>
        <w:t xml:space="preserve">gives access to evidence </w:t>
      </w:r>
      <w:r w:rsidRPr="00D37464">
        <w:rPr>
          <w:b/>
          <w:sz w:val="26"/>
          <w:szCs w:val="26"/>
          <w:highlight w:val="green"/>
          <w:u w:val="single"/>
        </w:rPr>
        <w:t>from paywalled articles</w:t>
      </w:r>
      <w:r w:rsidRPr="00D37464">
        <w:rPr>
          <w:szCs w:val="26"/>
        </w:rPr>
        <w:t xml:space="preserve">. </w:t>
      </w:r>
      <w:r w:rsidRPr="00D37464">
        <w:rPr>
          <w:b/>
          <w:sz w:val="26"/>
          <w:szCs w:val="26"/>
          <w:u w:val="single"/>
        </w:rPr>
        <w:t xml:space="preserve">Every season I coach debaters who lack access to major databases; </w:t>
      </w:r>
      <w:r w:rsidRPr="005D7009">
        <w:rPr>
          <w:b/>
          <w:sz w:val="26"/>
          <w:szCs w:val="26"/>
          <w:u w:val="single"/>
        </w:rPr>
        <w:t>for schools without robust online library offerings or teams without college coaches</w:t>
      </w:r>
      <w:r w:rsidRPr="00D37464">
        <w:rPr>
          <w:b/>
          <w:sz w:val="26"/>
          <w:szCs w:val="26"/>
          <w:u w:val="single"/>
        </w:rPr>
        <w:t>, this matters a lot</w:t>
      </w:r>
      <w:r w:rsidRPr="00D37464">
        <w:rPr>
          <w:szCs w:val="26"/>
        </w:rPr>
        <w:t>.</w:t>
      </w:r>
    </w:p>
    <w:p w14:paraId="711EFD6C" w14:textId="77777777" w:rsidR="00817EC4" w:rsidRPr="009A0BAF" w:rsidRDefault="00817EC4" w:rsidP="00817EC4">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p>
    <w:p w14:paraId="4CED172A" w14:textId="77777777" w:rsidR="00817EC4" w:rsidRDefault="00817EC4" w:rsidP="00817EC4">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3E9E74B5" w14:textId="77777777" w:rsidR="00817EC4" w:rsidRDefault="00817EC4" w:rsidP="00817EC4"/>
    <w:p w14:paraId="5FF02469" w14:textId="77777777" w:rsidR="00817EC4" w:rsidRPr="00F63D3C" w:rsidRDefault="00817EC4" w:rsidP="00817EC4">
      <w:pPr>
        <w:pStyle w:val="Heading4"/>
        <w:rPr>
          <w:rFonts w:cs="Calibri"/>
        </w:rPr>
      </w:pPr>
      <w:r w:rsidRPr="00F63D3C">
        <w:rPr>
          <w:rFonts w:cs="Calibri"/>
        </w:rPr>
        <w:t xml:space="preserve">D] Voter: </w:t>
      </w:r>
    </w:p>
    <w:p w14:paraId="1AB1B620" w14:textId="1C2D065A" w:rsidR="00817EC4" w:rsidRPr="00F767F1" w:rsidRDefault="00817EC4" w:rsidP="00817EC4">
      <w:pPr>
        <w:pStyle w:val="Heading4"/>
        <w:rPr>
          <w:rFonts w:cs="Calibri"/>
        </w:rPr>
      </w:pPr>
      <w:r w:rsidRPr="00F767F1">
        <w:rPr>
          <w:rFonts w:cs="Calibri"/>
        </w:rPr>
        <w:t xml:space="preserve">The impact is fairness—a]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w:t>
      </w:r>
      <w:r w:rsidR="005D7009">
        <w:rPr>
          <w:rFonts w:cs="Calibri"/>
        </w:rPr>
        <w:t>y</w:t>
      </w:r>
    </w:p>
    <w:p w14:paraId="2EA4A545" w14:textId="77777777" w:rsidR="00817EC4" w:rsidRPr="00F63D3C" w:rsidRDefault="00817EC4" w:rsidP="00817EC4">
      <w:pPr>
        <w:pStyle w:val="Heading4"/>
        <w:rPr>
          <w:rFonts w:cs="Calibri"/>
        </w:rPr>
      </w:pPr>
      <w:r>
        <w:rPr>
          <w:rFonts w:cs="Calibri"/>
        </w:rPr>
        <w:t>Education is a voter – it</w:t>
      </w:r>
      <w:r w:rsidRPr="00F63D3C">
        <w:rPr>
          <w:rFonts w:cs="Calibri"/>
        </w:rPr>
        <w:t xml:space="preserve"> gives us portable skills for life like research and thinking. </w:t>
      </w:r>
    </w:p>
    <w:p w14:paraId="7D651204" w14:textId="5D404869" w:rsidR="00817EC4" w:rsidRPr="00F63D3C" w:rsidRDefault="00817EC4" w:rsidP="00817EC4">
      <w:pPr>
        <w:pStyle w:val="Heading4"/>
        <w:rPr>
          <w:rFonts w:cs="Calibri"/>
        </w:rPr>
      </w:pPr>
      <w:r w:rsidRPr="00F63D3C">
        <w:rPr>
          <w:rFonts w:cs="Calibri"/>
        </w:rPr>
        <w:t>Drop the debater – a) it deters future abuse and sets a positive norm</w:t>
      </w:r>
    </w:p>
    <w:p w14:paraId="29712E5F" w14:textId="51D7DE54" w:rsidR="00817EC4" w:rsidRPr="00F63D3C" w:rsidRDefault="00817EC4" w:rsidP="00817EC4">
      <w:pPr>
        <w:pStyle w:val="Heading4"/>
        <w:rPr>
          <w:rFonts w:cs="Calibri"/>
        </w:rPr>
      </w:pPr>
      <w:r w:rsidRPr="00F63D3C">
        <w:rPr>
          <w:rFonts w:cs="Calibri"/>
        </w:rPr>
        <w:t xml:space="preserve">Use competing interps – a) reasonability invites arbitrary judge intervention since we don’t know your bs meter </w:t>
      </w:r>
    </w:p>
    <w:p w14:paraId="760CC35B" w14:textId="274BC15C" w:rsidR="00817EC4" w:rsidRPr="00F63D3C" w:rsidRDefault="00817EC4" w:rsidP="00817EC4">
      <w:pPr>
        <w:pStyle w:val="Heading4"/>
        <w:rPr>
          <w:rFonts w:cs="Calibri"/>
        </w:rPr>
      </w:pPr>
      <w:r w:rsidRPr="00F63D3C">
        <w:rPr>
          <w:rFonts w:cs="Calibri"/>
        </w:rPr>
        <w:t xml:space="preserve">No RVIs – a) illogical – you shouldn’t win for being fair – it’s a litmus test for engaging in substance, b) norming – I can’t concede the </w:t>
      </w:r>
      <w:proofErr w:type="spellStart"/>
      <w:r w:rsidRPr="00F63D3C">
        <w:rPr>
          <w:rFonts w:cs="Calibri"/>
        </w:rPr>
        <w:t>counterinterp</w:t>
      </w:r>
      <w:proofErr w:type="spellEnd"/>
      <w:r w:rsidRPr="00F63D3C">
        <w:rPr>
          <w:rFonts w:cs="Calibri"/>
        </w:rPr>
        <w:t xml:space="preserve"> if I realize I’m wrong which forces me to argue for bad norms</w:t>
      </w:r>
    </w:p>
    <w:p w14:paraId="3E81B0C5" w14:textId="6AF19B18" w:rsidR="00817EC4" w:rsidRPr="00F767F1" w:rsidRDefault="00817EC4" w:rsidP="00817EC4">
      <w:pPr>
        <w:pStyle w:val="Heading4"/>
        <w:rPr>
          <w:rFonts w:cs="Calibri"/>
        </w:rPr>
      </w:pPr>
      <w:r w:rsidRPr="00F767F1">
        <w:rPr>
          <w:rFonts w:cs="Calibri"/>
        </w:rPr>
        <w:t>They can’t weigh the</w:t>
      </w:r>
      <w:r w:rsidR="005D7009">
        <w:rPr>
          <w:rFonts w:cs="Calibri"/>
        </w:rPr>
        <w:t xml:space="preserve">ir NC – </w:t>
      </w:r>
      <w:r w:rsidRPr="00F767F1">
        <w:rPr>
          <w:rFonts w:cs="Calibri"/>
        </w:rPr>
        <w:t xml:space="preserve">lack of preround prep means their truth claims are untested which you should presume false—they’re also only winning </w:t>
      </w:r>
      <w:r w:rsidR="005D7009">
        <w:rPr>
          <w:rFonts w:cs="Calibri"/>
        </w:rPr>
        <w:t>their offense</w:t>
      </w:r>
      <w:r w:rsidRPr="00F767F1">
        <w:rPr>
          <w:rFonts w:cs="Calibri"/>
        </w:rPr>
        <w:t xml:space="preserve"> because we couldn’t engage with it </w:t>
      </w:r>
    </w:p>
    <w:p w14:paraId="062D3D89" w14:textId="77777777" w:rsidR="005D7009" w:rsidRDefault="005D7009" w:rsidP="005D7009">
      <w:pPr>
        <w:pStyle w:val="Heading3"/>
      </w:pPr>
      <w:r>
        <w:t>1AC: Framework</w:t>
      </w:r>
    </w:p>
    <w:p w14:paraId="109E5E7B" w14:textId="77777777" w:rsidR="005D7009" w:rsidRPr="00192D33" w:rsidRDefault="005D7009" w:rsidP="005D7009">
      <w:pPr>
        <w:pStyle w:val="Heading4"/>
      </w:pPr>
      <w:r>
        <w:t>The standard is maximizing expected well-being, or hedonistic act utilitarianism.</w:t>
      </w:r>
    </w:p>
    <w:p w14:paraId="269B4085" w14:textId="77777777" w:rsidR="005D7009" w:rsidRPr="00A3034A" w:rsidRDefault="005D7009" w:rsidP="005D7009">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2D06EBC2" w14:textId="77777777" w:rsidR="005D7009" w:rsidRPr="00192D33" w:rsidRDefault="005D7009" w:rsidP="005D700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7D8F4937" w14:textId="77777777" w:rsidR="005D7009" w:rsidRPr="00470C63" w:rsidRDefault="005D7009" w:rsidP="005D7009">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8B7B7" w14:textId="77777777" w:rsidR="005D7009" w:rsidRDefault="005D7009" w:rsidP="005D7009">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CACE7AE" w14:textId="77777777" w:rsidR="005D7009" w:rsidRDefault="005D7009" w:rsidP="005D7009">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17368839" w14:textId="77777777" w:rsidR="005D7009" w:rsidRPr="002F63FF" w:rsidRDefault="005D7009" w:rsidP="005D7009"/>
    <w:p w14:paraId="2214C3C8" w14:textId="77777777" w:rsidR="005D7009" w:rsidRDefault="005D7009" w:rsidP="005D7009">
      <w:pPr>
        <w:pStyle w:val="Heading4"/>
      </w:pPr>
      <w:r>
        <w:t xml:space="preserve">Impact calc – </w:t>
      </w:r>
    </w:p>
    <w:p w14:paraId="11A797AA" w14:textId="77777777" w:rsidR="005D7009" w:rsidRDefault="005D7009" w:rsidP="005D7009">
      <w:pPr>
        <w:pStyle w:val="Heading4"/>
      </w:pPr>
      <w:r>
        <w:t xml:space="preserve">1] Extinction </w:t>
      </w:r>
      <w:r w:rsidRPr="00660602">
        <w:rPr>
          <w:u w:val="single"/>
        </w:rPr>
        <w:t>outweighs</w:t>
      </w:r>
      <w:r>
        <w:t xml:space="preserve"> – </w:t>
      </w:r>
    </w:p>
    <w:p w14:paraId="65721D96" w14:textId="77777777" w:rsidR="005D7009" w:rsidRDefault="005D7009" w:rsidP="005D7009">
      <w:pPr>
        <w:pStyle w:val="Heading4"/>
      </w:pPr>
      <w:r>
        <w:t xml:space="preserve">A] </w:t>
      </w:r>
      <w:r w:rsidRPr="00DB18F0">
        <w:rPr>
          <w:u w:val="single"/>
        </w:rPr>
        <w:t>Reversibility</w:t>
      </w:r>
      <w:r>
        <w:t xml:space="preserve">- it forecloses the alternative because we can’t improve society if we are all dead </w:t>
      </w:r>
    </w:p>
    <w:p w14:paraId="65E5F29C" w14:textId="77777777" w:rsidR="005D7009" w:rsidRDefault="005D7009" w:rsidP="005D7009">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419932D3" w14:textId="77777777" w:rsidR="005D7009" w:rsidRDefault="005D7009" w:rsidP="005D7009">
      <w:pPr>
        <w:pStyle w:val="Heading4"/>
      </w:pPr>
      <w:r>
        <w:t xml:space="preserve">C] </w:t>
      </w:r>
      <w:r w:rsidRPr="002C52D9">
        <w:rPr>
          <w:u w:val="single"/>
        </w:rPr>
        <w:t>Objectivity</w:t>
      </w:r>
      <w:r>
        <w:t xml:space="preserve">- body count is the most objective way to calculate impacts because comparing suffering is unethical </w:t>
      </w:r>
    </w:p>
    <w:p w14:paraId="2D3F8E90" w14:textId="77777777" w:rsidR="005D7009" w:rsidRDefault="005D7009" w:rsidP="005D7009">
      <w:pPr>
        <w:pStyle w:val="Heading4"/>
      </w:pPr>
      <w:r>
        <w:t xml:space="preserve">D] </w:t>
      </w:r>
      <w:r w:rsidRPr="002C52D9">
        <w:rPr>
          <w:u w:val="single"/>
        </w:rPr>
        <w:t>Uncertainty</w:t>
      </w:r>
      <w:r>
        <w:t>- if we’re unsure about which interpretation of the world is true, we should preserve the world to keep debating about it</w:t>
      </w:r>
    </w:p>
    <w:p w14:paraId="7A4CEFD8" w14:textId="77777777" w:rsidR="005D7009" w:rsidRDefault="005D7009" w:rsidP="005D7009">
      <w:pPr>
        <w:pStyle w:val="Heading3"/>
      </w:pPr>
      <w:r>
        <w:t>1AC: Underview</w:t>
      </w:r>
    </w:p>
    <w:p w14:paraId="749A20E2" w14:textId="77777777" w:rsidR="005D7009" w:rsidRPr="00BC3EB7" w:rsidRDefault="005D7009" w:rsidP="005D7009">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57EC8233" w14:textId="77777777" w:rsidR="005D7009" w:rsidRPr="00B55AD5" w:rsidRDefault="005D7009" w:rsidP="005D7009"/>
    <w:p w14:paraId="2E6FA477" w14:textId="77777777" w:rsidR="00817EC4" w:rsidRPr="00817EC4" w:rsidRDefault="00817EC4" w:rsidP="00817EC4"/>
    <w:sectPr w:rsidR="00817EC4" w:rsidRPr="00817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601978934752"/>
    <w:docVar w:name="VerbatimVersion" w:val="5.1"/>
  </w:docVars>
  <w:rsids>
    <w:rsidRoot w:val="005C692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C692C"/>
    <w:rsid w:val="005D2912"/>
    <w:rsid w:val="005D7009"/>
    <w:rsid w:val="006065BD"/>
    <w:rsid w:val="006146AC"/>
    <w:rsid w:val="00636588"/>
    <w:rsid w:val="00645FA9"/>
    <w:rsid w:val="00647866"/>
    <w:rsid w:val="00665003"/>
    <w:rsid w:val="006A2AD0"/>
    <w:rsid w:val="006B4B96"/>
    <w:rsid w:val="006C2375"/>
    <w:rsid w:val="006D4ECC"/>
    <w:rsid w:val="00722258"/>
    <w:rsid w:val="007243E5"/>
    <w:rsid w:val="00766EA0"/>
    <w:rsid w:val="007A2226"/>
    <w:rsid w:val="007F5B66"/>
    <w:rsid w:val="00817EC4"/>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9570E"/>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0A896"/>
  <w15:chartTrackingRefBased/>
  <w15:docId w15:val="{9D0C6704-FDED-4B9B-BAB0-BEA3D47C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692C"/>
    <w:rPr>
      <w:rFonts w:ascii="Calibri" w:hAnsi="Calibri" w:cs="Calibri"/>
    </w:rPr>
  </w:style>
  <w:style w:type="paragraph" w:styleId="Heading1">
    <w:name w:val="heading 1"/>
    <w:aliases w:val="Pocket"/>
    <w:basedOn w:val="Normal"/>
    <w:next w:val="Normal"/>
    <w:link w:val="Heading1Char"/>
    <w:qFormat/>
    <w:rsid w:val="005C69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69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69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5C69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69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692C"/>
  </w:style>
  <w:style w:type="character" w:customStyle="1" w:styleId="Heading1Char">
    <w:name w:val="Heading 1 Char"/>
    <w:aliases w:val="Pocket Char"/>
    <w:basedOn w:val="DefaultParagraphFont"/>
    <w:link w:val="Heading1"/>
    <w:rsid w:val="005C69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69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692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5C692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5C692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692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5C692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C692C"/>
    <w:rPr>
      <w:color w:val="auto"/>
      <w:u w:val="none"/>
    </w:rPr>
  </w:style>
  <w:style w:type="character" w:styleId="FollowedHyperlink">
    <w:name w:val="FollowedHyperlink"/>
    <w:basedOn w:val="DefaultParagraphFont"/>
    <w:uiPriority w:val="99"/>
    <w:semiHidden/>
    <w:unhideWhenUsed/>
    <w:rsid w:val="005C692C"/>
    <w:rPr>
      <w:color w:val="auto"/>
      <w:u w:val="none"/>
    </w:rPr>
  </w:style>
  <w:style w:type="paragraph" w:customStyle="1" w:styleId="textbold">
    <w:name w:val="text bold"/>
    <w:basedOn w:val="Normal"/>
    <w:link w:val="Emphasis"/>
    <w:uiPriority w:val="7"/>
    <w:qFormat/>
    <w:rsid w:val="005C692C"/>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C692C"/>
    <w:pPr>
      <w:ind w:left="720"/>
      <w:contextualSpacing/>
    </w:pPr>
  </w:style>
  <w:style w:type="character" w:customStyle="1" w:styleId="UnderlineBold">
    <w:name w:val="Underline + Bold"/>
    <w:uiPriority w:val="1"/>
    <w:qFormat/>
    <w:rsid w:val="005C692C"/>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thediplomat.com/2021/02/could-biden-make-us-china-trade-better-for-work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12587</Words>
  <Characters>71752</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2021-11-21T17:32:00Z</dcterms:created>
  <dcterms:modified xsi:type="dcterms:W3CDTF">2021-11-21T18:00:00Z</dcterms:modified>
</cp:coreProperties>
</file>