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8279A" w14:textId="5E15950A" w:rsidR="002A5E84" w:rsidRDefault="002A5E84" w:rsidP="002A5E84">
      <w:pPr>
        <w:pStyle w:val="Heading2"/>
        <w:rPr>
          <w:rStyle w:val="Style13ptBold"/>
          <w:b/>
          <w:sz w:val="44"/>
          <w:u w:val="double"/>
        </w:rPr>
      </w:pPr>
      <w:r>
        <w:rPr>
          <w:rStyle w:val="Style13ptBold"/>
          <w:b/>
          <w:sz w:val="44"/>
          <w:u w:val="double"/>
        </w:rPr>
        <w:t>Indigenous Objectivity AC</w:t>
      </w:r>
    </w:p>
    <w:p w14:paraId="7D038B67" w14:textId="77777777" w:rsidR="002A5E84" w:rsidRPr="002A5E84" w:rsidRDefault="002A5E84" w:rsidP="002A5E84"/>
    <w:p w14:paraId="55135DB5" w14:textId="651FD556" w:rsidR="008B391B" w:rsidRDefault="008B391B" w:rsidP="008B391B">
      <w:pPr>
        <w:rPr>
          <w:rStyle w:val="Style13ptBold"/>
        </w:rPr>
      </w:pPr>
      <w:r>
        <w:rPr>
          <w:rStyle w:val="Style13ptBold"/>
        </w:rPr>
        <w:t xml:space="preserve">Settler colonialism is the governing thought of modernity that posits notions of control and desire into the Western man implanting the seed opportunity born out of genocide. </w:t>
      </w:r>
      <w:proofErr w:type="spellStart"/>
      <w:r>
        <w:rPr>
          <w:rStyle w:val="Style13ptBold"/>
        </w:rPr>
        <w:t>Paperson</w:t>
      </w:r>
      <w:proofErr w:type="spellEnd"/>
      <w:r>
        <w:rPr>
          <w:rStyle w:val="Style13ptBold"/>
        </w:rPr>
        <w:t xml:space="preserve"> ‘17</w:t>
      </w:r>
    </w:p>
    <w:p w14:paraId="62FEDDB7" w14:textId="77777777" w:rsidR="008B391B" w:rsidRPr="00F9261A" w:rsidRDefault="008B391B" w:rsidP="008B391B">
      <w:pPr>
        <w:rPr>
          <w:rStyle w:val="Emphasis"/>
          <w:b w:val="0"/>
          <w:iCs w:val="0"/>
          <w:sz w:val="16"/>
          <w:szCs w:val="16"/>
          <w:u w:val="none"/>
        </w:rPr>
      </w:pPr>
      <w:r w:rsidRPr="00F33728">
        <w:rPr>
          <w:sz w:val="16"/>
          <w:szCs w:val="16"/>
        </w:rPr>
        <w:t>[</w:t>
      </w:r>
      <w:r>
        <w:rPr>
          <w:sz w:val="16"/>
          <w:szCs w:val="16"/>
        </w:rPr>
        <w:t>L</w:t>
      </w:r>
      <w:r w:rsidRPr="00F33728">
        <w:rPr>
          <w:sz w:val="16"/>
          <w:szCs w:val="16"/>
        </w:rPr>
        <w:t xml:space="preserve">a </w:t>
      </w:r>
      <w:proofErr w:type="spellStart"/>
      <w:r>
        <w:rPr>
          <w:sz w:val="16"/>
          <w:szCs w:val="16"/>
        </w:rPr>
        <w:t>P</w:t>
      </w:r>
      <w:r w:rsidRPr="00F33728">
        <w:rPr>
          <w:sz w:val="16"/>
          <w:szCs w:val="16"/>
        </w:rPr>
        <w:t>aperson</w:t>
      </w:r>
      <w:proofErr w:type="spellEnd"/>
      <w:r w:rsidRPr="00F33728">
        <w:rPr>
          <w:sz w:val="16"/>
          <w:szCs w:val="16"/>
        </w:rPr>
        <w:t>, aka K. Wayne Yang</w:t>
      </w:r>
      <w:r>
        <w:rPr>
          <w:sz w:val="16"/>
          <w:szCs w:val="16"/>
        </w:rPr>
        <w:t>, UC San Diego</w:t>
      </w:r>
      <w:r w:rsidRPr="00F33728">
        <w:rPr>
          <w:sz w:val="16"/>
          <w:szCs w:val="16"/>
        </w:rPr>
        <w:t xml:space="preserve">. 2017. “A Third University is Possible”. </w:t>
      </w:r>
      <w:hyperlink r:id="rId9" w:history="1">
        <w:r w:rsidRPr="00F33728">
          <w:rPr>
            <w:rStyle w:val="Hyperlink"/>
            <w:sz w:val="16"/>
            <w:szCs w:val="16"/>
          </w:rPr>
          <w:t>https://manifold.umn.edu/read/a-third-university-is-possible/section/ba50806d-ff18-4100-9998-784aecb42ae4</w:t>
        </w:r>
      </w:hyperlink>
      <w:r w:rsidRPr="00F33728">
        <w:rPr>
          <w:sz w:val="16"/>
          <w:szCs w:val="16"/>
        </w:rPr>
        <w:t xml:space="preserve">] </w:t>
      </w:r>
      <w:r>
        <w:rPr>
          <w:sz w:val="16"/>
          <w:szCs w:val="16"/>
        </w:rPr>
        <w:t xml:space="preserve">//recut </w:t>
      </w:r>
      <w:proofErr w:type="spellStart"/>
      <w:r>
        <w:rPr>
          <w:sz w:val="16"/>
          <w:szCs w:val="16"/>
        </w:rPr>
        <w:t>faizaan</w:t>
      </w:r>
      <w:proofErr w:type="spellEnd"/>
    </w:p>
    <w:p w14:paraId="668CA413" w14:textId="584285D1" w:rsidR="008B391B" w:rsidRDefault="008B391B" w:rsidP="008B391B">
      <w:pPr>
        <w:rPr>
          <w:sz w:val="16"/>
          <w:szCs w:val="18"/>
        </w:rPr>
      </w:pPr>
      <w:r w:rsidRPr="004D1325">
        <w:rPr>
          <w:rStyle w:val="Emphasis"/>
          <w:highlight w:val="green"/>
        </w:rPr>
        <w:t>Land is the prime concern of settler colonialism</w:t>
      </w:r>
      <w:r w:rsidRPr="004D1325">
        <w:rPr>
          <w:sz w:val="16"/>
          <w:szCs w:val="18"/>
        </w:rPr>
        <w:t xml:space="preserve">, contexts </w:t>
      </w:r>
      <w:r w:rsidRPr="004D1325">
        <w:rPr>
          <w:rStyle w:val="Emphasis"/>
          <w:highlight w:val="green"/>
        </w:rPr>
        <w:t>in which the colonizer comes to a “new” place</w:t>
      </w:r>
      <w:r w:rsidRPr="004D1325">
        <w:rPr>
          <w:sz w:val="16"/>
          <w:szCs w:val="18"/>
        </w:rPr>
        <w:t xml:space="preserve"> not only to seize and exploit but to stay, making that “new” place his permanent home.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 </w:t>
      </w:r>
      <w:r w:rsidRPr="004D1325">
        <w:rPr>
          <w:rStyle w:val="Emphasis"/>
          <w:highlight w:val="green"/>
        </w:rPr>
        <w:t>However, the analysis of settler colonialism is</w:t>
      </w:r>
      <w:r w:rsidRPr="004D1325">
        <w:rPr>
          <w:sz w:val="16"/>
          <w:szCs w:val="18"/>
        </w:rPr>
        <w:t xml:space="preserve"> actually not new, only often </w:t>
      </w:r>
      <w:r w:rsidRPr="004D1325">
        <w:rPr>
          <w:rStyle w:val="Emphasis"/>
          <w:highlight w:val="green"/>
        </w:rPr>
        <w:t>i</w:t>
      </w:r>
      <w:r w:rsidRPr="00F9261A">
        <w:rPr>
          <w:rStyle w:val="Emphasis"/>
        </w:rPr>
        <w:t>g</w:t>
      </w:r>
      <w:r w:rsidRPr="004D1325">
        <w:rPr>
          <w:rStyle w:val="Emphasis"/>
          <w:highlight w:val="green"/>
        </w:rPr>
        <w:t>nored within Western critiques of empire</w:t>
      </w:r>
      <w:r w:rsidRPr="004D1325">
        <w:rPr>
          <w:sz w:val="16"/>
          <w:szCs w:val="18"/>
        </w:rPr>
        <w:t xml:space="preserve">. The critical literatures of </w:t>
      </w:r>
      <w:r w:rsidRPr="004D1325">
        <w:rPr>
          <w:rStyle w:val="Emphasis"/>
        </w:rPr>
        <w:t>the colonized have</w:t>
      </w:r>
      <w:r w:rsidRPr="004D1325">
        <w:rPr>
          <w:sz w:val="16"/>
          <w:szCs w:val="18"/>
        </w:rPr>
        <w:t xml:space="preserve"> long </w:t>
      </w:r>
      <w:r w:rsidRPr="004D1325">
        <w:rPr>
          <w:b/>
          <w:bCs/>
          <w:sz w:val="21"/>
          <w:szCs w:val="22"/>
          <w:u w:val="single"/>
        </w:rPr>
        <w:t>positioned the violence of settlement as a prime feature in colonial life</w:t>
      </w:r>
      <w:r w:rsidRPr="004D1325">
        <w:rPr>
          <w:sz w:val="16"/>
          <w:szCs w:val="18"/>
        </w:rPr>
        <w:t xml:space="preserve"> as well as </w:t>
      </w:r>
      <w:r w:rsidRPr="004D1325">
        <w:rPr>
          <w:rStyle w:val="Emphasis"/>
        </w:rPr>
        <w:t xml:space="preserve">in global arrangements of power. </w:t>
      </w:r>
      <w:r w:rsidRPr="004D1325">
        <w:rPr>
          <w:sz w:val="16"/>
          <w:szCs w:val="18"/>
        </w:rPr>
        <w:t xml:space="preserve">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as a spatial immediacy of empire: the geospatial collapse of metropole and colony into the same time and place. </w:t>
      </w:r>
      <w:r w:rsidRPr="00F9261A">
        <w:rPr>
          <w:rStyle w:val="Emphasis"/>
          <w:highlight w:val="green"/>
        </w:rPr>
        <w:t>On the “selfsame land” are spatialized white immunity</w:t>
      </w:r>
      <w:r w:rsidRPr="004D1325">
        <w:rPr>
          <w:sz w:val="16"/>
          <w:szCs w:val="18"/>
        </w:rPr>
        <w:t xml:space="preserve"> and racialized violation, non-Native desires for freedom, Black life, and Indigenous relations. 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 Actually, settler colonialism is something that “happened for” settlers. Indeed, it is happening for them/us right now. </w:t>
      </w:r>
      <w:proofErr w:type="spellStart"/>
      <w:r w:rsidRPr="004D1325">
        <w:rPr>
          <w:sz w:val="16"/>
          <w:szCs w:val="18"/>
        </w:rPr>
        <w:t>Wa</w:t>
      </w:r>
      <w:proofErr w:type="spellEnd"/>
      <w:r w:rsidRPr="004D1325">
        <w:rPr>
          <w:sz w:val="16"/>
          <w:szCs w:val="18"/>
        </w:rPr>
        <w:t xml:space="preserve"> </w:t>
      </w:r>
      <w:proofErr w:type="spellStart"/>
      <w:r w:rsidRPr="004D1325">
        <w:rPr>
          <w:sz w:val="16"/>
          <w:szCs w:val="18"/>
        </w:rPr>
        <w:t>Thiong’o’s</w:t>
      </w:r>
      <w:proofErr w:type="spellEnd"/>
      <w:r w:rsidRPr="004D1325">
        <w:rPr>
          <w:sz w:val="16"/>
          <w:szCs w:val="18"/>
        </w:rPr>
        <w:t xml:space="preserve"> question of how instead of why directs us to think of land tenancy laws, debt, and the privatization of land as settler colonial technologies that enable the “eventful” history of plunder and disappearance</w:t>
      </w:r>
      <w:r w:rsidRPr="00327AAE">
        <w:rPr>
          <w:rStyle w:val="Emphasis"/>
        </w:rPr>
        <w:t xml:space="preserve">. </w:t>
      </w:r>
      <w:r w:rsidRPr="00F9261A">
        <w:rPr>
          <w:rStyle w:val="Emphasis"/>
          <w:highlight w:val="green"/>
        </w:rPr>
        <w:t>Property law is a settler colonial technology. The weapons that enforce it, the knowledge institutions that legitimize it, the</w:t>
      </w:r>
      <w:r w:rsidRPr="00327AAE">
        <w:rPr>
          <w:rStyle w:val="Emphasis"/>
        </w:rPr>
        <w:t xml:space="preserve"> financial </w:t>
      </w:r>
      <w:r w:rsidRPr="00F9261A">
        <w:rPr>
          <w:rStyle w:val="Emphasis"/>
          <w:highlight w:val="green"/>
        </w:rPr>
        <w:t>institutions that operationalize it, are also technologies</w:t>
      </w:r>
      <w:r w:rsidRPr="004D1325">
        <w:rPr>
          <w:sz w:val="16"/>
          <w:szCs w:val="18"/>
        </w:rPr>
        <w:t xml:space="preserve">. Like all technologies, they evolve and spread. Recasting land as property means severing Indigenous peoples from land. This separation, what Hortense Spillers describes as “the loss of Indigenous name/land” for Africans-turned-chattel, recasts Black Indigenous people as black bodies for biopolitical disposal: who will be moved where, who will be murdered how, who will be machinery for what, and who will be made property for whom. </w:t>
      </w:r>
      <w:r w:rsidRPr="00327AAE">
        <w:rPr>
          <w:rStyle w:val="Emphasis"/>
        </w:rPr>
        <w:t xml:space="preserve">In the alienation of land from life, alienable rights are produced: the right to own (property), the right to law (protection through legitimated violence), the right to govern (supremacist sovereignty), the right to have rights (humanity). </w:t>
      </w:r>
      <w:r w:rsidRPr="004D1325">
        <w:rPr>
          <w:sz w:val="16"/>
          <w:szCs w:val="18"/>
        </w:rPr>
        <w:t xml:space="preserve">In a word, what is produced is whiteness. Moreover, it is not just human beings who are refigured in the schism. Land and nonhumans become alienable properties, a move that first alienates land from its own sovereign life. </w:t>
      </w:r>
      <w:proofErr w:type="gramStart"/>
      <w:r w:rsidRPr="004D1325">
        <w:rPr>
          <w:sz w:val="16"/>
          <w:szCs w:val="18"/>
        </w:rPr>
        <w:t>Thus</w:t>
      </w:r>
      <w:proofErr w:type="gramEnd"/>
      <w:r w:rsidRPr="004D1325">
        <w:rPr>
          <w:sz w:val="16"/>
          <w:szCs w:val="18"/>
        </w:rPr>
        <w:t xml:space="preserve"> we can speak </w:t>
      </w:r>
      <w:r w:rsidRPr="00327AAE">
        <w:rPr>
          <w:rStyle w:val="Emphasis"/>
        </w:rPr>
        <w:t xml:space="preserve">of </w:t>
      </w:r>
      <w:r w:rsidRPr="00F9261A">
        <w:rPr>
          <w:rStyle w:val="Emphasis"/>
          <w:highlight w:val="green"/>
        </w:rPr>
        <w:t>the</w:t>
      </w:r>
      <w:r w:rsidRPr="00327AAE">
        <w:rPr>
          <w:rStyle w:val="Emphasis"/>
        </w:rPr>
        <w:t xml:space="preserve"> various </w:t>
      </w:r>
      <w:r w:rsidRPr="00F9261A">
        <w:rPr>
          <w:rStyle w:val="Emphasis"/>
          <w:highlight w:val="green"/>
        </w:rPr>
        <w:t>technologies required to create and maintain</w:t>
      </w:r>
      <w:r w:rsidRPr="00327AAE">
        <w:rPr>
          <w:rStyle w:val="Emphasis"/>
        </w:rPr>
        <w:t xml:space="preserve"> these separations, </w:t>
      </w:r>
      <w:r w:rsidRPr="00F9261A">
        <w:rPr>
          <w:rStyle w:val="Emphasis"/>
          <w:highlight w:val="green"/>
        </w:rPr>
        <w:t>these alienations</w:t>
      </w:r>
      <w:r w:rsidRPr="00327AAE">
        <w:rPr>
          <w:rStyle w:val="Emphasis"/>
        </w:rPr>
        <w:t xml:space="preserve">: </w:t>
      </w:r>
      <w:r w:rsidRPr="00F9261A">
        <w:rPr>
          <w:rStyle w:val="Emphasis"/>
          <w:highlight w:val="green"/>
        </w:rPr>
        <w:t>Black from Indigenous, human from nonhuman, land from life</w:t>
      </w:r>
      <w:r w:rsidRPr="00327AAE">
        <w:rPr>
          <w:rStyle w:val="Emphasis"/>
        </w:rPr>
        <w:t>.</w:t>
      </w:r>
      <w:r w:rsidRPr="004D1325">
        <w:rPr>
          <w:sz w:val="16"/>
          <w:szCs w:val="18"/>
        </w:rPr>
        <w:t xml:space="preserve"> “How?” is a question you ask if you are concerned with the mechanisms, not just the motives, of colonization. Instead of settler colonialism as an ideology, or as a history, you might consider settler colonialism as a set of technologies—a frame that could help you to forecast colonial next operations and to plot decolonial directions.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w:t>
      </w:r>
      <w:r w:rsidRPr="004D1325">
        <w:rPr>
          <w:sz w:val="16"/>
          <w:szCs w:val="18"/>
        </w:rPr>
        <w:lastRenderedPageBreak/>
        <w:t xml:space="preserve">Furthermore, </w:t>
      </w:r>
      <w:r w:rsidRPr="00F9261A">
        <w:rPr>
          <w:rStyle w:val="Emphasis"/>
          <w:highlight w:val="green"/>
        </w:rPr>
        <w:t>the “humanity” of the settler is constructed upon his agency</w:t>
      </w:r>
      <w:r w:rsidRPr="00F9261A">
        <w:rPr>
          <w:rStyle w:val="Emphasis"/>
        </w:rPr>
        <w:t xml:space="preserve"> </w:t>
      </w:r>
      <w:r w:rsidRPr="00F9261A">
        <w:rPr>
          <w:rStyle w:val="Emphasis"/>
          <w:highlight w:val="green"/>
        </w:rPr>
        <w:t>over the land</w:t>
      </w:r>
      <w:r w:rsidRPr="00F9261A">
        <w:rPr>
          <w:rStyle w:val="Emphasis"/>
        </w:rPr>
        <w:t xml:space="preserve"> and nature. </w:t>
      </w:r>
      <w:r w:rsidRPr="004D1325">
        <w:rPr>
          <w:sz w:val="16"/>
          <w:szCs w:val="18"/>
        </w:rPr>
        <w:t xml:space="preserve">As Maldonado-Torres explains, “I think, therefore I am” is actually an articulation of “I conquer, therefore I am,” </w:t>
      </w:r>
      <w:r w:rsidRPr="00F9261A">
        <w:rPr>
          <w:rStyle w:val="Emphasis"/>
          <w:highlight w:val="green"/>
        </w:rPr>
        <w:t>a sense of identity posited</w:t>
      </w:r>
      <w:r w:rsidRPr="00F9261A">
        <w:rPr>
          <w:rStyle w:val="Emphasis"/>
        </w:rPr>
        <w:t xml:space="preserve"> </w:t>
      </w:r>
      <w:r w:rsidRPr="00F9261A">
        <w:rPr>
          <w:rStyle w:val="Emphasis"/>
          <w:highlight w:val="green"/>
        </w:rPr>
        <w:t>upon the harnessing of nature</w:t>
      </w:r>
      <w:r w:rsidRPr="00F9261A">
        <w:rPr>
          <w:rStyle w:val="Emphasis"/>
        </w:rPr>
        <w:t xml:space="preserve"> and its “natural” people</w:t>
      </w:r>
      <w:r w:rsidRPr="004D1325">
        <w:rPr>
          <w:sz w:val="16"/>
          <w:szCs w:val="18"/>
        </w:rPr>
        <w:t xml:space="preserve">. This creates a host of </w:t>
      </w:r>
      <w:proofErr w:type="spellStart"/>
      <w:r w:rsidRPr="004D1325">
        <w:rPr>
          <w:sz w:val="16"/>
          <w:szCs w:val="18"/>
        </w:rPr>
        <w:t>post+colonial</w:t>
      </w:r>
      <w:proofErr w:type="spellEnd"/>
      <w:r w:rsidRPr="004D1325">
        <w:rPr>
          <w:sz w:val="16"/>
          <w:szCs w:val="18"/>
        </w:rPr>
        <w:t xml:space="preserve"> problems that have come </w:t>
      </w:r>
      <w:r w:rsidRPr="00F9261A">
        <w:rPr>
          <w:rStyle w:val="Emphasis"/>
          <w:highlight w:val="green"/>
        </w:rPr>
        <w:t>to define modernity</w:t>
      </w:r>
      <w:r w:rsidRPr="004D1325">
        <w:rPr>
          <w:sz w:val="16"/>
          <w:szCs w:val="18"/>
        </w:rPr>
        <w:t xml:space="preserve">. Because the </w:t>
      </w:r>
      <w:r w:rsidRPr="00F9261A">
        <w:rPr>
          <w:rStyle w:val="Emphasis"/>
          <w:highlight w:val="green"/>
        </w:rPr>
        <w:t>humanity of the settler is predicated on his ability to “write the world,” to make history upon and over the natural world</w:t>
      </w:r>
      <w:r w:rsidRPr="004D1325">
        <w:rPr>
          <w:sz w:val="16"/>
          <w:szCs w:val="18"/>
        </w:rPr>
        <w:t xml:space="preserve">, the colonized is instructed to make her [their] claim to humanity by similarly acting on the world or, more precisely, acting in his. Indeed, for Fanon, it is the perverse ontology of settler </w:t>
      </w:r>
      <w:proofErr w:type="spellStart"/>
      <w:r w:rsidRPr="004D1325">
        <w:rPr>
          <w:sz w:val="16"/>
          <w:szCs w:val="18"/>
        </w:rPr>
        <w:t>becomings</w:t>
      </w:r>
      <w:proofErr w:type="spellEnd"/>
      <w:r w:rsidRPr="004D1325">
        <w:rPr>
          <w:sz w:val="16"/>
          <w:szCs w:val="18"/>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4D1325">
        <w:rPr>
          <w:sz w:val="16"/>
          <w:szCs w:val="18"/>
        </w:rPr>
        <w:t>wétiko</w:t>
      </w:r>
      <w:proofErr w:type="spellEnd"/>
      <w:r w:rsidRPr="004D1325">
        <w:rPr>
          <w:sz w:val="16"/>
          <w:szCs w:val="18"/>
        </w:rPr>
        <w:t xml:space="preserve">. He was mentally ill or insane, the carrier of a terribly contagious psychological disease, the </w:t>
      </w:r>
      <w:proofErr w:type="spellStart"/>
      <w:r w:rsidRPr="004D1325">
        <w:rPr>
          <w:sz w:val="16"/>
          <w:szCs w:val="18"/>
        </w:rPr>
        <w:t>wétiko</w:t>
      </w:r>
      <w:proofErr w:type="spellEnd"/>
      <w:r w:rsidRPr="004D1325">
        <w:rPr>
          <w:sz w:val="16"/>
          <w:szCs w:val="18"/>
        </w:rPr>
        <w:t xml:space="preserve"> psychosis</w:t>
      </w:r>
      <w:proofErr w:type="gramStart"/>
      <w:r w:rsidRPr="004D1325">
        <w:rPr>
          <w:sz w:val="16"/>
          <w:szCs w:val="18"/>
        </w:rPr>
        <w:t>. . . .</w:t>
      </w:r>
      <w:proofErr w:type="gramEnd"/>
      <w:r w:rsidRPr="004D1325">
        <w:rPr>
          <w:sz w:val="16"/>
          <w:szCs w:val="18"/>
        </w:rPr>
        <w:t xml:space="preserve"> The </w:t>
      </w:r>
      <w:proofErr w:type="spellStart"/>
      <w:r w:rsidRPr="004D1325">
        <w:rPr>
          <w:sz w:val="16"/>
          <w:szCs w:val="18"/>
        </w:rPr>
        <w:t>wétiko</w:t>
      </w:r>
      <w:proofErr w:type="spellEnd"/>
      <w:r w:rsidRPr="004D1325">
        <w:rPr>
          <w:sz w:val="16"/>
          <w:szCs w:val="18"/>
        </w:rPr>
        <w:t xml:space="preserve"> psychosis, and the problems it creates, have inspired many resistance movements and efforts at reform or revolution. Unfortunately, most of these efforts have failed because they have never diagnosed the </w:t>
      </w:r>
      <w:proofErr w:type="spellStart"/>
      <w:r w:rsidRPr="004D1325">
        <w:rPr>
          <w:sz w:val="16"/>
          <w:szCs w:val="18"/>
        </w:rPr>
        <w:t>wétiko</w:t>
      </w:r>
      <w:proofErr w:type="spellEnd"/>
      <w:r w:rsidRPr="004D1325">
        <w:rPr>
          <w:sz w:val="16"/>
          <w:szCs w:val="18"/>
        </w:rPr>
        <w:t xml:space="preserve">.” Under Western modernity, becoming “free” means becoming a colonizer, and because of this, “the central contradiction of modernity is freedom.”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w:t>
      </w:r>
      <w:proofErr w:type="gramStart"/>
      <w:r w:rsidRPr="004D1325">
        <w:rPr>
          <w:sz w:val="16"/>
          <w:szCs w:val="18"/>
        </w:rPr>
        <w:t>freedom’s</w:t>
      </w:r>
      <w:proofErr w:type="gramEnd"/>
      <w:r w:rsidRPr="004D1325">
        <w:rPr>
          <w:sz w:val="16"/>
          <w:szCs w:val="18"/>
        </w:rPr>
        <w:t xml:space="preserve"> in a bind.” </w:t>
      </w:r>
    </w:p>
    <w:p w14:paraId="0B149ABD" w14:textId="785351A3" w:rsidR="008B391B" w:rsidRDefault="008B391B" w:rsidP="008B391B">
      <w:pPr>
        <w:rPr>
          <w:sz w:val="16"/>
          <w:szCs w:val="18"/>
        </w:rPr>
      </w:pPr>
    </w:p>
    <w:p w14:paraId="2F6FE00A" w14:textId="14386F32" w:rsidR="00E170BC" w:rsidRDefault="00E170BC" w:rsidP="00E170BC">
      <w:pPr>
        <w:pStyle w:val="Heading4"/>
        <w:rPr>
          <w:rStyle w:val="Emphasis"/>
          <w:b/>
          <w:bCs w:val="0"/>
          <w:sz w:val="26"/>
          <w:u w:val="none"/>
        </w:rPr>
      </w:pPr>
      <w:r w:rsidRPr="00E170BC">
        <w:rPr>
          <w:rStyle w:val="Emphasis"/>
          <w:b/>
          <w:bCs w:val="0"/>
          <w:sz w:val="26"/>
          <w:u w:val="none"/>
        </w:rPr>
        <w:t>The media is</w:t>
      </w:r>
      <w:r w:rsidR="00E85B16">
        <w:rPr>
          <w:rStyle w:val="Emphasis"/>
          <w:b/>
          <w:bCs w:val="0"/>
          <w:sz w:val="26"/>
          <w:u w:val="none"/>
        </w:rPr>
        <w:t xml:space="preserve"> the modern</w:t>
      </w:r>
      <w:r w:rsidRPr="00E170BC">
        <w:rPr>
          <w:rStyle w:val="Emphasis"/>
          <w:b/>
          <w:bCs w:val="0"/>
          <w:sz w:val="26"/>
          <w:u w:val="none"/>
        </w:rPr>
        <w:t xml:space="preserve"> orchestrate</w:t>
      </w:r>
      <w:r w:rsidR="00E85B16">
        <w:rPr>
          <w:rStyle w:val="Emphasis"/>
          <w:b/>
          <w:bCs w:val="0"/>
          <w:sz w:val="26"/>
          <w:u w:val="none"/>
        </w:rPr>
        <w:t>r of genocide and the identity of the settler, ingraining destructive ideologies of settler dominance amongst the masses. Tucker 19</w:t>
      </w:r>
    </w:p>
    <w:p w14:paraId="51DBE3BF" w14:textId="043D50C1" w:rsidR="00E85B16" w:rsidRPr="00E85B16" w:rsidRDefault="00E85B16" w:rsidP="00E85B16">
      <w:pPr>
        <w:spacing w:after="0" w:line="240" w:lineRule="auto"/>
        <w:rPr>
          <w:sz w:val="20"/>
          <w:szCs w:val="21"/>
        </w:rPr>
      </w:pPr>
      <w:r>
        <w:rPr>
          <w:sz w:val="20"/>
          <w:szCs w:val="21"/>
        </w:rPr>
        <w:t>Tucker</w:t>
      </w:r>
      <w:r w:rsidRPr="00E85B16">
        <w:rPr>
          <w:sz w:val="20"/>
          <w:szCs w:val="21"/>
        </w:rPr>
        <w:t>,</w:t>
      </w:r>
      <w:r>
        <w:rPr>
          <w:sz w:val="20"/>
          <w:szCs w:val="21"/>
        </w:rPr>
        <w:t xml:space="preserve"> Ericka.</w:t>
      </w:r>
      <w:r w:rsidRPr="00E85B16">
        <w:rPr>
          <w:sz w:val="20"/>
          <w:szCs w:val="21"/>
        </w:rPr>
        <w:t xml:space="preserve"> </w:t>
      </w:r>
      <w:r>
        <w:rPr>
          <w:sz w:val="20"/>
          <w:szCs w:val="21"/>
        </w:rPr>
        <w:t>“</w:t>
      </w:r>
      <w:r w:rsidRPr="00E85B16">
        <w:rPr>
          <w:sz w:val="20"/>
          <w:szCs w:val="21"/>
        </w:rPr>
        <w:t>Perpetuating Colonization Through the Gaze of US Media</w:t>
      </w:r>
      <w:r>
        <w:rPr>
          <w:sz w:val="20"/>
          <w:szCs w:val="21"/>
        </w:rPr>
        <w:t>”</w:t>
      </w:r>
      <w:r w:rsidRPr="00E85B16">
        <w:rPr>
          <w:sz w:val="20"/>
          <w:szCs w:val="21"/>
        </w:rPr>
        <w:t xml:space="preserve">, </w:t>
      </w:r>
      <w:r>
        <w:rPr>
          <w:sz w:val="20"/>
          <w:szCs w:val="21"/>
        </w:rPr>
        <w:t>2019</w:t>
      </w:r>
      <w:r w:rsidRPr="00E85B16">
        <w:rPr>
          <w:sz w:val="20"/>
          <w:szCs w:val="21"/>
        </w:rPr>
        <w:t xml:space="preserve">, </w:t>
      </w:r>
      <w:r>
        <w:rPr>
          <w:sz w:val="20"/>
          <w:szCs w:val="21"/>
        </w:rPr>
        <w:t>University of Washington</w:t>
      </w:r>
      <w:r w:rsidRPr="00E85B16">
        <w:rPr>
          <w:sz w:val="20"/>
          <w:szCs w:val="21"/>
        </w:rPr>
        <w:t xml:space="preserve"> https://digital.lib.washington.edu/researchworks/bitstream/handle/1773/43978/Tucker_washington_0250O_20171.pdf?sequence=1&amp;isAllowed=y, 3-6-2022, //</w:t>
      </w:r>
      <w:r>
        <w:rPr>
          <w:sz w:val="20"/>
          <w:szCs w:val="21"/>
        </w:rPr>
        <w:t xml:space="preserve"> </w:t>
      </w:r>
      <w:proofErr w:type="spellStart"/>
      <w:r>
        <w:rPr>
          <w:sz w:val="20"/>
          <w:szCs w:val="21"/>
        </w:rPr>
        <w:t>faizaan</w:t>
      </w:r>
      <w:proofErr w:type="spellEnd"/>
    </w:p>
    <w:p w14:paraId="3414805C" w14:textId="118D169A" w:rsidR="00E170BC" w:rsidRPr="00E170BC" w:rsidRDefault="00E170BC" w:rsidP="008B391B">
      <w:pPr>
        <w:rPr>
          <w:rStyle w:val="Emphasis"/>
        </w:rPr>
      </w:pPr>
      <w:r w:rsidRPr="00E170BC">
        <w:rPr>
          <w:rStyle w:val="Emphasis"/>
          <w:highlight w:val="green"/>
        </w:rPr>
        <w:t>The</w:t>
      </w:r>
      <w:r w:rsidRPr="00E170BC">
        <w:rPr>
          <w:rStyle w:val="Emphasis"/>
        </w:rPr>
        <w:t xml:space="preserve"> roles, </w:t>
      </w:r>
      <w:r w:rsidRPr="00E170BC">
        <w:rPr>
          <w:rStyle w:val="Emphasis"/>
          <w:highlight w:val="green"/>
        </w:rPr>
        <w:t>ideological functions,</w:t>
      </w:r>
      <w:r w:rsidRPr="00E170BC">
        <w:rPr>
          <w:rStyle w:val="Emphasis"/>
        </w:rPr>
        <w:t xml:space="preserve"> and influence </w:t>
      </w:r>
      <w:r w:rsidRPr="00E170BC">
        <w:rPr>
          <w:rStyle w:val="Emphasis"/>
          <w:highlight w:val="green"/>
        </w:rPr>
        <w:t>of mass media</w:t>
      </w:r>
      <w:r w:rsidRPr="00E170BC">
        <w:rPr>
          <w:rStyle w:val="Emphasis"/>
        </w:rPr>
        <w:t xml:space="preserve"> have been studied extensively. According to Hall, the “mass media ‘</w:t>
      </w:r>
      <w:r w:rsidRPr="00E170BC">
        <w:rPr>
          <w:rStyle w:val="Emphasis"/>
          <w:highlight w:val="green"/>
        </w:rPr>
        <w:t>provide the guiding myths which shape our perception of the world</w:t>
      </w:r>
      <w:r w:rsidRPr="00E170BC">
        <w:rPr>
          <w:rStyle w:val="Emphasis"/>
        </w:rPr>
        <w:t xml:space="preserve"> </w:t>
      </w:r>
      <w:r w:rsidRPr="00E170BC">
        <w:rPr>
          <w:rStyle w:val="Emphasis"/>
          <w:highlight w:val="green"/>
        </w:rPr>
        <w:t>and serve</w:t>
      </w:r>
      <w:r w:rsidRPr="00E170BC">
        <w:rPr>
          <w:rStyle w:val="Emphasis"/>
        </w:rPr>
        <w:t xml:space="preserve"> as important </w:t>
      </w:r>
      <w:r w:rsidRPr="00E170BC">
        <w:rPr>
          <w:rStyle w:val="Emphasis"/>
          <w:highlight w:val="green"/>
        </w:rPr>
        <w:t>instruments as social control</w:t>
      </w:r>
      <w:r w:rsidRPr="00E170BC">
        <w:rPr>
          <w:rStyle w:val="Emphasis"/>
        </w:rPr>
        <w:t>.</w:t>
      </w:r>
      <w:r w:rsidRPr="00F33872">
        <w:rPr>
          <w:sz w:val="18"/>
          <w:szCs w:val="20"/>
        </w:rPr>
        <w:t xml:space="preserve">’”31 In his analysis of news media in particular, Hall not only addresses </w:t>
      </w:r>
      <w:r w:rsidRPr="00E170BC">
        <w:rPr>
          <w:rStyle w:val="Emphasis"/>
        </w:rPr>
        <w:t>the power of media</w:t>
      </w:r>
      <w:r w:rsidRPr="00F33872">
        <w:rPr>
          <w:sz w:val="18"/>
          <w:szCs w:val="20"/>
        </w:rPr>
        <w:t xml:space="preserve"> but also critiques the relationship between media and what he calls </w:t>
      </w:r>
      <w:r w:rsidRPr="00E170BC">
        <w:rPr>
          <w:rStyle w:val="Emphasis"/>
        </w:rPr>
        <w:t xml:space="preserve">the “gatekeepers” - government officials, politicians, corporate spokespeople, “experts” </w:t>
      </w:r>
      <w:r w:rsidRPr="00E170BC">
        <w:rPr>
          <w:rStyle w:val="Emphasis"/>
          <w:highlight w:val="green"/>
        </w:rPr>
        <w:t>- in keeping those who exist outside of this relationship</w:t>
      </w:r>
      <w:r w:rsidRPr="00E170BC">
        <w:rPr>
          <w:rStyle w:val="Emphasis"/>
        </w:rPr>
        <w:t xml:space="preserve"> on the margins and </w:t>
      </w:r>
      <w:r w:rsidRPr="00E170BC">
        <w:rPr>
          <w:rStyle w:val="Emphasis"/>
          <w:highlight w:val="green"/>
        </w:rPr>
        <w:t>misrepresented</w:t>
      </w:r>
      <w:r w:rsidRPr="00E170BC">
        <w:rPr>
          <w:rStyle w:val="Emphasis"/>
        </w:rPr>
        <w:t>.</w:t>
      </w:r>
      <w:r w:rsidRPr="00F33872">
        <w:rPr>
          <w:sz w:val="18"/>
          <w:szCs w:val="20"/>
        </w:rPr>
        <w:t>32 Kellner argues that “</w:t>
      </w:r>
      <w:r w:rsidRPr="00E170BC">
        <w:rPr>
          <w:rStyle w:val="Emphasis"/>
          <w:highlight w:val="green"/>
        </w:rPr>
        <w:t>media culture” plays a large part in the creation of iden</w:t>
      </w:r>
      <w:r w:rsidRPr="00E170BC">
        <w:rPr>
          <w:rStyle w:val="Emphasis"/>
        </w:rPr>
        <w:t>tity</w:t>
      </w:r>
      <w:r w:rsidRPr="00F33872">
        <w:rPr>
          <w:sz w:val="18"/>
          <w:szCs w:val="20"/>
        </w:rPr>
        <w:t xml:space="preserve">, helping people understand not only who they are </w:t>
      </w:r>
      <w:r w:rsidRPr="00E170BC">
        <w:rPr>
          <w:rStyle w:val="Emphasis"/>
        </w:rPr>
        <w:t>but their place in the world</w:t>
      </w:r>
      <w:r w:rsidRPr="00F33872">
        <w:rPr>
          <w:sz w:val="18"/>
          <w:szCs w:val="20"/>
        </w:rPr>
        <w:t>.33 The world is highly mediated</w:t>
      </w:r>
      <w:r w:rsidRPr="00E170BC">
        <w:rPr>
          <w:rStyle w:val="Emphasis"/>
        </w:rPr>
        <w:t xml:space="preserve">, </w:t>
      </w:r>
      <w:r w:rsidRPr="00E170BC">
        <w:rPr>
          <w:rStyle w:val="Emphasis"/>
          <w:highlight w:val="green"/>
        </w:rPr>
        <w:t>in which people</w:t>
      </w:r>
      <w:r w:rsidRPr="00E170BC">
        <w:rPr>
          <w:rStyle w:val="Emphasis"/>
        </w:rPr>
        <w:t xml:space="preserve"> and events </w:t>
      </w:r>
      <w:r w:rsidRPr="00E170BC">
        <w:rPr>
          <w:rStyle w:val="Emphasis"/>
          <w:highlight w:val="green"/>
        </w:rPr>
        <w:t>become synonymous with their representations, regardless of whether they ar</w:t>
      </w:r>
      <w:r w:rsidRPr="00E170BC">
        <w:rPr>
          <w:rStyle w:val="Emphasis"/>
        </w:rPr>
        <w:t xml:space="preserve">e factual or </w:t>
      </w:r>
      <w:r w:rsidRPr="00E170BC">
        <w:rPr>
          <w:rStyle w:val="Emphasis"/>
          <w:highlight w:val="green"/>
        </w:rPr>
        <w:t>accurate;</w:t>
      </w:r>
      <w:r w:rsidRPr="00F33872">
        <w:rPr>
          <w:sz w:val="18"/>
          <w:szCs w:val="20"/>
        </w:rPr>
        <w:t xml:space="preserve"> the news thrives on immediacy and, increasingly, eschews context which results in distorted representations and upholds the 30 Ibid., 6. 31 Helen Davis, Understanding Stuart Hall (London: Sage, 2004), 41. 32 Ibid., 43. 33 Douglas Kellner, Media Culture: Cultural Studies, Identity and Politics Between the Modern and the Postmodern, (London: Routledge, 1995). 16 </w:t>
      </w:r>
      <w:r w:rsidRPr="00F33872">
        <w:rPr>
          <w:sz w:val="18"/>
          <w:szCs w:val="20"/>
        </w:rPr>
        <w:fldChar w:fldCharType="begin"/>
      </w:r>
      <w:r w:rsidRPr="00F33872">
        <w:rPr>
          <w:sz w:val="18"/>
          <w:szCs w:val="20"/>
        </w:rPr>
        <w:instrText xml:space="preserve"> INCLUDEPICTURE "/var/folders/n0/flrzpq7x0ls414bczhnfwnp40000gn/T/com.microsoft.Word/WebArchiveCopyPasteTempFiles/page16image1843891536" \* MERGEFORMATINET </w:instrText>
      </w:r>
      <w:r w:rsidRPr="00F33872">
        <w:rPr>
          <w:sz w:val="18"/>
          <w:szCs w:val="20"/>
        </w:rPr>
        <w:fldChar w:fldCharType="separate"/>
      </w:r>
      <w:r w:rsidRPr="00F33872">
        <w:rPr>
          <w:noProof/>
          <w:sz w:val="18"/>
          <w:szCs w:val="20"/>
        </w:rPr>
        <w:drawing>
          <wp:inline distT="0" distB="0" distL="0" distR="0" wp14:anchorId="6CA8C8DE" wp14:editId="222ECBF6">
            <wp:extent cx="1828800" cy="12700"/>
            <wp:effectExtent l="0" t="0" r="0" b="0"/>
            <wp:docPr id="1" name="Picture 1" descr="page16image184389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6image18438915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2700"/>
                    </a:xfrm>
                    <a:prstGeom prst="rect">
                      <a:avLst/>
                    </a:prstGeom>
                    <a:noFill/>
                    <a:ln>
                      <a:noFill/>
                    </a:ln>
                  </pic:spPr>
                </pic:pic>
              </a:graphicData>
            </a:graphic>
          </wp:inline>
        </w:drawing>
      </w:r>
      <w:r w:rsidRPr="00F33872">
        <w:rPr>
          <w:sz w:val="18"/>
          <w:szCs w:val="20"/>
        </w:rPr>
        <w:fldChar w:fldCharType="end"/>
      </w:r>
      <w:r w:rsidRPr="00F33872">
        <w:rPr>
          <w:sz w:val="18"/>
          <w:szCs w:val="20"/>
        </w:rPr>
        <w:t xml:space="preserve"> dominant political and social landscape. However, Hall’s theory of the politics of representation posits that </w:t>
      </w:r>
      <w:r w:rsidRPr="00E170BC">
        <w:rPr>
          <w:rStyle w:val="Emphasis"/>
        </w:rPr>
        <w:t>media representation is more complex than a simple cause-and-effect relationship between media and consumers</w:t>
      </w:r>
      <w:r w:rsidRPr="00F33872">
        <w:rPr>
          <w:sz w:val="18"/>
          <w:szCs w:val="20"/>
        </w:rPr>
        <w:t xml:space="preserve">. </w:t>
      </w:r>
      <w:r w:rsidRPr="00E170BC">
        <w:rPr>
          <w:rStyle w:val="Emphasis"/>
          <w:highlight w:val="green"/>
        </w:rPr>
        <w:t>Power strives to solidify meaning to support its agenda, and audiences receive meaning</w:t>
      </w:r>
      <w:r w:rsidRPr="00F33872">
        <w:rPr>
          <w:sz w:val="18"/>
          <w:szCs w:val="20"/>
        </w:rPr>
        <w:t xml:space="preserve">, but meaning cannot be fixed; individuals constantly remake or “decode” meaning as it is received, and therefore meaning is constantly changing regardless of the author’s intent (encoding).34 Encoding and decoding are discursive practices in a constant state of motion and flux, in a “dialectic of cultural struggle”35 which occurs at the point where “different, opposed traditions meet, intersect.”36 Thus, </w:t>
      </w:r>
      <w:r w:rsidRPr="00E170BC">
        <w:rPr>
          <w:rStyle w:val="Emphasis"/>
        </w:rPr>
        <w:t xml:space="preserve">the consumption of media is not a passive act; consumers make meaning out of various texts by, in part, pulling from previous interactions with media. By reinforcing already </w:t>
      </w:r>
      <w:proofErr w:type="gramStart"/>
      <w:r w:rsidRPr="00E170BC">
        <w:rPr>
          <w:rStyle w:val="Emphasis"/>
        </w:rPr>
        <w:t>widely-held</w:t>
      </w:r>
      <w:proofErr w:type="gramEnd"/>
      <w:r w:rsidRPr="00E170BC">
        <w:rPr>
          <w:rStyle w:val="Emphasis"/>
        </w:rPr>
        <w:t xml:space="preserve"> stereotypes, “the press has given </w:t>
      </w:r>
      <w:r w:rsidRPr="00E170BC">
        <w:rPr>
          <w:rStyle w:val="Emphasis"/>
        </w:rPr>
        <w:lastRenderedPageBreak/>
        <w:t>these images the weight of factuality.”</w:t>
      </w:r>
      <w:r w:rsidRPr="00F33872">
        <w:rPr>
          <w:sz w:val="18"/>
          <w:szCs w:val="20"/>
        </w:rPr>
        <w:t xml:space="preserve">37 </w:t>
      </w:r>
      <w:r w:rsidRPr="00E170BC">
        <w:rPr>
          <w:rStyle w:val="Emphasis"/>
        </w:rPr>
        <w:t xml:space="preserve">Thus, </w:t>
      </w:r>
      <w:r w:rsidRPr="00E170BC">
        <w:rPr>
          <w:rStyle w:val="Emphasis"/>
          <w:highlight w:val="green"/>
        </w:rPr>
        <w:t>the news media wields a particular power over public opinion</w:t>
      </w:r>
      <w:r w:rsidRPr="00E170BC">
        <w:rPr>
          <w:rStyle w:val="Emphasis"/>
        </w:rPr>
        <w:t xml:space="preserve"> and public policy, </w:t>
      </w:r>
      <w:r w:rsidRPr="00E170BC">
        <w:rPr>
          <w:rStyle w:val="Emphasis"/>
          <w:highlight w:val="green"/>
        </w:rPr>
        <w:t>by</w:t>
      </w:r>
      <w:r w:rsidRPr="00E170BC">
        <w:rPr>
          <w:rStyle w:val="Emphasis"/>
        </w:rPr>
        <w:t xml:space="preserve"> defining and </w:t>
      </w:r>
      <w:r w:rsidRPr="00E170BC">
        <w:rPr>
          <w:rStyle w:val="Emphasis"/>
          <w:highlight w:val="green"/>
        </w:rPr>
        <w:t>constructing social problems in ways that reinforce unequal power structures</w:t>
      </w:r>
      <w:r w:rsidRPr="00E170BC">
        <w:rPr>
          <w:rStyle w:val="Emphasis"/>
        </w:rPr>
        <w:t xml:space="preserve">. </w:t>
      </w:r>
      <w:r w:rsidRPr="00E170BC">
        <w:rPr>
          <w:rStyle w:val="Emphasis"/>
          <w:b w:val="0"/>
          <w:bCs/>
          <w:sz w:val="18"/>
          <w:szCs w:val="20"/>
          <w:u w:val="none"/>
        </w:rPr>
        <w:t>Hall argues that “the media’s main sphere</w:t>
      </w:r>
      <w:r w:rsidRPr="00E170BC">
        <w:rPr>
          <w:sz w:val="13"/>
          <w:szCs w:val="15"/>
        </w:rPr>
        <w:t xml:space="preserve"> </w:t>
      </w:r>
      <w:r w:rsidRPr="00F33872">
        <w:rPr>
          <w:sz w:val="18"/>
          <w:szCs w:val="20"/>
        </w:rPr>
        <w:t xml:space="preserve">of operations is the production and transformation of ideologies.”38 </w:t>
      </w:r>
      <w:r w:rsidRPr="00E170BC">
        <w:rPr>
          <w:rStyle w:val="Emphasis"/>
          <w:highlight w:val="green"/>
        </w:rPr>
        <w:t>Ideologies are</w:t>
      </w:r>
      <w:r w:rsidRPr="00E170BC">
        <w:rPr>
          <w:rStyle w:val="Emphasis"/>
        </w:rPr>
        <w:t xml:space="preserve"> not created and followed in a vacuum, but rather are </w:t>
      </w:r>
      <w:r w:rsidRPr="00E170BC">
        <w:rPr>
          <w:rStyle w:val="Emphasis"/>
          <w:highlight w:val="green"/>
        </w:rPr>
        <w:t>made up of a complex set of meanings which determine social formations and conditions</w:t>
      </w:r>
      <w:r w:rsidRPr="00E170BC">
        <w:rPr>
          <w:rStyle w:val="Emphasis"/>
        </w:rPr>
        <w:t xml:space="preserve">, or how people make sense of the world and their place in it.39 Ideologies also </w:t>
      </w:r>
      <w:r w:rsidRPr="00E170BC">
        <w:rPr>
          <w:rStyle w:val="Emphasis"/>
          <w:highlight w:val="green"/>
        </w:rPr>
        <w:t>influence individual identities</w:t>
      </w:r>
      <w:r w:rsidRPr="00E170BC">
        <w:rPr>
          <w:rStyle w:val="Emphasis"/>
        </w:rPr>
        <w:t>.</w:t>
      </w:r>
    </w:p>
    <w:p w14:paraId="6148AB07" w14:textId="0CC16ACD" w:rsidR="008B391B" w:rsidRDefault="008B391B" w:rsidP="008B391B">
      <w:pPr>
        <w:rPr>
          <w:sz w:val="16"/>
          <w:szCs w:val="18"/>
        </w:rPr>
      </w:pPr>
    </w:p>
    <w:p w14:paraId="465A9EF5" w14:textId="74D72530" w:rsidR="00852E3B" w:rsidRDefault="00852E3B" w:rsidP="00852E3B">
      <w:pPr>
        <w:pStyle w:val="Heading4"/>
      </w:pPr>
      <w:r>
        <w:t>The media is still a site of social exclusion of indigenous voices and silences decolonial pedagogies. UTS 21</w:t>
      </w:r>
    </w:p>
    <w:p w14:paraId="732B0553" w14:textId="717C3DC5" w:rsidR="00852E3B" w:rsidRPr="00852E3B" w:rsidRDefault="00852E3B" w:rsidP="008B391B">
      <w:pPr>
        <w:rPr>
          <w:sz w:val="18"/>
          <w:szCs w:val="20"/>
        </w:rPr>
      </w:pPr>
      <w:r>
        <w:rPr>
          <w:sz w:val="18"/>
          <w:szCs w:val="20"/>
        </w:rPr>
        <w:t>UTS</w:t>
      </w:r>
      <w:r w:rsidRPr="00852E3B">
        <w:rPr>
          <w:sz w:val="18"/>
          <w:szCs w:val="20"/>
        </w:rPr>
        <w:t xml:space="preserve"> "Indigenous voices still missing in media stories", </w:t>
      </w:r>
      <w:r>
        <w:rPr>
          <w:sz w:val="18"/>
          <w:szCs w:val="20"/>
        </w:rPr>
        <w:t>07-01-2021,</w:t>
      </w:r>
      <w:r w:rsidRPr="00852E3B">
        <w:rPr>
          <w:sz w:val="18"/>
          <w:szCs w:val="20"/>
        </w:rPr>
        <w:t xml:space="preserve"> University of Technology Sydney, https://www.uts.edu.au/news/social-justice-sustainability/indigenous-voices-still-missing-media-stories, 3-6-2022, /</w:t>
      </w:r>
      <w:r>
        <w:rPr>
          <w:sz w:val="18"/>
          <w:szCs w:val="20"/>
        </w:rPr>
        <w:t>/</w:t>
      </w:r>
      <w:proofErr w:type="spellStart"/>
      <w:r>
        <w:rPr>
          <w:sz w:val="18"/>
          <w:szCs w:val="20"/>
        </w:rPr>
        <w:t>faizaan</w:t>
      </w:r>
      <w:proofErr w:type="spellEnd"/>
    </w:p>
    <w:p w14:paraId="67194260" w14:textId="7CBAAAE1" w:rsidR="00DF2481" w:rsidRPr="00852E3B" w:rsidRDefault="00DF2481" w:rsidP="00DF2481">
      <w:r w:rsidRPr="00DF2481">
        <w:rPr>
          <w:sz w:val="18"/>
          <w:szCs w:val="20"/>
        </w:rPr>
        <w:t xml:space="preserve">Since the British invasion of Gadigal land at Sydney Cove in 1788, race relations in Australia have been underscored by what </w:t>
      </w:r>
      <w:hyperlink r:id="rId11" w:history="1">
        <w:r w:rsidRPr="00DF2481">
          <w:rPr>
            <w:rStyle w:val="Hyperlink"/>
            <w:sz w:val="18"/>
            <w:szCs w:val="20"/>
          </w:rPr>
          <w:t>Wiradjuri writer Jack Gibson</w:t>
        </w:r>
      </w:hyperlink>
      <w:r w:rsidRPr="00DF2481">
        <w:rPr>
          <w:sz w:val="18"/>
          <w:szCs w:val="20"/>
        </w:rPr>
        <w:t xml:space="preserve"> describes as the “supremeness of whiteness</w:t>
      </w:r>
      <w:r w:rsidRPr="00DF2481">
        <w:rPr>
          <w:rStyle w:val="Emphasis"/>
        </w:rPr>
        <w:t xml:space="preserve">”. </w:t>
      </w:r>
      <w:r w:rsidRPr="00852E3B">
        <w:rPr>
          <w:rStyle w:val="Emphasis"/>
          <w:highlight w:val="green"/>
        </w:rPr>
        <w:t xml:space="preserve">Narratives of </w:t>
      </w:r>
      <w:hyperlink r:id="rId12" w:history="1">
        <w:r w:rsidRPr="00852E3B">
          <w:rPr>
            <w:rStyle w:val="Emphasis"/>
            <w:highlight w:val="green"/>
          </w:rPr>
          <w:t>Indigenous inferiority and deficiency</w:t>
        </w:r>
      </w:hyperlink>
      <w:r w:rsidRPr="00DF2481">
        <w:rPr>
          <w:rStyle w:val="Emphasis"/>
        </w:rPr>
        <w:t xml:space="preserve">, combined </w:t>
      </w:r>
      <w:r w:rsidRPr="00852E3B">
        <w:rPr>
          <w:rStyle w:val="Emphasis"/>
          <w:highlight w:val="green"/>
        </w:rPr>
        <w:t>with paternalistic policies</w:t>
      </w:r>
      <w:r w:rsidRPr="00DF2481">
        <w:rPr>
          <w:rStyle w:val="Emphasis"/>
        </w:rPr>
        <w:t xml:space="preserve">, </w:t>
      </w:r>
      <w:r w:rsidRPr="00852E3B">
        <w:rPr>
          <w:rStyle w:val="Emphasis"/>
          <w:highlight w:val="green"/>
        </w:rPr>
        <w:t>have produced</w:t>
      </w:r>
      <w:r w:rsidRPr="00DF2481">
        <w:rPr>
          <w:rStyle w:val="Emphasis"/>
        </w:rPr>
        <w:t xml:space="preserve"> a </w:t>
      </w:r>
      <w:r w:rsidRPr="00852E3B">
        <w:rPr>
          <w:rStyle w:val="Emphasis"/>
          <w:highlight w:val="green"/>
        </w:rPr>
        <w:t>cultural climate where non-Indigenous voices have often dominated debate on matters of concern and importance to Indigenous communities</w:t>
      </w:r>
      <w:r w:rsidRPr="00DF2481">
        <w:rPr>
          <w:sz w:val="18"/>
          <w:szCs w:val="20"/>
        </w:rPr>
        <w:t xml:space="preserve">. However, in recent years, </w:t>
      </w:r>
      <w:r w:rsidRPr="00852E3B">
        <w:rPr>
          <w:rStyle w:val="Emphasis"/>
          <w:highlight w:val="green"/>
        </w:rPr>
        <w:t xml:space="preserve">Indigenous </w:t>
      </w:r>
      <w:hyperlink r:id="rId13" w:history="1">
        <w:r w:rsidRPr="00852E3B">
          <w:rPr>
            <w:rStyle w:val="Emphasis"/>
            <w:highlight w:val="green"/>
          </w:rPr>
          <w:t>journalists</w:t>
        </w:r>
      </w:hyperlink>
      <w:r w:rsidRPr="00852E3B">
        <w:rPr>
          <w:rStyle w:val="Emphasis"/>
          <w:highlight w:val="green"/>
        </w:rPr>
        <w:t xml:space="preserve"> and storytellers have sought to change this</w:t>
      </w:r>
      <w:r w:rsidRPr="00DF2481">
        <w:rPr>
          <w:sz w:val="18"/>
          <w:szCs w:val="20"/>
        </w:rPr>
        <w:t xml:space="preserve">. </w:t>
      </w:r>
      <w:hyperlink r:id="rId14" w:history="1">
        <w:r w:rsidRPr="00DF2481">
          <w:rPr>
            <w:rStyle w:val="Hyperlink"/>
            <w:sz w:val="18"/>
            <w:szCs w:val="20"/>
          </w:rPr>
          <w:t xml:space="preserve">The Uluru Statement </w:t>
        </w:r>
        <w:proofErr w:type="gramStart"/>
        <w:r w:rsidRPr="00DF2481">
          <w:rPr>
            <w:rStyle w:val="Hyperlink"/>
            <w:sz w:val="18"/>
            <w:szCs w:val="20"/>
          </w:rPr>
          <w:t>From</w:t>
        </w:r>
        <w:proofErr w:type="gramEnd"/>
        <w:r w:rsidRPr="00DF2481">
          <w:rPr>
            <w:rStyle w:val="Hyperlink"/>
            <w:sz w:val="18"/>
            <w:szCs w:val="20"/>
          </w:rPr>
          <w:t xml:space="preserve"> the Heart</w:t>
        </w:r>
      </w:hyperlink>
      <w:r w:rsidRPr="00DF2481">
        <w:rPr>
          <w:sz w:val="18"/>
          <w:szCs w:val="20"/>
        </w:rPr>
        <w:t xml:space="preserve"> calls for a process of truth-telling. And as the Black Lives Matter movement has grown, some media </w:t>
      </w:r>
      <w:proofErr w:type="spellStart"/>
      <w:r w:rsidRPr="00DF2481">
        <w:rPr>
          <w:sz w:val="18"/>
          <w:szCs w:val="20"/>
        </w:rPr>
        <w:t>organisations</w:t>
      </w:r>
      <w:proofErr w:type="spellEnd"/>
      <w:r w:rsidRPr="00DF2481">
        <w:rPr>
          <w:sz w:val="18"/>
          <w:szCs w:val="20"/>
        </w:rPr>
        <w:t xml:space="preserve"> are </w:t>
      </w:r>
      <w:proofErr w:type="spellStart"/>
      <w:r w:rsidRPr="00DF2481">
        <w:rPr>
          <w:sz w:val="18"/>
          <w:szCs w:val="20"/>
        </w:rPr>
        <w:t>recognising</w:t>
      </w:r>
      <w:proofErr w:type="spellEnd"/>
      <w:r w:rsidRPr="00DF2481">
        <w:rPr>
          <w:sz w:val="18"/>
          <w:szCs w:val="20"/>
        </w:rPr>
        <w:t xml:space="preserve"> the need to deal with their histories of racist representations. In 2020, for example, the Stuff Group in New Zealand </w:t>
      </w:r>
      <w:hyperlink r:id="rId15" w:history="1">
        <w:proofErr w:type="spellStart"/>
        <w:r w:rsidRPr="00DF2481">
          <w:rPr>
            <w:rStyle w:val="Hyperlink"/>
            <w:sz w:val="18"/>
            <w:szCs w:val="20"/>
          </w:rPr>
          <w:t>apologised</w:t>
        </w:r>
        <w:proofErr w:type="spellEnd"/>
      </w:hyperlink>
      <w:r w:rsidRPr="00DF2481">
        <w:rPr>
          <w:sz w:val="18"/>
          <w:szCs w:val="20"/>
        </w:rPr>
        <w:t xml:space="preserve"> for its racist and exclusionary depictions of Māori over decades. </w:t>
      </w:r>
      <w:hyperlink r:id="rId16" w:history="1">
        <w:r w:rsidRPr="00DF2481">
          <w:rPr>
            <w:rStyle w:val="Hyperlink"/>
            <w:sz w:val="18"/>
            <w:szCs w:val="20"/>
          </w:rPr>
          <w:t>Our new research</w:t>
        </w:r>
      </w:hyperlink>
      <w:r w:rsidRPr="00DF2481">
        <w:rPr>
          <w:sz w:val="18"/>
          <w:szCs w:val="20"/>
        </w:rPr>
        <w:t xml:space="preserve">, published as a joint report from All Together Now, University of Technology Sydney, Deakin University and Cultural and Indigenous Research Australia, examines the ways in which the mainstream media use language, voices, and other features (such as sources and points of view) to represent and frame Indigenous communities and issues. Our research revealed the </w:t>
      </w:r>
      <w:r w:rsidRPr="00852E3B">
        <w:rPr>
          <w:rStyle w:val="Emphasis"/>
          <w:highlight w:val="green"/>
        </w:rPr>
        <w:t>media is increasingly depicting Indigenous people</w:t>
      </w:r>
      <w:r w:rsidRPr="00DF2481">
        <w:rPr>
          <w:sz w:val="18"/>
          <w:szCs w:val="20"/>
        </w:rPr>
        <w:t xml:space="preserve"> and communities in “inclusive” ways. In a survey of 288 opinion pieces about Indigenous communities across mainstream newspapers and television networks in Australia, we found that 151 had inclusive depictions of Indigenous people. Articles were considered inclusive if their language defied racial stereotypes, condemned racism, or gave a voice to Indigenous people. </w:t>
      </w:r>
      <w:r w:rsidRPr="00852E3B">
        <w:rPr>
          <w:rStyle w:val="Emphasis"/>
          <w:highlight w:val="green"/>
        </w:rPr>
        <w:t>However</w:t>
      </w:r>
      <w:r w:rsidRPr="00DF2481">
        <w:rPr>
          <w:rStyle w:val="Emphasis"/>
        </w:rPr>
        <w:t>,</w:t>
      </w:r>
      <w:r w:rsidRPr="00DF2481">
        <w:rPr>
          <w:sz w:val="18"/>
          <w:szCs w:val="20"/>
        </w:rPr>
        <w:t xml:space="preserve"> when we delved more deeply into a smaller sample of these inclusive pieces using discourse analysis, we found that </w:t>
      </w:r>
      <w:r w:rsidRPr="00852E3B">
        <w:rPr>
          <w:rStyle w:val="Emphasis"/>
          <w:highlight w:val="green"/>
        </w:rPr>
        <w:t xml:space="preserve">inclusive commentary can still deny agency to Indigenous people through </w:t>
      </w:r>
      <w:proofErr w:type="spellStart"/>
      <w:r w:rsidRPr="00852E3B">
        <w:rPr>
          <w:rStyle w:val="Emphasis"/>
          <w:highlight w:val="green"/>
        </w:rPr>
        <w:t>marginalising</w:t>
      </w:r>
      <w:proofErr w:type="spellEnd"/>
      <w:r w:rsidRPr="00852E3B">
        <w:rPr>
          <w:rStyle w:val="Emphasis"/>
          <w:highlight w:val="green"/>
        </w:rPr>
        <w:t xml:space="preserve"> Indigenous voices</w:t>
      </w:r>
      <w:r w:rsidRPr="00DF2481">
        <w:rPr>
          <w:sz w:val="18"/>
          <w:szCs w:val="20"/>
        </w:rPr>
        <w:t xml:space="preserve">. Exploring surface level inclusion Focusing on 20 opinion articles published between 2019 and 2020 in five leading newspapers - The Sydney Morning Herald, The Australian, The Daily Telegraph, Herald Sun and The Courier Mail - </w:t>
      </w:r>
      <w:r w:rsidRPr="00852E3B">
        <w:rPr>
          <w:rStyle w:val="Emphasis"/>
          <w:highlight w:val="green"/>
        </w:rPr>
        <w:t>we found that Indigenous voices, points of view and sources were routinely under-represented</w:t>
      </w:r>
      <w:r w:rsidRPr="00DF2481">
        <w:rPr>
          <w:rStyle w:val="Emphasis"/>
        </w:rPr>
        <w:t xml:space="preserve">, </w:t>
      </w:r>
      <w:r w:rsidRPr="00852E3B">
        <w:rPr>
          <w:rStyle w:val="Emphasis"/>
          <w:highlight w:val="green"/>
        </w:rPr>
        <w:t>while relevant historical and cultural context was regularly overlooked</w:t>
      </w:r>
      <w:r w:rsidRPr="00DF2481">
        <w:rPr>
          <w:rStyle w:val="Emphasis"/>
        </w:rPr>
        <w:t xml:space="preserve">. </w:t>
      </w:r>
      <w:r w:rsidRPr="00852E3B">
        <w:rPr>
          <w:rStyle w:val="Emphasis"/>
          <w:highlight w:val="green"/>
        </w:rPr>
        <w:t>This</w:t>
      </w:r>
      <w:r w:rsidRPr="00DF2481">
        <w:rPr>
          <w:rStyle w:val="Emphasis"/>
        </w:rPr>
        <w:t xml:space="preserve"> </w:t>
      </w:r>
      <w:r w:rsidRPr="00852E3B">
        <w:rPr>
          <w:rStyle w:val="Emphasis"/>
          <w:highlight w:val="green"/>
        </w:rPr>
        <w:t>obscures</w:t>
      </w:r>
      <w:r w:rsidRPr="00DF2481">
        <w:rPr>
          <w:rStyle w:val="Emphasis"/>
        </w:rPr>
        <w:t xml:space="preserve"> the actions </w:t>
      </w:r>
      <w:r w:rsidRPr="00852E3B">
        <w:rPr>
          <w:rStyle w:val="Emphasis"/>
          <w:highlight w:val="green"/>
        </w:rPr>
        <w:t>and views of Indigenous people in the political debates</w:t>
      </w:r>
      <w:r w:rsidRPr="00DF2481">
        <w:rPr>
          <w:rStyle w:val="Emphasis"/>
        </w:rPr>
        <w:t xml:space="preserve"> that matter to their communities</w:t>
      </w:r>
      <w:r w:rsidRPr="00DF2481">
        <w:rPr>
          <w:sz w:val="18"/>
          <w:szCs w:val="20"/>
        </w:rPr>
        <w:t>. Our research found what we called surface level inclusion: inclusion of Indigenous people through the absence of negative stereotypes, but excluding Indigenous authors, perspectives, historical and cultural contexts, and voices</w:t>
      </w:r>
    </w:p>
    <w:p w14:paraId="4F33B485" w14:textId="77777777" w:rsidR="00E85B16" w:rsidRPr="004D1325" w:rsidRDefault="00E85B16" w:rsidP="008B391B">
      <w:pPr>
        <w:rPr>
          <w:sz w:val="16"/>
          <w:szCs w:val="18"/>
        </w:rPr>
      </w:pPr>
    </w:p>
    <w:p w14:paraId="1743F3B0" w14:textId="77777777" w:rsidR="008B391B" w:rsidRDefault="008B391B" w:rsidP="008B391B">
      <w:pPr>
        <w:pStyle w:val="Heading4"/>
        <w:rPr>
          <w:sz w:val="28"/>
          <w:szCs w:val="28"/>
        </w:rPr>
      </w:pPr>
    </w:p>
    <w:p w14:paraId="31EA3D08" w14:textId="65F3E00A" w:rsidR="008B391B" w:rsidRDefault="008B391B" w:rsidP="008B391B">
      <w:pPr>
        <w:pStyle w:val="Heading4"/>
        <w:rPr>
          <w:sz w:val="28"/>
          <w:szCs w:val="28"/>
        </w:rPr>
      </w:pPr>
      <w:proofErr w:type="gramStart"/>
      <w:r w:rsidRPr="008B391B">
        <w:rPr>
          <w:sz w:val="28"/>
          <w:szCs w:val="28"/>
        </w:rPr>
        <w:t>Thus</w:t>
      </w:r>
      <w:proofErr w:type="gramEnd"/>
      <w:r w:rsidRPr="008B391B">
        <w:rPr>
          <w:sz w:val="28"/>
          <w:szCs w:val="28"/>
        </w:rPr>
        <w:t xml:space="preserve"> the advocacy: </w:t>
      </w:r>
      <w:r w:rsidR="00ED5CF6">
        <w:rPr>
          <w:sz w:val="28"/>
          <w:szCs w:val="28"/>
        </w:rPr>
        <w:t>In a democracy, a</w:t>
      </w:r>
      <w:r w:rsidRPr="008B391B">
        <w:rPr>
          <w:sz w:val="28"/>
          <w:szCs w:val="28"/>
        </w:rPr>
        <w:t xml:space="preserve"> free press ought to prioritize indigenous objectivity over settler advocacy</w:t>
      </w:r>
      <w:r w:rsidR="00852E3B">
        <w:rPr>
          <w:sz w:val="28"/>
          <w:szCs w:val="28"/>
        </w:rPr>
        <w:t xml:space="preserve">. </w:t>
      </w:r>
    </w:p>
    <w:p w14:paraId="056CF07E" w14:textId="054FAFD1" w:rsidR="00B84069" w:rsidRDefault="00B84069" w:rsidP="00B84069">
      <w:pPr>
        <w:pStyle w:val="ListParagraph"/>
        <w:numPr>
          <w:ilvl w:val="0"/>
          <w:numId w:val="12"/>
        </w:numPr>
      </w:pPr>
      <w:r>
        <w:t>We will give you access to any post fiat dissads and impacts</w:t>
      </w:r>
    </w:p>
    <w:p w14:paraId="7EEBC9C6" w14:textId="5A95D405" w:rsidR="008B391B" w:rsidRPr="0065627A" w:rsidRDefault="00B84069" w:rsidP="0065627A">
      <w:pPr>
        <w:pStyle w:val="ListParagraph"/>
        <w:numPr>
          <w:ilvl w:val="0"/>
          <w:numId w:val="12"/>
        </w:numPr>
      </w:pPr>
      <w:r>
        <w:t xml:space="preserve">Our </w:t>
      </w:r>
      <w:proofErr w:type="spellStart"/>
      <w:r>
        <w:t>RoB</w:t>
      </w:r>
      <w:proofErr w:type="spellEnd"/>
      <w:r>
        <w:t xml:space="preserve"> won</w:t>
      </w:r>
      <w:r w:rsidR="0065627A">
        <w:t xml:space="preserve">’t weigh into most impacts, you will probably need to read your own </w:t>
      </w:r>
    </w:p>
    <w:p w14:paraId="2907A401" w14:textId="3D863443" w:rsidR="00290521" w:rsidRPr="00290521" w:rsidRDefault="00290521" w:rsidP="00290521">
      <w:pPr>
        <w:pStyle w:val="Heading4"/>
        <w:rPr>
          <w:rStyle w:val="Emphasis"/>
          <w:b/>
          <w:bCs w:val="0"/>
          <w:sz w:val="26"/>
          <w:u w:val="none"/>
        </w:rPr>
      </w:pPr>
      <w:r w:rsidRPr="00290521">
        <w:rPr>
          <w:rStyle w:val="Emphasis"/>
          <w:b/>
          <w:bCs w:val="0"/>
          <w:sz w:val="26"/>
          <w:u w:val="none"/>
        </w:rPr>
        <w:t xml:space="preserve">Objectivity as a mode of knowledge production is the only way to frame the political, our method is a form of recognizing how knowledge should be constructed </w:t>
      </w:r>
      <w:r w:rsidR="00B84069">
        <w:rPr>
          <w:rStyle w:val="Emphasis"/>
          <w:b/>
          <w:bCs w:val="0"/>
          <w:sz w:val="26"/>
          <w:u w:val="none"/>
        </w:rPr>
        <w:t xml:space="preserve">only </w:t>
      </w:r>
      <w:r w:rsidRPr="00290521">
        <w:rPr>
          <w:rStyle w:val="Emphasis"/>
          <w:b/>
          <w:bCs w:val="0"/>
          <w:sz w:val="26"/>
          <w:u w:val="none"/>
        </w:rPr>
        <w:t xml:space="preserve">from the perspective of indigenous groups. </w:t>
      </w:r>
      <w:r>
        <w:rPr>
          <w:rStyle w:val="Emphasis"/>
          <w:b/>
          <w:bCs w:val="0"/>
          <w:sz w:val="26"/>
          <w:u w:val="none"/>
        </w:rPr>
        <w:t>Ludwig 15</w:t>
      </w:r>
    </w:p>
    <w:p w14:paraId="374DBFA7" w14:textId="76010643" w:rsidR="00290521" w:rsidRPr="00290521" w:rsidRDefault="00290521" w:rsidP="00290521">
      <w:pPr>
        <w:spacing w:after="0" w:line="240" w:lineRule="auto"/>
        <w:rPr>
          <w:rFonts w:ascii="Times New Roman" w:eastAsia="Times New Roman" w:hAnsi="Times New Roman" w:cs="Times New Roman"/>
          <w:sz w:val="18"/>
          <w:szCs w:val="18"/>
        </w:rPr>
      </w:pPr>
      <w:r w:rsidRPr="00290521">
        <w:rPr>
          <w:sz w:val="18"/>
          <w:szCs w:val="18"/>
        </w:rPr>
        <w:t xml:space="preserve">Ludwig David, " The objectivity of local knowledge. Lessons from ethnobiology", 09-13-2015, No Publication, https://link.springer.com/content/pdf/10.1007/s11229-016-1210-1.pdf, 3-8-2022, //WHS AC + </w:t>
      </w:r>
      <w:proofErr w:type="spellStart"/>
      <w:r w:rsidRPr="00290521">
        <w:rPr>
          <w:sz w:val="18"/>
          <w:szCs w:val="18"/>
        </w:rPr>
        <w:t>faizaan</w:t>
      </w:r>
      <w:proofErr w:type="spellEnd"/>
    </w:p>
    <w:p w14:paraId="21EBDFDD" w14:textId="74B38314" w:rsidR="000C544D" w:rsidRPr="00F40455" w:rsidRDefault="000C544D" w:rsidP="00F40455">
      <w:pPr>
        <w:rPr>
          <w:sz w:val="18"/>
          <w:szCs w:val="18"/>
        </w:rPr>
      </w:pPr>
      <w:r w:rsidRPr="00884243">
        <w:rPr>
          <w:rStyle w:val="Emphasis"/>
          <w:highlight w:val="green"/>
        </w:rPr>
        <w:t xml:space="preserve">Doubts about the objectivity of local knowledge usually do not focus on epistemic agents but on the </w:t>
      </w:r>
      <w:proofErr w:type="gramStart"/>
      <w:r w:rsidRPr="00884243">
        <w:rPr>
          <w:rStyle w:val="Emphasis"/>
          <w:highlight w:val="green"/>
        </w:rPr>
        <w:t>practices</w:t>
      </w:r>
      <w:proofErr w:type="gramEnd"/>
      <w:r w:rsidRPr="00884243">
        <w:rPr>
          <w:rStyle w:val="Emphasis"/>
          <w:highlight w:val="green"/>
        </w:rPr>
        <w:t xml:space="preserve"> they engage in</w:t>
      </w:r>
      <w:r w:rsidRPr="00884243">
        <w:rPr>
          <w:sz w:val="18"/>
          <w:szCs w:val="18"/>
          <w:highlight w:val="green"/>
        </w:rPr>
        <w:t>.</w:t>
      </w:r>
      <w:r w:rsidRPr="00F40455">
        <w:rPr>
          <w:sz w:val="18"/>
          <w:szCs w:val="18"/>
        </w:rPr>
        <w:t xml:space="preserve"> For example, the dismissal of First Nation elders and hunters in the Dall Sheep case did presumably not stem from the suspicion that they were less sincere than Western biologists about finding the causes of the population decline. Instead, RRSSC members suspected that even the most sincere and impartial Kluane would fail to gain reliable knowledge because their epistemic practices are “too subjective”. Following Douglas’ (2004) useful taxonomy of different notions of objectivity, it seems that the </w:t>
      </w:r>
      <w:r w:rsidRPr="00884243">
        <w:rPr>
          <w:rStyle w:val="Emphasis"/>
          <w:highlight w:val="green"/>
        </w:rPr>
        <w:t>objectivity of processes of</w:t>
      </w:r>
      <w:r w:rsidRPr="00884243">
        <w:rPr>
          <w:rStyle w:val="Emphasis"/>
        </w:rPr>
        <w:t xml:space="preserve"> </w:t>
      </w:r>
      <w:r w:rsidRPr="00884243">
        <w:rPr>
          <w:rStyle w:val="Emphasis"/>
          <w:highlight w:val="green"/>
        </w:rPr>
        <w:t>knowledge production</w:t>
      </w:r>
      <w:r w:rsidRPr="00F40455">
        <w:rPr>
          <w:sz w:val="18"/>
          <w:szCs w:val="18"/>
        </w:rPr>
        <w:t xml:space="preserve"> (Douglas’ objectivity1) </w:t>
      </w:r>
      <w:r w:rsidRPr="00884243">
        <w:rPr>
          <w:rStyle w:val="Emphasis"/>
          <w:highlight w:val="green"/>
        </w:rPr>
        <w:t>is at stake</w:t>
      </w:r>
      <w:r w:rsidRPr="00884243">
        <w:rPr>
          <w:rStyle w:val="Emphasis"/>
        </w:rPr>
        <w:t xml:space="preserve"> </w:t>
      </w:r>
      <w:r w:rsidRPr="00884243">
        <w:rPr>
          <w:rStyle w:val="Emphasis"/>
          <w:highlight w:val="green"/>
        </w:rPr>
        <w:t>and not the objectivity</w:t>
      </w:r>
      <w:r w:rsidRPr="00884243">
        <w:rPr>
          <w:rStyle w:val="Emphasis"/>
        </w:rPr>
        <w:t xml:space="preserve"> </w:t>
      </w:r>
      <w:r w:rsidRPr="00884243">
        <w:rPr>
          <w:rStyle w:val="Emphasis"/>
          <w:highlight w:val="green"/>
        </w:rPr>
        <w:t>of</w:t>
      </w:r>
      <w:r w:rsidRPr="00884243">
        <w:rPr>
          <w:rStyle w:val="Emphasis"/>
        </w:rPr>
        <w:t xml:space="preserve"> individuals</w:t>
      </w:r>
      <w:r w:rsidRPr="00F40455">
        <w:rPr>
          <w:sz w:val="18"/>
          <w:szCs w:val="18"/>
        </w:rPr>
        <w:t xml:space="preserve"> (objectivity2) </w:t>
      </w:r>
      <w:r w:rsidRPr="00884243">
        <w:rPr>
          <w:rStyle w:val="Emphasis"/>
        </w:rPr>
        <w:t xml:space="preserve">or </w:t>
      </w:r>
      <w:r w:rsidRPr="00884243">
        <w:rPr>
          <w:rStyle w:val="Emphasis"/>
          <w:highlight w:val="green"/>
        </w:rPr>
        <w:t>groups</w:t>
      </w:r>
      <w:r w:rsidRPr="00F40455">
        <w:rPr>
          <w:sz w:val="18"/>
          <w:szCs w:val="18"/>
        </w:rPr>
        <w:t xml:space="preserve"> (objectivity3) </w:t>
      </w:r>
      <w:r w:rsidRPr="00884243">
        <w:rPr>
          <w:rStyle w:val="Emphasis"/>
          <w:highlight w:val="green"/>
        </w:rPr>
        <w:t>who engage in these processes.</w:t>
      </w:r>
      <w:r w:rsidRPr="00F40455">
        <w:rPr>
          <w:sz w:val="18"/>
          <w:szCs w:val="18"/>
        </w:rPr>
        <w:t xml:space="preserve"> As Douglas points out, </w:t>
      </w:r>
      <w:r w:rsidRPr="00884243">
        <w:rPr>
          <w:rStyle w:val="Emphasis"/>
          <w:highlight w:val="green"/>
        </w:rPr>
        <w:t>the objectivity of processes of knowledge production</w:t>
      </w:r>
      <w:r w:rsidRPr="00F40455">
        <w:rPr>
          <w:rStyle w:val="Emphasis"/>
        </w:rPr>
        <w:t xml:space="preserve"> has been traditionally associated with gaining “a </w:t>
      </w:r>
      <w:r w:rsidRPr="00884243">
        <w:rPr>
          <w:rStyle w:val="Emphasis"/>
          <w:highlight w:val="green"/>
        </w:rPr>
        <w:t>grasp of the real objects in the world</w:t>
      </w:r>
      <w:r w:rsidRPr="00F40455">
        <w:rPr>
          <w:sz w:val="18"/>
          <w:szCs w:val="18"/>
        </w:rPr>
        <w:t xml:space="preserve">” (2004, p. 456). And indeed, this seems to reflect worries that are commonly articulated against local knowledge. For example, the charge against Kluane in the Dall Sheep case was that their accounts simply failed to grasp what was really going on. Kluane (both as individuals and as a group) may have been sincere in wanting to identify the real causes of the population decline but their epistemic practices led them astray. Moving from slogans like “grasp of the real objects in the world” to metaphysically </w:t>
      </w:r>
      <w:proofErr w:type="gramStart"/>
      <w:r w:rsidRPr="00F40455">
        <w:rPr>
          <w:sz w:val="18"/>
          <w:szCs w:val="18"/>
        </w:rPr>
        <w:t>less</w:t>
      </w:r>
      <w:proofErr w:type="gramEnd"/>
      <w:r w:rsidRPr="00F40455">
        <w:rPr>
          <w:sz w:val="18"/>
          <w:szCs w:val="18"/>
        </w:rPr>
        <w:t xml:space="preserve"> demanding formulations, Douglas suggests </w:t>
      </w:r>
      <w:r w:rsidRPr="00F40455">
        <w:rPr>
          <w:rStyle w:val="Emphasis"/>
        </w:rPr>
        <w:t>t</w:t>
      </w:r>
      <w:r w:rsidRPr="00884243">
        <w:rPr>
          <w:rStyle w:val="Emphasis"/>
          <w:highlight w:val="green"/>
        </w:rPr>
        <w:t>o</w:t>
      </w:r>
      <w:r w:rsidRPr="00F40455">
        <w:rPr>
          <w:rStyle w:val="Emphasis"/>
        </w:rPr>
        <w:t xml:space="preserve"> distinguish between two senses of the objectivity of processes</w:t>
      </w:r>
      <w:r w:rsidRPr="00F40455">
        <w:rPr>
          <w:sz w:val="18"/>
          <w:szCs w:val="18"/>
        </w:rPr>
        <w:t xml:space="preserve">. On the one hand, there is convergent objectivity that reflects the convergence of results from different areas of inquiry. As Douglas points out, </w:t>
      </w:r>
      <w:r w:rsidRPr="00884243">
        <w:rPr>
          <w:rStyle w:val="Emphasis"/>
          <w:b w:val="0"/>
          <w:bCs/>
          <w:sz w:val="18"/>
          <w:szCs w:val="20"/>
          <w:u w:val="none"/>
        </w:rPr>
        <w:t>convergent objectivity</w:t>
      </w:r>
      <w:r w:rsidRPr="00884243">
        <w:rPr>
          <w:sz w:val="13"/>
          <w:szCs w:val="13"/>
        </w:rPr>
        <w:t xml:space="preserve"> </w:t>
      </w:r>
      <w:r w:rsidRPr="00F40455">
        <w:rPr>
          <w:sz w:val="18"/>
          <w:szCs w:val="18"/>
        </w:rPr>
        <w:t xml:space="preserve">is not only for scientists: “In everyday life, when an object continues to appear from a variety of vantage points and using a variety of techniques (e.g., both sight and sound), </w:t>
      </w:r>
      <w:proofErr w:type="gramStart"/>
      <w:r w:rsidRPr="00F40455">
        <w:rPr>
          <w:sz w:val="18"/>
          <w:szCs w:val="18"/>
        </w:rPr>
        <w:t>the possibility of illusion seems</w:t>
      </w:r>
      <w:proofErr w:type="gramEnd"/>
      <w:r w:rsidRPr="00F40455">
        <w:rPr>
          <w:sz w:val="18"/>
          <w:szCs w:val="18"/>
        </w:rPr>
        <w:t xml:space="preserve"> remote. As any birdwatcher will tell you, a convergence of evidence from various sources (e.g., bird coloration and song) assists greatly in the objective identification of the species under observation” (2004, p. 458). On the other hand, there is manipulable objectivity that reflects reliable ways of intervening in the world. Again, Douglas argues that manipulable objectivity is not limited to the sciences: “When we can use objects around us, we trust our accounts of their existence and properties as reliable. If I can reach out and drink from the glass of water, and it quenches my thirst, and I can fill it back up again, repeating the whole process reliably, I have good reason to trust the reliability of relevant beliefs about the glass” (2004, p. 457). Both senses </w:t>
      </w:r>
      <w:r w:rsidRPr="00884243">
        <w:rPr>
          <w:rStyle w:val="Emphasis"/>
        </w:rPr>
        <w:t xml:space="preserve">of </w:t>
      </w:r>
      <w:r w:rsidRPr="00884243">
        <w:rPr>
          <w:rStyle w:val="Emphasis"/>
          <w:highlight w:val="green"/>
        </w:rPr>
        <w:t>objectivity</w:t>
      </w:r>
      <w:r w:rsidRPr="00884243">
        <w:rPr>
          <w:rStyle w:val="Emphasis"/>
        </w:rPr>
        <w:t xml:space="preserve"> </w:t>
      </w:r>
      <w:r w:rsidRPr="00884243">
        <w:rPr>
          <w:rStyle w:val="Emphasis"/>
          <w:highlight w:val="green"/>
        </w:rPr>
        <w:t>specify virtues and</w:t>
      </w:r>
      <w:r w:rsidRPr="00884243">
        <w:rPr>
          <w:rStyle w:val="Emphasis"/>
        </w:rPr>
        <w:t xml:space="preserve"> not only the absence of vices in the sense of Hacking. It is therefore attractive </w:t>
      </w:r>
      <w:r w:rsidRPr="00884243">
        <w:rPr>
          <w:rStyle w:val="Emphasis"/>
          <w:highlight w:val="green"/>
        </w:rPr>
        <w:t>to frame debates about the objectivity of Indigenous and other local knowledges</w:t>
      </w:r>
      <w:r w:rsidRPr="00884243">
        <w:rPr>
          <w:rStyle w:val="Emphasis"/>
        </w:rPr>
        <w:t xml:space="preserve"> in terms of the question whether they exhibit the virtues of convergent and manipulable objectivity. And indeed, issues of convergence h</w:t>
      </w:r>
      <w:r w:rsidRPr="00884243">
        <w:rPr>
          <w:rStyle w:val="Emphasis"/>
          <w:highlight w:val="green"/>
        </w:rPr>
        <w:t>ave played an outstandingly important role in early ethnobiology</w:t>
      </w:r>
      <w:r w:rsidRPr="00F40455">
        <w:rPr>
          <w:sz w:val="18"/>
          <w:szCs w:val="18"/>
        </w:rPr>
        <w:t>. To illustrate this historical connection, consider Diamond’s 1966 article “Zoological Classification System of a Primitive People” that investigated correlations between vertebrate categories (</w:t>
      </w:r>
      <w:proofErr w:type="spellStart"/>
      <w:r w:rsidRPr="00F40455">
        <w:rPr>
          <w:sz w:val="18"/>
          <w:szCs w:val="18"/>
        </w:rPr>
        <w:t>ámana</w:t>
      </w:r>
      <w:proofErr w:type="spellEnd"/>
      <w:r w:rsidRPr="00F40455">
        <w:rPr>
          <w:sz w:val="18"/>
          <w:szCs w:val="18"/>
        </w:rPr>
        <w:t xml:space="preserve"> </w:t>
      </w:r>
      <w:proofErr w:type="spellStart"/>
      <w:r w:rsidRPr="00F40455">
        <w:rPr>
          <w:sz w:val="18"/>
          <w:szCs w:val="18"/>
        </w:rPr>
        <w:t>aké</w:t>
      </w:r>
      <w:proofErr w:type="spellEnd"/>
      <w:r w:rsidRPr="00F40455">
        <w:rPr>
          <w:sz w:val="18"/>
          <w:szCs w:val="18"/>
        </w:rPr>
        <w:t xml:space="preserve">) of the Fore of the New Guinea Highlands and taxa in biological systematics. Diamond did not only find convergence but immediately tied it to the objectivity of the categories employed: “The nearly one-to-one correspondence between Fore </w:t>
      </w:r>
      <w:proofErr w:type="spellStart"/>
      <w:r w:rsidRPr="00F40455">
        <w:rPr>
          <w:sz w:val="18"/>
          <w:szCs w:val="18"/>
        </w:rPr>
        <w:t>ámana</w:t>
      </w:r>
      <w:proofErr w:type="spellEnd"/>
      <w:r w:rsidRPr="00F40455">
        <w:rPr>
          <w:sz w:val="18"/>
          <w:szCs w:val="18"/>
        </w:rPr>
        <w:t xml:space="preserve"> </w:t>
      </w:r>
      <w:proofErr w:type="spellStart"/>
      <w:r w:rsidRPr="00F40455">
        <w:rPr>
          <w:sz w:val="18"/>
          <w:szCs w:val="18"/>
        </w:rPr>
        <w:t>aké</w:t>
      </w:r>
      <w:proofErr w:type="spellEnd"/>
      <w:r w:rsidRPr="00F40455">
        <w:rPr>
          <w:sz w:val="18"/>
          <w:szCs w:val="18"/>
        </w:rPr>
        <w:t xml:space="preserve"> and species as recognized by European taxonomists reflects the objective reality of the gaps separating sympatric species” (1966, p. 1102)</w:t>
      </w:r>
    </w:p>
    <w:p w14:paraId="19F63F88" w14:textId="77777777" w:rsidR="000C544D" w:rsidRPr="00F40455" w:rsidRDefault="000C544D" w:rsidP="00F40455">
      <w:pPr>
        <w:rPr>
          <w:sz w:val="21"/>
          <w:szCs w:val="22"/>
        </w:rPr>
      </w:pPr>
    </w:p>
    <w:p w14:paraId="1A8F8808" w14:textId="3F313940" w:rsidR="00316DF0" w:rsidRDefault="005D4B63" w:rsidP="00316DF0">
      <w:pPr>
        <w:pStyle w:val="Heading4"/>
      </w:pPr>
      <w:r>
        <w:lastRenderedPageBreak/>
        <w:t>I</w:t>
      </w:r>
      <w:r w:rsidR="00316DF0">
        <w:t xml:space="preserve">ndigenous objectivity </w:t>
      </w:r>
      <w:r w:rsidR="00435A50">
        <w:t>deems</w:t>
      </w:r>
      <w:r w:rsidR="00316DF0">
        <w:t xml:space="preserve"> indigenous knowledge production as a universal truth to </w:t>
      </w:r>
      <w:r>
        <w:t>claim</w:t>
      </w:r>
      <w:r w:rsidR="00316DF0">
        <w:t xml:space="preserve"> their deserved sovereignty. It’s not a form of advocacy, but rather </w:t>
      </w:r>
      <w:r w:rsidR="00F40455">
        <w:t>ingrains</w:t>
      </w:r>
      <w:r>
        <w:t xml:space="preserve"> the truth of this l</w:t>
      </w:r>
      <w:r w:rsidR="00F40455">
        <w:t>and</w:t>
      </w:r>
      <w:r>
        <w:t xml:space="preserve">– </w:t>
      </w:r>
      <w:proofErr w:type="gramStart"/>
      <w:r>
        <w:t>that settlers</w:t>
      </w:r>
      <w:proofErr w:type="gramEnd"/>
      <w:r>
        <w:t xml:space="preserve"> operate on stolen land and the only ethical form of legislation must be towards indigenous groups. </w:t>
      </w:r>
      <w:proofErr w:type="spellStart"/>
      <w:r>
        <w:t>Nairn</w:t>
      </w:r>
      <w:proofErr w:type="spellEnd"/>
      <w:r>
        <w:t xml:space="preserve"> et al 17</w:t>
      </w:r>
    </w:p>
    <w:p w14:paraId="64989199" w14:textId="16E1BC74" w:rsidR="00744A83" w:rsidRPr="00316DF0" w:rsidRDefault="00316DF0" w:rsidP="00316DF0">
      <w:pPr>
        <w:rPr>
          <w:sz w:val="20"/>
          <w:szCs w:val="21"/>
        </w:rPr>
      </w:pPr>
      <w:proofErr w:type="spellStart"/>
      <w:r w:rsidRPr="00316DF0">
        <w:rPr>
          <w:sz w:val="20"/>
          <w:szCs w:val="21"/>
        </w:rPr>
        <w:t>Nairn</w:t>
      </w:r>
      <w:proofErr w:type="spellEnd"/>
      <w:r w:rsidRPr="00316DF0">
        <w:rPr>
          <w:sz w:val="20"/>
          <w:szCs w:val="21"/>
        </w:rPr>
        <w:t xml:space="preserve"> Raymo</w:t>
      </w:r>
      <w:r>
        <w:rPr>
          <w:sz w:val="20"/>
          <w:szCs w:val="21"/>
        </w:rPr>
        <w:t>n</w:t>
      </w:r>
      <w:r w:rsidRPr="00316DF0">
        <w:rPr>
          <w:sz w:val="20"/>
          <w:szCs w:val="21"/>
        </w:rPr>
        <w:t xml:space="preserve">d, </w:t>
      </w:r>
      <w:proofErr w:type="spellStart"/>
      <w:r w:rsidRPr="00316DF0">
        <w:rPr>
          <w:sz w:val="20"/>
          <w:szCs w:val="21"/>
        </w:rPr>
        <w:t>McCreanor</w:t>
      </w:r>
      <w:proofErr w:type="spellEnd"/>
      <w:r w:rsidRPr="00316DF0">
        <w:rPr>
          <w:sz w:val="20"/>
          <w:szCs w:val="21"/>
        </w:rPr>
        <w:t xml:space="preserve"> Tim, Barnes Angela, “Mass media representations of indigenous peoples", 12-2017, Massey University https://trc.org.nz/sites/trc.org.nz/files/Mass-media-representations-indigenous-peoples%20.pdf, 3-6-2022, //</w:t>
      </w:r>
      <w:proofErr w:type="spellStart"/>
      <w:r w:rsidRPr="00316DF0">
        <w:rPr>
          <w:sz w:val="20"/>
          <w:szCs w:val="21"/>
        </w:rPr>
        <w:t>faizaan</w:t>
      </w:r>
      <w:proofErr w:type="spellEnd"/>
    </w:p>
    <w:p w14:paraId="0F4909B7" w14:textId="14029ACA" w:rsidR="00BC3BE8" w:rsidRPr="00BC3BE8" w:rsidRDefault="00BC3BE8" w:rsidP="00BC3BE8">
      <w:r w:rsidRPr="00BC3BE8">
        <w:rPr>
          <w:sz w:val="18"/>
          <w:szCs w:val="20"/>
        </w:rPr>
        <w:t xml:space="preserve">In that spirit </w:t>
      </w:r>
      <w:r w:rsidRPr="00744A83">
        <w:rPr>
          <w:rStyle w:val="Emphasis"/>
          <w:highlight w:val="green"/>
        </w:rPr>
        <w:t>we own our focus on the roles of discourse</w:t>
      </w:r>
      <w:r w:rsidRPr="00BC3BE8">
        <w:rPr>
          <w:sz w:val="18"/>
          <w:szCs w:val="20"/>
        </w:rPr>
        <w:t xml:space="preserve"> and the settler‐generated discursive resources </w:t>
      </w:r>
      <w:r w:rsidRPr="00744A83">
        <w:rPr>
          <w:rStyle w:val="Emphasis"/>
          <w:highlight w:val="green"/>
        </w:rPr>
        <w:t>that enable</w:t>
      </w:r>
      <w:r w:rsidRPr="00BC3BE8">
        <w:rPr>
          <w:rStyle w:val="Emphasis"/>
        </w:rPr>
        <w:t xml:space="preserve"> and sustain </w:t>
      </w:r>
      <w:r w:rsidRPr="00744A83">
        <w:rPr>
          <w:rStyle w:val="Emphasis"/>
          <w:highlight w:val="green"/>
        </w:rPr>
        <w:t>self‐serving settler representations of indigenous peoples</w:t>
      </w:r>
      <w:r w:rsidRPr="00BC3BE8">
        <w:rPr>
          <w:sz w:val="18"/>
          <w:szCs w:val="20"/>
        </w:rPr>
        <w:t xml:space="preserve"> (</w:t>
      </w:r>
      <w:proofErr w:type="spellStart"/>
      <w:r w:rsidRPr="00BC3BE8">
        <w:rPr>
          <w:sz w:val="18"/>
          <w:szCs w:val="20"/>
        </w:rPr>
        <w:t>Fforde</w:t>
      </w:r>
      <w:proofErr w:type="spellEnd"/>
      <w:r w:rsidRPr="00BC3BE8">
        <w:rPr>
          <w:sz w:val="18"/>
          <w:szCs w:val="20"/>
        </w:rPr>
        <w:t>, et al., 2013) has shaped this review</w:t>
      </w:r>
      <w:r w:rsidRPr="00744A83">
        <w:rPr>
          <w:sz w:val="18"/>
          <w:szCs w:val="20"/>
          <w:highlight w:val="green"/>
        </w:rPr>
        <w:t xml:space="preserve">. </w:t>
      </w:r>
      <w:r w:rsidRPr="00744A83">
        <w:rPr>
          <w:rStyle w:val="Emphasis"/>
          <w:highlight w:val="green"/>
        </w:rPr>
        <w:t>It is an orientation</w:t>
      </w:r>
      <w:r w:rsidRPr="00BC3BE8">
        <w:rPr>
          <w:rStyle w:val="Emphasis"/>
        </w:rPr>
        <w:t xml:space="preserve"> </w:t>
      </w:r>
      <w:r w:rsidRPr="00BC3BE8">
        <w:rPr>
          <w:sz w:val="18"/>
          <w:szCs w:val="20"/>
        </w:rPr>
        <w:t xml:space="preserve">growing out of more than two decades, work during which members of </w:t>
      </w:r>
      <w:proofErr w:type="spellStart"/>
      <w:r w:rsidRPr="00BC3BE8">
        <w:rPr>
          <w:sz w:val="18"/>
          <w:szCs w:val="20"/>
        </w:rPr>
        <w:t>Kupu</w:t>
      </w:r>
      <w:proofErr w:type="spellEnd"/>
      <w:r w:rsidRPr="00BC3BE8">
        <w:rPr>
          <w:sz w:val="18"/>
          <w:szCs w:val="20"/>
        </w:rPr>
        <w:t xml:space="preserve"> </w:t>
      </w:r>
      <w:proofErr w:type="spellStart"/>
      <w:r w:rsidRPr="00BC3BE8">
        <w:rPr>
          <w:sz w:val="18"/>
          <w:szCs w:val="20"/>
        </w:rPr>
        <w:t>Taea</w:t>
      </w:r>
      <w:proofErr w:type="spellEnd"/>
      <w:r w:rsidRPr="00BC3BE8">
        <w:rPr>
          <w:sz w:val="18"/>
          <w:szCs w:val="20"/>
        </w:rPr>
        <w:t xml:space="preserve"> have been charting the 'race talk' of New Zealand settlers about </w:t>
      </w:r>
      <w:proofErr w:type="spellStart"/>
      <w:r w:rsidRPr="00BC3BE8">
        <w:rPr>
          <w:sz w:val="18"/>
          <w:szCs w:val="20"/>
        </w:rPr>
        <w:t>Māori</w:t>
      </w:r>
      <w:proofErr w:type="spellEnd"/>
      <w:r w:rsidRPr="00BC3BE8">
        <w:rPr>
          <w:sz w:val="18"/>
          <w:szCs w:val="20"/>
        </w:rPr>
        <w:t xml:space="preserve"> (</w:t>
      </w:r>
      <w:proofErr w:type="spellStart"/>
      <w:r w:rsidRPr="00BC3BE8">
        <w:rPr>
          <w:sz w:val="18"/>
          <w:szCs w:val="20"/>
        </w:rPr>
        <w:t>Kupu</w:t>
      </w:r>
      <w:proofErr w:type="spellEnd"/>
      <w:r w:rsidRPr="00BC3BE8">
        <w:rPr>
          <w:sz w:val="18"/>
          <w:szCs w:val="20"/>
        </w:rPr>
        <w:t xml:space="preserve"> </w:t>
      </w:r>
      <w:proofErr w:type="spellStart"/>
      <w:r w:rsidRPr="00BC3BE8">
        <w:rPr>
          <w:sz w:val="18"/>
          <w:szCs w:val="20"/>
        </w:rPr>
        <w:t>Taea</w:t>
      </w:r>
      <w:proofErr w:type="spellEnd"/>
      <w:r w:rsidRPr="00BC3BE8">
        <w:rPr>
          <w:sz w:val="18"/>
          <w:szCs w:val="20"/>
        </w:rPr>
        <w:t xml:space="preserve">, 2014; </w:t>
      </w:r>
      <w:proofErr w:type="spellStart"/>
      <w:r w:rsidRPr="00BC3BE8">
        <w:rPr>
          <w:sz w:val="18"/>
          <w:szCs w:val="20"/>
        </w:rPr>
        <w:t>Moewaka</w:t>
      </w:r>
      <w:proofErr w:type="spellEnd"/>
      <w:r w:rsidRPr="00BC3BE8">
        <w:rPr>
          <w:sz w:val="18"/>
          <w:szCs w:val="20"/>
        </w:rPr>
        <w:t xml:space="preserve"> Barnes, et al., 2012; </w:t>
      </w:r>
      <w:proofErr w:type="spellStart"/>
      <w:r w:rsidRPr="00BC3BE8">
        <w:rPr>
          <w:sz w:val="18"/>
          <w:szCs w:val="20"/>
        </w:rPr>
        <w:t>Nairn</w:t>
      </w:r>
      <w:proofErr w:type="spellEnd"/>
      <w:r w:rsidRPr="00BC3BE8">
        <w:rPr>
          <w:sz w:val="18"/>
          <w:szCs w:val="20"/>
        </w:rPr>
        <w:t xml:space="preserve"> &amp; </w:t>
      </w:r>
      <w:proofErr w:type="spellStart"/>
      <w:r w:rsidRPr="00BC3BE8">
        <w:rPr>
          <w:sz w:val="18"/>
          <w:szCs w:val="20"/>
        </w:rPr>
        <w:t>McCreanor</w:t>
      </w:r>
      <w:proofErr w:type="spellEnd"/>
      <w:r w:rsidRPr="00BC3BE8">
        <w:rPr>
          <w:sz w:val="18"/>
          <w:szCs w:val="20"/>
        </w:rPr>
        <w:t xml:space="preserve">, 1991). Consequently, </w:t>
      </w:r>
      <w:r w:rsidRPr="00744A83">
        <w:rPr>
          <w:rStyle w:val="Emphasis"/>
          <w:highlight w:val="green"/>
        </w:rPr>
        <w:t xml:space="preserve">when we review studies that explore the contribution of media production practices to the representations of indigenous </w:t>
      </w:r>
      <w:proofErr w:type="gramStart"/>
      <w:r w:rsidRPr="00744A83">
        <w:rPr>
          <w:rStyle w:val="Emphasis"/>
          <w:highlight w:val="green"/>
        </w:rPr>
        <w:t>peoples</w:t>
      </w:r>
      <w:proofErr w:type="gramEnd"/>
      <w:r w:rsidRPr="00BC3BE8">
        <w:rPr>
          <w:rStyle w:val="Emphasis"/>
        </w:rPr>
        <w:t xml:space="preserve"> we have chosen </w:t>
      </w:r>
      <w:r w:rsidRPr="00744A83">
        <w:rPr>
          <w:rStyle w:val="Emphasis"/>
          <w:highlight w:val="green"/>
        </w:rPr>
        <w:t>to foreground those that display the synergies between production and discourse practices</w:t>
      </w:r>
      <w:r w:rsidRPr="00BC3BE8">
        <w:rPr>
          <w:rStyle w:val="Emphasis"/>
        </w:rPr>
        <w:t xml:space="preserve"> (Fairclough, 1993) that contribute to the symbolic annihilation of indigenous peoples</w:t>
      </w:r>
      <w:r w:rsidRPr="00BC3BE8">
        <w:rPr>
          <w:sz w:val="18"/>
          <w:szCs w:val="20"/>
        </w:rPr>
        <w:t xml:space="preserve"> (Gerbner, 1972; Klein &amp; </w:t>
      </w:r>
      <w:proofErr w:type="spellStart"/>
      <w:r w:rsidRPr="00BC3BE8">
        <w:rPr>
          <w:sz w:val="18"/>
          <w:szCs w:val="20"/>
        </w:rPr>
        <w:t>Shiffman</w:t>
      </w:r>
      <w:proofErr w:type="spellEnd"/>
      <w:r w:rsidRPr="00BC3BE8">
        <w:rPr>
          <w:sz w:val="18"/>
          <w:szCs w:val="20"/>
        </w:rPr>
        <w:t xml:space="preserve">, 2009; Tuchman, 1978a). Such research addressing the credibility (or authority) of those representations raises questions about the role ‘ideology’ plays in shaping media representations and people's understanding of the mass mediated world together with the contributions media make to sustaining and </w:t>
      </w:r>
      <w:proofErr w:type="spellStart"/>
      <w:r w:rsidRPr="00BC3BE8">
        <w:rPr>
          <w:sz w:val="18"/>
          <w:szCs w:val="20"/>
        </w:rPr>
        <w:t>naturalising</w:t>
      </w:r>
      <w:proofErr w:type="spellEnd"/>
      <w:r w:rsidRPr="00BC3BE8">
        <w:rPr>
          <w:sz w:val="18"/>
          <w:szCs w:val="20"/>
        </w:rPr>
        <w:t xml:space="preserve"> the hegemonic ideology. Elizabeth Furniss (2001) is clear about such </w:t>
      </w:r>
      <w:proofErr w:type="spellStart"/>
      <w:r w:rsidRPr="00BC3BE8">
        <w:rPr>
          <w:sz w:val="18"/>
          <w:szCs w:val="20"/>
        </w:rPr>
        <w:t>naturalising</w:t>
      </w:r>
      <w:proofErr w:type="spellEnd"/>
      <w:r w:rsidRPr="00BC3BE8">
        <w:rPr>
          <w:sz w:val="18"/>
          <w:szCs w:val="20"/>
        </w:rPr>
        <w:t xml:space="preserve">: “...urban and rural presses alike are adept at manipulating news frames as a strategy of political containment: rural presses deflect criticism of local Aboriginal/non‐Aboriginal conflicts into rural‐urban dichotomies, while urban presses deflect challenges to state authority by evoking noble savage imagery and reducing Aboriginal claims to localized conflicts.” (pp.28‐9) One take‐home message from research on media representations of indigenous peoples is that there are considerable benefits for settler‐media and settler societies, most ensuing from the </w:t>
      </w:r>
      <w:proofErr w:type="spellStart"/>
      <w:r w:rsidRPr="00BC3BE8">
        <w:rPr>
          <w:sz w:val="18"/>
          <w:szCs w:val="20"/>
        </w:rPr>
        <w:t>naturalised</w:t>
      </w:r>
      <w:proofErr w:type="spellEnd"/>
      <w:r w:rsidRPr="00BC3BE8">
        <w:rPr>
          <w:sz w:val="18"/>
          <w:szCs w:val="20"/>
        </w:rPr>
        <w:t xml:space="preserve"> ordinariness of settler values, practices, and institutions. As discussed previously, we have chosen to use the phrase ‘</w:t>
      </w:r>
      <w:proofErr w:type="spellStart"/>
      <w:r w:rsidRPr="00BC3BE8">
        <w:rPr>
          <w:sz w:val="18"/>
          <w:szCs w:val="20"/>
        </w:rPr>
        <w:t>colonising</w:t>
      </w:r>
      <w:proofErr w:type="spellEnd"/>
      <w:r w:rsidRPr="00BC3BE8">
        <w:rPr>
          <w:sz w:val="18"/>
          <w:szCs w:val="20"/>
        </w:rPr>
        <w:t xml:space="preserve">‐state’ to talk in general ways about the nations that were created from settler colonies initiated in the 18th and 19th centuries because we, and the reviewed research, are drawing attention to the identified commonalities in the mass media representations of indigenous peoples. Although the phrase </w:t>
      </w:r>
      <w:proofErr w:type="spellStart"/>
      <w:r w:rsidRPr="00BC3BE8">
        <w:rPr>
          <w:sz w:val="18"/>
          <w:szCs w:val="20"/>
        </w:rPr>
        <w:t>forgrounds</w:t>
      </w:r>
      <w:proofErr w:type="spellEnd"/>
      <w:r w:rsidRPr="00BC3BE8">
        <w:rPr>
          <w:sz w:val="18"/>
          <w:szCs w:val="20"/>
        </w:rPr>
        <w:t xml:space="preserve"> those commonalities, we don’t intend to imply there are not significant differences between the histories of these states or their relationships with indigenous peoples. Nor are we suggesting that there are no persons, </w:t>
      </w:r>
      <w:proofErr w:type="spellStart"/>
      <w:r w:rsidRPr="00BC3BE8">
        <w:rPr>
          <w:sz w:val="18"/>
          <w:szCs w:val="20"/>
        </w:rPr>
        <w:t>organisations</w:t>
      </w:r>
      <w:proofErr w:type="spellEnd"/>
      <w:r w:rsidRPr="00BC3BE8">
        <w:rPr>
          <w:sz w:val="18"/>
          <w:szCs w:val="20"/>
        </w:rPr>
        <w:t xml:space="preserve"> or state agencies that are, or could be, enabling of indigenous identities or supportive of indigenous peoples’ goals. Given the sustained effort colonists and settlers invest in constructing and sustaining their own </w:t>
      </w:r>
      <w:proofErr w:type="spellStart"/>
      <w:r w:rsidRPr="00BC3BE8">
        <w:rPr>
          <w:sz w:val="18"/>
          <w:szCs w:val="20"/>
        </w:rPr>
        <w:t>naturalised</w:t>
      </w:r>
      <w:proofErr w:type="spellEnd"/>
      <w:r w:rsidRPr="00BC3BE8">
        <w:rPr>
          <w:sz w:val="18"/>
          <w:szCs w:val="20"/>
        </w:rPr>
        <w:t xml:space="preserve"> normality, it is imperative that researchers who seek to expose the constructed nature of those representations and the consequences of uncritically accepting the world is like that, do not, unintentionally or otherwise, appear to concur with maintenance of that </w:t>
      </w:r>
      <w:proofErr w:type="spellStart"/>
      <w:r w:rsidRPr="00BC3BE8">
        <w:rPr>
          <w:sz w:val="18"/>
          <w:szCs w:val="20"/>
        </w:rPr>
        <w:t>naturalised</w:t>
      </w:r>
      <w:proofErr w:type="spellEnd"/>
      <w:r w:rsidRPr="00BC3BE8">
        <w:rPr>
          <w:sz w:val="18"/>
          <w:szCs w:val="20"/>
        </w:rPr>
        <w:t xml:space="preserve"> normality</w:t>
      </w:r>
      <w:r w:rsidRPr="00744A83">
        <w:rPr>
          <w:rStyle w:val="Emphasis"/>
        </w:rPr>
        <w:t xml:space="preserve">. </w:t>
      </w:r>
      <w:r w:rsidRPr="00744A83">
        <w:rPr>
          <w:rStyle w:val="Emphasis"/>
          <w:highlight w:val="green"/>
        </w:rPr>
        <w:t>That imperative raises</w:t>
      </w:r>
      <w:r w:rsidRPr="00744A83">
        <w:rPr>
          <w:rStyle w:val="Emphasis"/>
        </w:rPr>
        <w:t xml:space="preserve"> issues about </w:t>
      </w:r>
      <w:r w:rsidRPr="00744A83">
        <w:rPr>
          <w:rStyle w:val="Emphasis"/>
          <w:highlight w:val="green"/>
        </w:rPr>
        <w:t>how</w:t>
      </w:r>
      <w:r w:rsidRPr="00744A83">
        <w:rPr>
          <w:rStyle w:val="Emphasis"/>
        </w:rPr>
        <w:t xml:space="preserve"> media or </w:t>
      </w:r>
      <w:r w:rsidRPr="00744A83">
        <w:rPr>
          <w:rStyle w:val="Emphasis"/>
          <w:highlight w:val="green"/>
        </w:rPr>
        <w:t>a medium are named as one label may afford readers specific interpretative possibilities that another might close</w:t>
      </w:r>
      <w:r w:rsidRPr="00744A83">
        <w:rPr>
          <w:rStyle w:val="Emphasis"/>
        </w:rPr>
        <w:t xml:space="preserve"> </w:t>
      </w:r>
      <w:r w:rsidRPr="00744A83">
        <w:rPr>
          <w:rStyle w:val="Emphasis"/>
          <w:highlight w:val="green"/>
        </w:rPr>
        <w:t>off</w:t>
      </w:r>
      <w:r w:rsidRPr="00744A83">
        <w:rPr>
          <w:rStyle w:val="Emphasis"/>
        </w:rPr>
        <w:t xml:space="preserve">. </w:t>
      </w:r>
      <w:r w:rsidRPr="00BC3BE8">
        <w:rPr>
          <w:sz w:val="18"/>
          <w:szCs w:val="20"/>
        </w:rPr>
        <w:t xml:space="preserve">John </w:t>
      </w:r>
      <w:proofErr w:type="spellStart"/>
      <w:r w:rsidRPr="00BC3BE8">
        <w:rPr>
          <w:sz w:val="18"/>
          <w:szCs w:val="20"/>
        </w:rPr>
        <w:t>Budarick</w:t>
      </w:r>
      <w:proofErr w:type="spellEnd"/>
      <w:r w:rsidRPr="00BC3BE8">
        <w:rPr>
          <w:sz w:val="18"/>
          <w:szCs w:val="20"/>
        </w:rPr>
        <w:t xml:space="preserve"> and Debra King (2008) </w:t>
      </w:r>
      <w:proofErr w:type="spellStart"/>
      <w:r w:rsidRPr="00BC3BE8">
        <w:rPr>
          <w:sz w:val="18"/>
          <w:szCs w:val="20"/>
        </w:rPr>
        <w:t>utilised</w:t>
      </w:r>
      <w:proofErr w:type="spellEnd"/>
      <w:r w:rsidRPr="00BC3BE8">
        <w:rPr>
          <w:sz w:val="18"/>
          <w:szCs w:val="20"/>
        </w:rPr>
        <w:t xml:space="preserve"> a comparison 11 | Page between mass and </w:t>
      </w:r>
      <w:r w:rsidRPr="00744A83">
        <w:rPr>
          <w:rStyle w:val="Emphasis"/>
          <w:highlight w:val="green"/>
        </w:rPr>
        <w:t>indigenous account</w:t>
      </w:r>
      <w:r w:rsidRPr="00744A83">
        <w:rPr>
          <w:rStyle w:val="Emphasis"/>
        </w:rPr>
        <w:t>s</w:t>
      </w:r>
      <w:r w:rsidRPr="00BC3BE8">
        <w:rPr>
          <w:sz w:val="18"/>
          <w:szCs w:val="20"/>
        </w:rPr>
        <w:t xml:space="preserve"> to </w:t>
      </w:r>
      <w:r w:rsidRPr="00744A83">
        <w:rPr>
          <w:rStyle w:val="Emphasis"/>
          <w:highlight w:val="green"/>
        </w:rPr>
        <w:t>throw</w:t>
      </w:r>
      <w:r w:rsidRPr="00744A83">
        <w:rPr>
          <w:rStyle w:val="Emphasis"/>
        </w:rPr>
        <w:t xml:space="preserve"> the </w:t>
      </w:r>
      <w:r w:rsidRPr="00744A83">
        <w:rPr>
          <w:rStyle w:val="Emphasis"/>
          <w:highlight w:val="green"/>
        </w:rPr>
        <w:t>former’s representations into high relief</w:t>
      </w:r>
      <w:r w:rsidRPr="00BC3BE8">
        <w:rPr>
          <w:sz w:val="18"/>
          <w:szCs w:val="20"/>
        </w:rPr>
        <w:t xml:space="preserve"> (see also </w:t>
      </w:r>
      <w:proofErr w:type="spellStart"/>
      <w:r w:rsidRPr="00BC3BE8">
        <w:rPr>
          <w:sz w:val="18"/>
          <w:szCs w:val="20"/>
        </w:rPr>
        <w:t>Nairn</w:t>
      </w:r>
      <w:proofErr w:type="spellEnd"/>
      <w:r w:rsidRPr="00BC3BE8">
        <w:rPr>
          <w:sz w:val="18"/>
          <w:szCs w:val="20"/>
        </w:rPr>
        <w:t xml:space="preserve"> et al., 2012</w:t>
      </w:r>
      <w:r w:rsidRPr="00744A83">
        <w:rPr>
          <w:rStyle w:val="Emphasis"/>
        </w:rPr>
        <w:t xml:space="preserve">) </w:t>
      </w:r>
      <w:proofErr w:type="spellStart"/>
      <w:r w:rsidRPr="00744A83">
        <w:rPr>
          <w:rStyle w:val="Emphasis"/>
        </w:rPr>
        <w:t>characterised</w:t>
      </w:r>
      <w:proofErr w:type="spellEnd"/>
      <w:r w:rsidRPr="00744A83">
        <w:rPr>
          <w:rStyle w:val="Emphasis"/>
        </w:rPr>
        <w:t xml:space="preserve"> the mass medium as “[a] major daily newspaper” </w:t>
      </w:r>
      <w:r w:rsidRPr="00744A83">
        <w:rPr>
          <w:rStyle w:val="Emphasis"/>
          <w:highlight w:val="green"/>
        </w:rPr>
        <w:t>that</w:t>
      </w:r>
      <w:r w:rsidRPr="00744A83">
        <w:rPr>
          <w:rStyle w:val="Emphasis"/>
        </w:rPr>
        <w:t xml:space="preserve"> they </w:t>
      </w:r>
      <w:r w:rsidRPr="00744A83">
        <w:rPr>
          <w:rStyle w:val="Emphasis"/>
          <w:highlight w:val="green"/>
        </w:rPr>
        <w:t>contrast</w:t>
      </w:r>
      <w:r w:rsidRPr="00744A83">
        <w:rPr>
          <w:rStyle w:val="Emphasis"/>
        </w:rPr>
        <w:t xml:space="preserve">ed </w:t>
      </w:r>
      <w:r w:rsidRPr="00744A83">
        <w:rPr>
          <w:rStyle w:val="Emphasis"/>
          <w:highlight w:val="green"/>
        </w:rPr>
        <w:t>against</w:t>
      </w:r>
      <w:r w:rsidRPr="00744A83">
        <w:rPr>
          <w:rStyle w:val="Emphasis"/>
        </w:rPr>
        <w:t xml:space="preserve"> “[a newspaper serving an] informed Indigenous audience</w:t>
      </w:r>
      <w:r w:rsidRPr="00BC3BE8">
        <w:rPr>
          <w:sz w:val="18"/>
          <w:szCs w:val="20"/>
        </w:rPr>
        <w:t xml:space="preserve">” (p.359) that challenged </w:t>
      </w:r>
      <w:r w:rsidRPr="00744A83">
        <w:rPr>
          <w:rStyle w:val="Emphasis"/>
          <w:highlight w:val="green"/>
        </w:rPr>
        <w:t>the dominant ideology by throwing it into sharp relief</w:t>
      </w:r>
      <w:r w:rsidRPr="00BC3BE8">
        <w:rPr>
          <w:sz w:val="18"/>
          <w:szCs w:val="20"/>
        </w:rPr>
        <w:t xml:space="preserve">. In our work we initially used ‘mainstream’ for the dominant media though we now </w:t>
      </w:r>
      <w:proofErr w:type="spellStart"/>
      <w:r w:rsidRPr="00BC3BE8">
        <w:rPr>
          <w:sz w:val="18"/>
          <w:szCs w:val="20"/>
        </w:rPr>
        <w:t>recognise</w:t>
      </w:r>
      <w:proofErr w:type="spellEnd"/>
      <w:r w:rsidRPr="00BC3BE8">
        <w:rPr>
          <w:sz w:val="18"/>
          <w:szCs w:val="20"/>
        </w:rPr>
        <w:t xml:space="preserve"> that, as ‘mainstream’ is usually glossed as: ideas, attitudes, or activities that are shared by most people and regarded as normal or conventional, the term appears to affirm or legitimate both the media and practices we wish to render problematic. Consequently, our preferred labels for the media we study </w:t>
      </w:r>
      <w:proofErr w:type="gramStart"/>
      <w:r w:rsidRPr="00BC3BE8">
        <w:rPr>
          <w:sz w:val="18"/>
          <w:szCs w:val="20"/>
        </w:rPr>
        <w:t>are:</w:t>
      </w:r>
      <w:proofErr w:type="gramEnd"/>
      <w:r w:rsidRPr="00BC3BE8">
        <w:rPr>
          <w:sz w:val="18"/>
          <w:szCs w:val="20"/>
        </w:rPr>
        <w:t xml:space="preserve"> settler‐media, dominant, English‐language, or mass. The last was chosen for the Introduction because it is in common use, </w:t>
      </w:r>
      <w:proofErr w:type="spellStart"/>
      <w:r w:rsidRPr="00BC3BE8">
        <w:rPr>
          <w:sz w:val="18"/>
          <w:szCs w:val="20"/>
        </w:rPr>
        <w:t>emphasises</w:t>
      </w:r>
      <w:proofErr w:type="spellEnd"/>
      <w:r w:rsidRPr="00BC3BE8">
        <w:rPr>
          <w:sz w:val="18"/>
          <w:szCs w:val="20"/>
        </w:rPr>
        <w:t xml:space="preserve"> the broad reach of the media, and hints at suffocating effects created by its wide reach. Similarly, </w:t>
      </w:r>
      <w:r w:rsidRPr="00744A83">
        <w:rPr>
          <w:rStyle w:val="Emphasis"/>
        </w:rPr>
        <w:t xml:space="preserve">as we seek to problematize </w:t>
      </w:r>
      <w:r w:rsidRPr="00744A83">
        <w:rPr>
          <w:rStyle w:val="Emphasis"/>
        </w:rPr>
        <w:lastRenderedPageBreak/>
        <w:t xml:space="preserve">the dominant </w:t>
      </w:r>
      <w:proofErr w:type="gramStart"/>
      <w:r w:rsidRPr="00744A83">
        <w:rPr>
          <w:rStyle w:val="Emphasis"/>
        </w:rPr>
        <w:t>society</w:t>
      </w:r>
      <w:proofErr w:type="gramEnd"/>
      <w:r w:rsidRPr="00BC3BE8">
        <w:rPr>
          <w:sz w:val="18"/>
          <w:szCs w:val="20"/>
        </w:rPr>
        <w:t xml:space="preserve"> we have concerns about how it is named and, again, have employed a range of labels: colonial, settler, racist, </w:t>
      </w:r>
      <w:proofErr w:type="spellStart"/>
      <w:r w:rsidRPr="00BC3BE8">
        <w:rPr>
          <w:sz w:val="18"/>
          <w:szCs w:val="20"/>
        </w:rPr>
        <w:t>Pākeha</w:t>
      </w:r>
      <w:proofErr w:type="spellEnd"/>
      <w:r w:rsidRPr="00BC3BE8">
        <w:rPr>
          <w:sz w:val="18"/>
          <w:szCs w:val="20"/>
        </w:rPr>
        <w:t xml:space="preserve">̄ (the dominant, white settler group in New Zealand), dominant, and media‐saturated. Further, we </w:t>
      </w:r>
      <w:proofErr w:type="spellStart"/>
      <w:r w:rsidRPr="00BC3BE8">
        <w:rPr>
          <w:sz w:val="18"/>
          <w:szCs w:val="20"/>
        </w:rPr>
        <w:t>recognise</w:t>
      </w:r>
      <w:proofErr w:type="spellEnd"/>
      <w:r w:rsidRPr="00BC3BE8">
        <w:rPr>
          <w:sz w:val="18"/>
          <w:szCs w:val="20"/>
        </w:rPr>
        <w:t xml:space="preserve"> that, in many contexts, the term ‘settler’ does not do justice to the </w:t>
      </w:r>
      <w:proofErr w:type="spellStart"/>
      <w:r w:rsidRPr="00BC3BE8">
        <w:rPr>
          <w:sz w:val="18"/>
          <w:szCs w:val="20"/>
        </w:rPr>
        <w:t>colonising</w:t>
      </w:r>
      <w:proofErr w:type="spellEnd"/>
      <w:r w:rsidRPr="00BC3BE8">
        <w:rPr>
          <w:sz w:val="18"/>
          <w:szCs w:val="20"/>
        </w:rPr>
        <w:t xml:space="preserve"> imperative. In light of evidence that other settler‐societies harness mass media to their colonial projects one objective of this review is comparison of the ways in which mass media go about that task in other societies. We anticipated </w:t>
      </w:r>
      <w:r w:rsidRPr="00744A83">
        <w:rPr>
          <w:rStyle w:val="Emphasis"/>
          <w:highlight w:val="green"/>
        </w:rPr>
        <w:t>the comparison would reveal commonalities in both the representations of indigenous peoples and their deployment.</w:t>
      </w:r>
      <w:r w:rsidRPr="00BC3BE8">
        <w:rPr>
          <w:sz w:val="18"/>
          <w:szCs w:val="20"/>
        </w:rPr>
        <w:t xml:space="preserve"> Funding to collect and review the relevant international research was obtained in late 2014 and, in early February 2015 the search for relevant research publications began (Appendix 1 lists keywords employed and theoretical dimensions we sought to include). The monograph is </w:t>
      </w:r>
      <w:proofErr w:type="spellStart"/>
      <w:r w:rsidRPr="00BC3BE8">
        <w:rPr>
          <w:sz w:val="18"/>
          <w:szCs w:val="20"/>
        </w:rPr>
        <w:t>organised</w:t>
      </w:r>
      <w:proofErr w:type="spellEnd"/>
      <w:r w:rsidRPr="00BC3BE8">
        <w:rPr>
          <w:sz w:val="18"/>
          <w:szCs w:val="20"/>
        </w:rPr>
        <w:t xml:space="preserve"> in four Parts: 1 – the research sample; 2 – </w:t>
      </w:r>
      <w:proofErr w:type="spellStart"/>
      <w:r w:rsidRPr="00BC3BE8">
        <w:rPr>
          <w:sz w:val="18"/>
          <w:szCs w:val="20"/>
        </w:rPr>
        <w:t>analysing</w:t>
      </w:r>
      <w:proofErr w:type="spellEnd"/>
      <w:r w:rsidRPr="00BC3BE8">
        <w:rPr>
          <w:sz w:val="18"/>
          <w:szCs w:val="20"/>
        </w:rPr>
        <w:t xml:space="preserve"> mass media representations; 3 ‐ representations of Indigenous persons and peoples; 4 – discussion. </w:t>
      </w:r>
    </w:p>
    <w:p w14:paraId="6439BFB8" w14:textId="77777777" w:rsidR="00BC3BE8" w:rsidRDefault="00BC3BE8" w:rsidP="008B391B">
      <w:pPr>
        <w:rPr>
          <w:sz w:val="16"/>
          <w:szCs w:val="18"/>
        </w:rPr>
      </w:pPr>
    </w:p>
    <w:p w14:paraId="0F4DFECA" w14:textId="59660CD9" w:rsidR="008B391B" w:rsidRPr="00051E76" w:rsidRDefault="005D4B63" w:rsidP="008B391B">
      <w:pPr>
        <w:rPr>
          <w:rFonts w:cs="Calibri"/>
          <w:b/>
          <w:bCs/>
          <w:sz w:val="36"/>
          <w:szCs w:val="40"/>
        </w:rPr>
      </w:pPr>
      <w:r>
        <w:rPr>
          <w:rFonts w:cs="Calibri"/>
          <w:b/>
          <w:bCs/>
          <w:sz w:val="28"/>
          <w:szCs w:val="32"/>
        </w:rPr>
        <w:t xml:space="preserve">Indigenous objectivity invokes the repressive force that strips the state of its power </w:t>
      </w:r>
      <w:r w:rsidR="00DF2481">
        <w:rPr>
          <w:rFonts w:cs="Calibri"/>
          <w:b/>
          <w:bCs/>
          <w:sz w:val="28"/>
          <w:szCs w:val="32"/>
        </w:rPr>
        <w:t xml:space="preserve">to </w:t>
      </w:r>
      <w:r w:rsidR="00B6110F">
        <w:rPr>
          <w:rFonts w:cs="Calibri"/>
          <w:b/>
          <w:bCs/>
          <w:sz w:val="28"/>
          <w:szCs w:val="32"/>
        </w:rPr>
        <w:t>fascilitate</w:t>
      </w:r>
      <w:r w:rsidR="00DF2481">
        <w:rPr>
          <w:rFonts w:cs="Calibri"/>
          <w:b/>
          <w:bCs/>
          <w:sz w:val="28"/>
          <w:szCs w:val="32"/>
        </w:rPr>
        <w:t xml:space="preserve"> decolonial actions</w:t>
      </w:r>
      <w:r w:rsidR="008B391B">
        <w:rPr>
          <w:rFonts w:cs="Calibri"/>
          <w:b/>
          <w:bCs/>
          <w:sz w:val="28"/>
          <w:szCs w:val="32"/>
        </w:rPr>
        <w:t xml:space="preserve">. </w:t>
      </w:r>
      <w:r w:rsidR="008B391B">
        <w:rPr>
          <w:b/>
          <w:bCs/>
          <w:sz w:val="28"/>
          <w:szCs w:val="32"/>
        </w:rPr>
        <w:t xml:space="preserve">Sturm 17 </w:t>
      </w:r>
    </w:p>
    <w:p w14:paraId="3E34398A" w14:textId="77777777" w:rsidR="008B391B" w:rsidRPr="008C7D49" w:rsidRDefault="008B391B" w:rsidP="008B391B">
      <w:r w:rsidRPr="008C7D49">
        <w:t>Sturm, Circe. Associate Professor Dept of Anthropology at UT Austin — Ph.D., University of California, Davis, "Reflections on the Anthropology of Sovereignty and Settler Colonialism: Lessons from Native North America." Cultural Anthropology 32, no. 3 (2017): 340–348. https://doi.org/10.14506/ca32.3.03</w:t>
      </w:r>
    </w:p>
    <w:p w14:paraId="749038C6" w14:textId="77777777" w:rsidR="008B391B" w:rsidRPr="00051E76" w:rsidRDefault="008B391B" w:rsidP="008B391B">
      <w:pPr>
        <w:pStyle w:val="indentpara"/>
        <w:shd w:val="clear" w:color="auto" w:fill="FCFCFC"/>
        <w:spacing w:before="0" w:beforeAutospacing="0" w:after="0" w:afterAutospacing="0"/>
        <w:textAlignment w:val="baseline"/>
        <w:rPr>
          <w:rFonts w:ascii="Calibri" w:hAnsi="Calibri"/>
          <w:b/>
          <w:sz w:val="28"/>
          <w:u w:val="single"/>
        </w:rPr>
      </w:pPr>
      <w:r w:rsidRPr="008C7D49">
        <w:rPr>
          <w:rFonts w:ascii="Calibri" w:hAnsi="Calibri" w:cs="Arial"/>
          <w:sz w:val="16"/>
          <w:bdr w:val="none" w:sz="0" w:space="0" w:color="auto" w:frame="1"/>
        </w:rPr>
        <w:t xml:space="preserve">Jessica </w:t>
      </w:r>
      <w:proofErr w:type="spellStart"/>
      <w:r w:rsidRPr="008C7D49">
        <w:rPr>
          <w:rFonts w:ascii="Calibri" w:hAnsi="Calibri" w:cs="Arial"/>
          <w:sz w:val="16"/>
          <w:bdr w:val="none" w:sz="0" w:space="0" w:color="auto" w:frame="1"/>
        </w:rPr>
        <w:t>Cattelino’s</w:t>
      </w:r>
      <w:proofErr w:type="spellEnd"/>
      <w:r w:rsidRPr="008C7D49">
        <w:rPr>
          <w:rFonts w:ascii="Calibri" w:hAnsi="Calibri" w:cs="Arial"/>
          <w:sz w:val="16"/>
          <w:bdr w:val="none" w:sz="0" w:space="0" w:color="auto" w:frame="1"/>
        </w:rPr>
        <w:t xml:space="preserve"> (</w:t>
      </w:r>
      <w:proofErr w:type="gramStart"/>
      <w:r w:rsidRPr="008C7D49">
        <w:rPr>
          <w:rFonts w:ascii="Calibri" w:hAnsi="Calibri" w:cs="Arial"/>
          <w:sz w:val="16"/>
          <w:bdr w:val="none" w:sz="0" w:space="0" w:color="auto" w:frame="1"/>
        </w:rPr>
        <w:t>2008)</w:t>
      </w:r>
      <w:r w:rsidRPr="008C7D49">
        <w:rPr>
          <w:rFonts w:ascii="Calibri" w:hAnsi="Calibri" w:cs="Arial"/>
          <w:sz w:val="16"/>
        </w:rPr>
        <w:t>book</w:t>
      </w:r>
      <w:proofErr w:type="gramEnd"/>
      <w:r w:rsidRPr="008C7D49">
        <w:rPr>
          <w:rFonts w:ascii="Calibri" w:hAnsi="Calibri" w:cs="Arial"/>
          <w:sz w:val="16"/>
        </w:rPr>
        <w:t xml:space="preserve"> </w:t>
      </w:r>
      <w:r w:rsidRPr="008C7D49">
        <w:rPr>
          <w:rFonts w:ascii="Calibri" w:hAnsi="Calibri"/>
          <w:sz w:val="16"/>
        </w:rPr>
        <w:t>High Stakes: Florida Seminole Gaming and Sovereignty provides an excellent case for understanding how these competing assertions of sovereignty play out on the ground. She offers two important interventions. The first moves us beyond classical debates about sovereignty that view it as either autonomous and inherent (a by-product of peoplehood or kingly authority, for instance) or derivative and dependent (as something that stems from external political recognition by other sovereigns).4 Instead, she explores interdependent forms of sovereignty that are negotiated, partial, insecure, and demand diplomacy</w:t>
      </w:r>
      <w:r w:rsidRPr="008C7D49">
        <w:rPr>
          <w:rFonts w:ascii="Calibri" w:hAnsi="Calibri" w:cs="Arial"/>
          <w:sz w:val="16"/>
        </w:rPr>
        <w:t xml:space="preserve"> on all sides.</w:t>
      </w:r>
      <w:r w:rsidRPr="008C7D49">
        <w:rPr>
          <w:rFonts w:ascii="Calibri" w:hAnsi="Calibri" w:cs="Arial"/>
          <w:sz w:val="16"/>
          <w:szCs w:val="20"/>
          <w:bdr w:val="none" w:sz="0" w:space="0" w:color="auto" w:frame="1"/>
          <w:vertAlign w:val="superscript"/>
        </w:rPr>
        <w:t>5</w:t>
      </w:r>
      <w:r w:rsidRPr="008C7D49">
        <w:rPr>
          <w:rFonts w:ascii="Calibri" w:hAnsi="Calibri" w:cs="Arial"/>
          <w:sz w:val="16"/>
        </w:rPr>
        <w:t xml:space="preserve"> In her second major contribution, </w:t>
      </w:r>
      <w:proofErr w:type="spellStart"/>
      <w:r w:rsidRPr="008C7D49">
        <w:rPr>
          <w:rFonts w:ascii="Calibri" w:hAnsi="Calibri" w:cs="Arial"/>
          <w:sz w:val="16"/>
        </w:rPr>
        <w:t>Cattelino</w:t>
      </w:r>
      <w:proofErr w:type="spellEnd"/>
      <w:r w:rsidRPr="008C7D49">
        <w:rPr>
          <w:rFonts w:ascii="Calibri" w:hAnsi="Calibri" w:cs="Arial"/>
          <w:sz w:val="16"/>
        </w:rPr>
        <w:t xml:space="preserve"> explores how the circulation of capital is a sovereign force in and of itself, one that provides a key to how sovereignty functions in these more interdependent forms. She provides a neo-</w:t>
      </w:r>
      <w:proofErr w:type="spellStart"/>
      <w:r w:rsidRPr="008C7D49">
        <w:rPr>
          <w:rFonts w:ascii="Calibri" w:hAnsi="Calibri" w:cs="Arial"/>
          <w:sz w:val="16"/>
        </w:rPr>
        <w:t>Simmelian</w:t>
      </w:r>
      <w:proofErr w:type="spellEnd"/>
      <w:r w:rsidRPr="008C7D49">
        <w:rPr>
          <w:rFonts w:ascii="Calibri" w:hAnsi="Calibri" w:cs="Arial"/>
          <w:sz w:val="16"/>
        </w:rPr>
        <w:t xml:space="preserve"> analysis of the ways in which Florida Seminoles exploit the fungibility of casino money, meaning its ability to be exchanged with other forms of symbolic and material capital, in ways that help shore up their own political authority and well-being as a community.</w:t>
      </w:r>
      <w:r w:rsidRPr="008C7D49">
        <w:rPr>
          <w:rFonts w:ascii="Calibri" w:hAnsi="Calibri" w:cs="Arial"/>
          <w:sz w:val="16"/>
          <w:szCs w:val="20"/>
          <w:bdr w:val="none" w:sz="0" w:space="0" w:color="auto" w:frame="1"/>
          <w:vertAlign w:val="superscript"/>
        </w:rPr>
        <w:t>6</w:t>
      </w:r>
      <w:r w:rsidRPr="008C7D49">
        <w:rPr>
          <w:rFonts w:ascii="Calibri" w:hAnsi="Calibri" w:cs="Arial"/>
          <w:sz w:val="16"/>
        </w:rPr>
        <w:t xml:space="preserve"> </w:t>
      </w:r>
      <w:r w:rsidRPr="008C7D49">
        <w:rPr>
          <w:rFonts w:ascii="Calibri" w:hAnsi="Calibri" w:cs="Arial"/>
          <w:b/>
          <w:u w:val="single"/>
        </w:rPr>
        <w:t xml:space="preserve">The upshot of this body of work in Native North America is that the state power generated by colonialism, in any of its forms, remains highly insecure and not a privileged site of sovereign authority. In fact, state </w:t>
      </w:r>
      <w:r w:rsidRPr="008C7D49">
        <w:rPr>
          <w:rFonts w:ascii="Calibri" w:hAnsi="Calibri" w:cs="Arial"/>
          <w:b/>
          <w:sz w:val="28"/>
          <w:u w:val="single"/>
        </w:rPr>
        <w:t xml:space="preserve">sovereignty as </w:t>
      </w:r>
      <w:r w:rsidRPr="008C7D49">
        <w:rPr>
          <w:rFonts w:ascii="Calibri" w:hAnsi="Calibri" w:cs="Arial"/>
          <w:b/>
          <w:sz w:val="22"/>
          <w:highlight w:val="green"/>
          <w:u w:val="single"/>
        </w:rPr>
        <w:t>a repressive force generates</w:t>
      </w:r>
      <w:r w:rsidRPr="008C7D49">
        <w:rPr>
          <w:rFonts w:ascii="Calibri" w:hAnsi="Calibri" w:cs="Arial"/>
          <w:b/>
          <w:sz w:val="22"/>
          <w:u w:val="single"/>
        </w:rPr>
        <w:t xml:space="preserve"> various forms of </w:t>
      </w:r>
      <w:r w:rsidRPr="0015488C">
        <w:rPr>
          <w:rFonts w:ascii="Calibri" w:hAnsi="Calibri" w:cs="Arial"/>
          <w:b/>
          <w:sz w:val="22"/>
          <w:highlight w:val="green"/>
          <w:u w:val="single"/>
        </w:rPr>
        <w:t>re</w:t>
      </w:r>
      <w:r w:rsidRPr="008C7D49">
        <w:rPr>
          <w:rFonts w:ascii="Calibri" w:hAnsi="Calibri" w:cs="Arial"/>
          <w:b/>
          <w:sz w:val="22"/>
          <w:highlight w:val="green"/>
          <w:u w:val="single"/>
        </w:rPr>
        <w:t>sistance</w:t>
      </w:r>
      <w:r w:rsidRPr="008C7D49">
        <w:rPr>
          <w:rFonts w:ascii="Calibri" w:hAnsi="Calibri" w:cs="Arial"/>
          <w:b/>
          <w:sz w:val="22"/>
          <w:u w:val="single"/>
        </w:rPr>
        <w:t xml:space="preserve"> to that sovereignty, </w:t>
      </w:r>
      <w:r w:rsidRPr="008C7D49">
        <w:rPr>
          <w:rFonts w:ascii="Calibri" w:hAnsi="Calibri" w:cs="Arial"/>
          <w:b/>
          <w:sz w:val="22"/>
          <w:highlight w:val="green"/>
          <w:u w:val="single"/>
        </w:rPr>
        <w:t>including</w:t>
      </w:r>
      <w:r w:rsidRPr="008C7D49">
        <w:rPr>
          <w:rFonts w:ascii="Calibri" w:hAnsi="Calibri" w:cs="Arial"/>
          <w:b/>
          <w:sz w:val="22"/>
          <w:u w:val="single"/>
        </w:rPr>
        <w:t xml:space="preserve"> a whole slew of </w:t>
      </w:r>
      <w:proofErr w:type="spellStart"/>
      <w:r w:rsidRPr="008C7D49">
        <w:rPr>
          <w:rFonts w:ascii="Calibri" w:hAnsi="Calibri" w:cs="Arial"/>
          <w:b/>
          <w:sz w:val="22"/>
          <w:highlight w:val="green"/>
          <w:u w:val="single"/>
        </w:rPr>
        <w:t>countersovereignties</w:t>
      </w:r>
      <w:proofErr w:type="spellEnd"/>
      <w:r w:rsidRPr="008C7D49">
        <w:rPr>
          <w:rFonts w:ascii="Calibri" w:hAnsi="Calibri" w:cs="Arial"/>
          <w:b/>
          <w:sz w:val="22"/>
          <w:highlight w:val="green"/>
          <w:u w:val="single"/>
        </w:rPr>
        <w:t xml:space="preserve"> that exceed </w:t>
      </w:r>
      <w:r w:rsidRPr="008C7D49">
        <w:rPr>
          <w:rFonts w:ascii="Calibri" w:hAnsi="Calibri" w:cs="Arial"/>
          <w:b/>
          <w:sz w:val="22"/>
          <w:u w:val="single"/>
        </w:rPr>
        <w:t xml:space="preserve">its </w:t>
      </w:r>
      <w:r w:rsidRPr="008C7D49">
        <w:rPr>
          <w:rFonts w:ascii="Calibri" w:hAnsi="Calibri" w:cs="Arial"/>
          <w:b/>
          <w:sz w:val="22"/>
          <w:highlight w:val="green"/>
          <w:u w:val="single"/>
        </w:rPr>
        <w:t xml:space="preserve">more legal, </w:t>
      </w:r>
      <w:r w:rsidRPr="008C7D49">
        <w:rPr>
          <w:rFonts w:ascii="Calibri" w:hAnsi="Calibri" w:cs="Arial"/>
          <w:b/>
          <w:sz w:val="22"/>
          <w:u w:val="single"/>
        </w:rPr>
        <w:t xml:space="preserve">formal, </w:t>
      </w:r>
      <w:r w:rsidRPr="008C7D49">
        <w:rPr>
          <w:rFonts w:ascii="Calibri" w:hAnsi="Calibri" w:cs="Arial"/>
          <w:b/>
          <w:sz w:val="22"/>
          <w:highlight w:val="green"/>
          <w:u w:val="single"/>
        </w:rPr>
        <w:t xml:space="preserve">authorized, recognized, </w:t>
      </w:r>
      <w:r w:rsidRPr="008C7D49">
        <w:rPr>
          <w:rFonts w:ascii="Calibri" w:hAnsi="Calibri" w:cs="Arial"/>
          <w:b/>
          <w:sz w:val="22"/>
          <w:u w:val="single"/>
        </w:rPr>
        <w:t xml:space="preserve">and official </w:t>
      </w:r>
      <w:r w:rsidRPr="008C7D49">
        <w:rPr>
          <w:rFonts w:ascii="Calibri" w:hAnsi="Calibri" w:cs="Arial"/>
          <w:b/>
          <w:sz w:val="22"/>
          <w:highlight w:val="green"/>
          <w:u w:val="single"/>
        </w:rPr>
        <w:t>versions</w:t>
      </w:r>
      <w:r w:rsidRPr="008C7D49">
        <w:rPr>
          <w:rFonts w:ascii="Calibri" w:hAnsi="Calibri" w:cs="Arial"/>
          <w:sz w:val="14"/>
        </w:rPr>
        <w:t xml:space="preserve"> (see </w:t>
      </w:r>
      <w:r w:rsidRPr="008C7D49">
        <w:rPr>
          <w:rFonts w:ascii="Calibri" w:hAnsi="Calibri" w:cs="Arial"/>
          <w:sz w:val="16"/>
          <w:bdr w:val="none" w:sz="0" w:space="0" w:color="auto" w:frame="1"/>
        </w:rPr>
        <w:t>Cramer 2005</w:t>
      </w:r>
      <w:r w:rsidRPr="008C7D49">
        <w:rPr>
          <w:rFonts w:ascii="Calibri" w:hAnsi="Calibri" w:cs="Arial"/>
          <w:sz w:val="16"/>
        </w:rPr>
        <w:t xml:space="preserve">; </w:t>
      </w:r>
      <w:r w:rsidRPr="008C7D49">
        <w:rPr>
          <w:rFonts w:ascii="Calibri" w:hAnsi="Calibri" w:cs="Arial"/>
          <w:sz w:val="16"/>
          <w:bdr w:val="none" w:sz="0" w:space="0" w:color="auto" w:frame="1"/>
        </w:rPr>
        <w:t>Klopotek 2011</w:t>
      </w:r>
      <w:r w:rsidRPr="008C7D49">
        <w:rPr>
          <w:rFonts w:ascii="Calibri" w:hAnsi="Calibri" w:cs="Arial"/>
          <w:sz w:val="16"/>
        </w:rPr>
        <w:t xml:space="preserve">; </w:t>
      </w:r>
      <w:r w:rsidRPr="008C7D49">
        <w:rPr>
          <w:rFonts w:ascii="Calibri" w:hAnsi="Calibri" w:cs="Arial"/>
          <w:sz w:val="16"/>
          <w:bdr w:val="none" w:sz="0" w:space="0" w:color="auto" w:frame="1"/>
        </w:rPr>
        <w:t xml:space="preserve">Povinelli </w:t>
      </w:r>
      <w:r w:rsidRPr="008C7D49">
        <w:rPr>
          <w:rFonts w:ascii="Calibri" w:hAnsi="Calibri" w:cs="Arial"/>
          <w:sz w:val="12"/>
          <w:bdr w:val="none" w:sz="0" w:space="0" w:color="auto" w:frame="1"/>
        </w:rPr>
        <w:t>2002</w:t>
      </w:r>
      <w:r w:rsidRPr="008C7D49">
        <w:rPr>
          <w:rFonts w:ascii="Calibri" w:hAnsi="Calibri" w:cs="Arial"/>
          <w:sz w:val="12"/>
        </w:rPr>
        <w:t xml:space="preserve">; </w:t>
      </w:r>
      <w:r w:rsidRPr="008C7D49">
        <w:rPr>
          <w:rFonts w:ascii="Calibri" w:hAnsi="Calibri" w:cs="Arial"/>
          <w:sz w:val="12"/>
          <w:bdr w:val="none" w:sz="0" w:space="0" w:color="auto" w:frame="1"/>
        </w:rPr>
        <w:t>Miller 2003</w:t>
      </w:r>
      <w:r w:rsidRPr="008C7D49">
        <w:rPr>
          <w:rFonts w:ascii="Calibri" w:hAnsi="Calibri" w:cs="Arial"/>
          <w:sz w:val="12"/>
        </w:rPr>
        <w:t xml:space="preserve">). Anthropologists working around the world have expended a great deal of </w:t>
      </w:r>
      <w:r w:rsidRPr="008C7D49">
        <w:rPr>
          <w:rFonts w:ascii="Calibri" w:hAnsi="Calibri" w:cs="Arial"/>
          <w:sz w:val="14"/>
          <w:szCs w:val="18"/>
        </w:rPr>
        <w:t>energy analyzing different cases in which state sovereignty is challenged, though often these examples focus on extralegal, criminal, and violent forms of resistance (</w:t>
      </w:r>
      <w:r w:rsidRPr="008C7D49">
        <w:rPr>
          <w:rFonts w:ascii="Calibri" w:hAnsi="Calibri" w:cs="Arial"/>
          <w:sz w:val="14"/>
          <w:szCs w:val="18"/>
          <w:bdr w:val="none" w:sz="0" w:space="0" w:color="auto" w:frame="1"/>
        </w:rPr>
        <w:t xml:space="preserve">Hansen and </w:t>
      </w:r>
      <w:proofErr w:type="spellStart"/>
      <w:r w:rsidRPr="008C7D49">
        <w:rPr>
          <w:rFonts w:ascii="Calibri" w:hAnsi="Calibri" w:cs="Arial"/>
          <w:sz w:val="14"/>
          <w:szCs w:val="18"/>
          <w:bdr w:val="none" w:sz="0" w:space="0" w:color="auto" w:frame="1"/>
        </w:rPr>
        <w:t>Stepputat</w:t>
      </w:r>
      <w:proofErr w:type="spellEnd"/>
      <w:r w:rsidRPr="008C7D49">
        <w:rPr>
          <w:rFonts w:ascii="Calibri" w:hAnsi="Calibri" w:cs="Arial"/>
          <w:sz w:val="14"/>
          <w:szCs w:val="18"/>
          <w:bdr w:val="none" w:sz="0" w:space="0" w:color="auto" w:frame="1"/>
        </w:rPr>
        <w:t xml:space="preserve"> 2006</w:t>
      </w:r>
      <w:r w:rsidRPr="008C7D49">
        <w:rPr>
          <w:rFonts w:ascii="Calibri" w:hAnsi="Calibri" w:cs="Arial"/>
          <w:sz w:val="14"/>
          <w:szCs w:val="18"/>
        </w:rPr>
        <w:t xml:space="preserve">, 304–6). Indigenous studies </w:t>
      </w:r>
      <w:proofErr w:type="gramStart"/>
      <w:r w:rsidRPr="008C7D49">
        <w:rPr>
          <w:rFonts w:ascii="Calibri" w:hAnsi="Calibri" w:cs="Arial"/>
          <w:sz w:val="14"/>
          <w:szCs w:val="18"/>
        </w:rPr>
        <w:t>adds</w:t>
      </w:r>
      <w:proofErr w:type="gramEnd"/>
      <w:r w:rsidRPr="008C7D49">
        <w:rPr>
          <w:rFonts w:ascii="Calibri" w:hAnsi="Calibri" w:cs="Arial"/>
          <w:sz w:val="14"/>
          <w:szCs w:val="18"/>
        </w:rPr>
        <w:t xml:space="preserve"> to this discussion an attention to the everyday forms of sovereignty generated in response to settler state authority. </w:t>
      </w:r>
      <w:r w:rsidRPr="008C7D49">
        <w:rPr>
          <w:rFonts w:ascii="Calibri" w:hAnsi="Calibri" w:cs="Arial"/>
          <w:sz w:val="14"/>
          <w:szCs w:val="18"/>
          <w:bdr w:val="none" w:sz="0" w:space="0" w:color="auto" w:frame="1"/>
        </w:rPr>
        <w:t>Elizabeth Povinelli’s (2006)</w:t>
      </w:r>
      <w:r w:rsidRPr="008C7D49">
        <w:rPr>
          <w:rFonts w:ascii="Calibri" w:hAnsi="Calibri" w:cs="Arial"/>
          <w:sz w:val="14"/>
          <w:szCs w:val="18"/>
        </w:rPr>
        <w:t xml:space="preserve"> work on self-sovereignty offers an important example, one in which she explores how intimacy is linked to modern notions of freedom and social order, becoming yet another space for everyday expressions of lived sovereignty—a point also taken up in the work of </w:t>
      </w:r>
      <w:r w:rsidRPr="008C7D49">
        <w:rPr>
          <w:rFonts w:ascii="Calibri" w:hAnsi="Calibri" w:cs="Arial"/>
          <w:sz w:val="14"/>
          <w:szCs w:val="18"/>
          <w:bdr w:val="none" w:sz="0" w:space="0" w:color="auto" w:frame="1"/>
        </w:rPr>
        <w:t>Mark Rifkin (2011</w:t>
      </w:r>
      <w:r w:rsidRPr="008C7D49">
        <w:rPr>
          <w:rFonts w:ascii="Calibri" w:hAnsi="Calibri" w:cs="Arial"/>
          <w:sz w:val="14"/>
          <w:szCs w:val="18"/>
        </w:rPr>
        <w:t xml:space="preserve">, </w:t>
      </w:r>
      <w:r w:rsidRPr="008C7D49">
        <w:rPr>
          <w:rFonts w:ascii="Calibri" w:hAnsi="Calibri" w:cs="Arial"/>
          <w:sz w:val="14"/>
          <w:szCs w:val="18"/>
          <w:bdr w:val="none" w:sz="0" w:space="0" w:color="auto" w:frame="1"/>
        </w:rPr>
        <w:t>2012</w:t>
      </w:r>
      <w:r w:rsidRPr="008C7D49">
        <w:rPr>
          <w:rFonts w:ascii="Calibri" w:hAnsi="Calibri" w:cs="Arial"/>
          <w:sz w:val="14"/>
          <w:szCs w:val="18"/>
        </w:rPr>
        <w:t xml:space="preserve">) and </w:t>
      </w:r>
      <w:r w:rsidRPr="008C7D49">
        <w:rPr>
          <w:rFonts w:ascii="Calibri" w:hAnsi="Calibri" w:cs="Arial"/>
          <w:sz w:val="14"/>
          <w:szCs w:val="18"/>
          <w:bdr w:val="none" w:sz="0" w:space="0" w:color="auto" w:frame="1"/>
        </w:rPr>
        <w:t xml:space="preserve">Scott </w:t>
      </w:r>
      <w:proofErr w:type="spellStart"/>
      <w:r w:rsidRPr="008C7D49">
        <w:rPr>
          <w:rFonts w:ascii="Calibri" w:hAnsi="Calibri" w:cs="Arial"/>
          <w:sz w:val="14"/>
          <w:szCs w:val="18"/>
          <w:bdr w:val="none" w:sz="0" w:space="0" w:color="auto" w:frame="1"/>
        </w:rPr>
        <w:t>Morgensen</w:t>
      </w:r>
      <w:proofErr w:type="spellEnd"/>
      <w:r w:rsidRPr="008C7D49">
        <w:rPr>
          <w:rFonts w:ascii="Calibri" w:hAnsi="Calibri" w:cs="Arial"/>
          <w:sz w:val="14"/>
          <w:szCs w:val="18"/>
          <w:bdr w:val="none" w:sz="0" w:space="0" w:color="auto" w:frame="1"/>
        </w:rPr>
        <w:t xml:space="preserve"> (2011b)</w:t>
      </w:r>
      <w:r w:rsidRPr="008C7D49">
        <w:rPr>
          <w:rFonts w:ascii="Calibri" w:hAnsi="Calibri" w:cs="Arial"/>
          <w:sz w:val="14"/>
          <w:szCs w:val="18"/>
        </w:rPr>
        <w:t>. Yet the most pathbreaking research to come along in recent years that explores extra-state forms of sovereignty is that of Audra Simpson (2014</w:t>
      </w:r>
      <w:r w:rsidRPr="008C7D49">
        <w:rPr>
          <w:rFonts w:ascii="Calibri" w:hAnsi="Calibri"/>
          <w:sz w:val="14"/>
          <w:szCs w:val="18"/>
        </w:rPr>
        <w:t>) in her book Mohawk Interruptus: Life across the Borders of Settler States. Simpson takes on the concept of resistance and offers instead</w:t>
      </w:r>
      <w:r w:rsidRPr="008C7D49">
        <w:rPr>
          <w:rFonts w:ascii="Calibri" w:hAnsi="Calibri"/>
          <w:sz w:val="12"/>
        </w:rPr>
        <w:t xml:space="preserve"> </w:t>
      </w:r>
      <w:r w:rsidRPr="008C7D49">
        <w:rPr>
          <w:rFonts w:ascii="Calibri" w:hAnsi="Calibri"/>
          <w:sz w:val="16"/>
        </w:rPr>
        <w:t xml:space="preserve">the idea of refusal. </w:t>
      </w:r>
      <w:r w:rsidRPr="008C7D49">
        <w:rPr>
          <w:rFonts w:ascii="Calibri" w:hAnsi="Calibri"/>
          <w:b/>
          <w:sz w:val="28"/>
          <w:highlight w:val="green"/>
          <w:u w:val="single"/>
        </w:rPr>
        <w:t>Theories of resistance tend to focus attention on how aspects of domination get reproduced by those doing the resisting</w:t>
      </w:r>
      <w:r w:rsidRPr="008C7D49">
        <w:rPr>
          <w:rFonts w:ascii="Calibri" w:hAnsi="Calibri"/>
          <w:b/>
          <w:sz w:val="20"/>
          <w:u w:val="single"/>
        </w:rPr>
        <w:t xml:space="preserve">, </w:t>
      </w:r>
      <w:r w:rsidRPr="008C7D49">
        <w:rPr>
          <w:rFonts w:ascii="Calibri" w:hAnsi="Calibri"/>
          <w:b/>
          <w:u w:val="single"/>
        </w:rPr>
        <w:t>meaning that in countering oppression, the terms</w:t>
      </w:r>
      <w:r w:rsidRPr="008C7D49">
        <w:rPr>
          <w:rFonts w:ascii="Calibri" w:hAnsi="Calibri" w:cs="Arial"/>
          <w:b/>
          <w:u w:val="single"/>
        </w:rPr>
        <w:t xml:space="preserve"> of debate and terrain of conflict are already predetermined</w:t>
      </w:r>
      <w:r w:rsidRPr="008C7D49">
        <w:rPr>
          <w:rFonts w:ascii="Calibri" w:hAnsi="Calibri" w:cs="Arial"/>
          <w:sz w:val="16"/>
        </w:rPr>
        <w:t xml:space="preserve">—thus the idea that counterhegemony retains a kernel of hegemony, heterodoxy that of orthodoxy, violence begets more violence, and so on. Simpson’s theory of </w:t>
      </w:r>
      <w:r w:rsidRPr="008C7D49">
        <w:rPr>
          <w:rFonts w:ascii="Calibri" w:hAnsi="Calibri" w:cs="Arial"/>
          <w:b/>
          <w:sz w:val="20"/>
          <w:highlight w:val="green"/>
          <w:u w:val="single"/>
        </w:rPr>
        <w:t>refusal offers something else entirely</w:t>
      </w:r>
      <w:r w:rsidRPr="008C7D49">
        <w:rPr>
          <w:rFonts w:ascii="Calibri" w:hAnsi="Calibri" w:cs="Arial"/>
          <w:sz w:val="16"/>
        </w:rPr>
        <w:t xml:space="preserve">: </w:t>
      </w:r>
      <w:r w:rsidRPr="008C7D49">
        <w:rPr>
          <w:rFonts w:ascii="Calibri" w:hAnsi="Calibri" w:cs="Arial"/>
          <w:b/>
          <w:u w:val="single"/>
        </w:rPr>
        <w:t xml:space="preserve">refusal is </w:t>
      </w:r>
      <w:r w:rsidRPr="008C7D49">
        <w:rPr>
          <w:rFonts w:ascii="Calibri" w:hAnsi="Calibri" w:cs="Arial"/>
          <w:b/>
          <w:highlight w:val="green"/>
          <w:u w:val="single"/>
        </w:rPr>
        <w:t>neither derivative nor reproductive, but rather an outright rejection of the externally imposed logics of settler-state sovereignty</w:t>
      </w:r>
      <w:r w:rsidRPr="008C7D49">
        <w:rPr>
          <w:rFonts w:ascii="Calibri" w:hAnsi="Calibri" w:cs="Arial"/>
          <w:sz w:val="16"/>
        </w:rPr>
        <w:t xml:space="preserve">. In other words, the logic of elimination is met with the logic of indigenous continuity, and border crossings that demand settler-state passports are met with tribally generated documents that insist on Mohawk nationhood. </w:t>
      </w:r>
      <w:r w:rsidRPr="008C7D49">
        <w:rPr>
          <w:rFonts w:ascii="Calibri" w:hAnsi="Calibri" w:cs="Arial"/>
          <w:b/>
          <w:highlight w:val="green"/>
          <w:u w:val="single"/>
        </w:rPr>
        <w:t xml:space="preserve">Refusal is affective, </w:t>
      </w:r>
      <w:r w:rsidRPr="008C7D49">
        <w:rPr>
          <w:rFonts w:ascii="Calibri" w:hAnsi="Calibri" w:cs="Arial"/>
          <w:b/>
          <w:highlight w:val="green"/>
          <w:u w:val="single"/>
        </w:rPr>
        <w:lastRenderedPageBreak/>
        <w:t>material, historical, ideal, and even pleasurable—an act possibly more ontological than anything else of indigenous people insisting on their own unique way of being.</w:t>
      </w:r>
      <w:r w:rsidRPr="008C7D49">
        <w:rPr>
          <w:rFonts w:ascii="Calibri" w:hAnsi="Calibri" w:cs="Arial"/>
          <w:sz w:val="16"/>
        </w:rPr>
        <w:t xml:space="preserve"> Simpson’s work has much to offer anthropologists working in other contexts, particularly those who want to rethink theories of power. As I have been arguing throughout this essay, such insights stem in part from a critical engagement with twined critiques of sovereignty and settler colonialism. These two analytical frameworks offer anthropology important correctives for thinking about indigenous people and their experiences. A case in point is the recent controversy surrounding the Massachusetts senator Elizabeth Warren’s claims to Cherokee and Lenape ancestry, and how it reveals a particularly strong tendency in the United States and Canada to minoritize indigeneity and take what should be debates about sovereignty, citizenship, political authority, and territorial jurisdiction, among other issues, and turn instead to questions of racial and cultural authenticity, or even genetic descent (</w:t>
      </w:r>
      <w:r w:rsidRPr="008C7D49">
        <w:rPr>
          <w:rFonts w:ascii="Calibri" w:hAnsi="Calibri" w:cs="Arial"/>
          <w:sz w:val="16"/>
          <w:bdr w:val="none" w:sz="0" w:space="0" w:color="auto" w:frame="1"/>
        </w:rPr>
        <w:t>Franke-</w:t>
      </w:r>
      <w:proofErr w:type="spellStart"/>
      <w:r w:rsidRPr="008C7D49">
        <w:rPr>
          <w:rFonts w:ascii="Calibri" w:hAnsi="Calibri" w:cs="Arial"/>
          <w:sz w:val="16"/>
          <w:bdr w:val="none" w:sz="0" w:space="0" w:color="auto" w:frame="1"/>
        </w:rPr>
        <w:t>Ruta</w:t>
      </w:r>
      <w:proofErr w:type="spellEnd"/>
      <w:r w:rsidRPr="008C7D49">
        <w:rPr>
          <w:rFonts w:ascii="Calibri" w:hAnsi="Calibri" w:cs="Arial"/>
          <w:sz w:val="16"/>
          <w:bdr w:val="none" w:sz="0" w:space="0" w:color="auto" w:frame="1"/>
        </w:rPr>
        <w:t xml:space="preserve"> 2012</w:t>
      </w:r>
      <w:r w:rsidRPr="008C7D49">
        <w:rPr>
          <w:rFonts w:ascii="Calibri" w:hAnsi="Calibri" w:cs="Arial"/>
          <w:sz w:val="16"/>
        </w:rPr>
        <w:t xml:space="preserve">; </w:t>
      </w:r>
      <w:r w:rsidRPr="008C7D49">
        <w:rPr>
          <w:rFonts w:ascii="Calibri" w:hAnsi="Calibri" w:cs="Arial"/>
          <w:sz w:val="16"/>
          <w:bdr w:val="none" w:sz="0" w:space="0" w:color="auto" w:frame="1"/>
        </w:rPr>
        <w:t>Krieg 2016</w:t>
      </w:r>
      <w:r w:rsidRPr="008C7D49">
        <w:rPr>
          <w:rFonts w:ascii="Calibri" w:hAnsi="Calibri" w:cs="Arial"/>
          <w:sz w:val="16"/>
        </w:rPr>
        <w:t>).</w:t>
      </w:r>
      <w:r w:rsidRPr="008C7D49">
        <w:rPr>
          <w:rFonts w:ascii="Calibri" w:hAnsi="Calibri" w:cs="Arial"/>
          <w:sz w:val="16"/>
          <w:szCs w:val="20"/>
          <w:bdr w:val="none" w:sz="0" w:space="0" w:color="auto" w:frame="1"/>
          <w:vertAlign w:val="superscript"/>
        </w:rPr>
        <w:t>7</w:t>
      </w:r>
      <w:r w:rsidRPr="008C7D49">
        <w:rPr>
          <w:rFonts w:ascii="Calibri" w:hAnsi="Calibri" w:cs="Arial"/>
          <w:sz w:val="16"/>
        </w:rPr>
        <w:t xml:space="preserve"> The controversy involves, on the one hand, Senator Warren, born and raised in Oklahoma, who has claimed an indigenous identity for several decades, based almost exclusively on family stories of descent from a Cherokee great-grandmother. On the other </w:t>
      </w:r>
      <w:proofErr w:type="gramStart"/>
      <w:r w:rsidRPr="008C7D49">
        <w:rPr>
          <w:rFonts w:ascii="Calibri" w:hAnsi="Calibri" w:cs="Arial"/>
          <w:sz w:val="16"/>
        </w:rPr>
        <w:t>hand</w:t>
      </w:r>
      <w:proofErr w:type="gramEnd"/>
      <w:r w:rsidRPr="008C7D49">
        <w:rPr>
          <w:rFonts w:ascii="Calibri" w:hAnsi="Calibri" w:cs="Arial"/>
          <w:sz w:val="16"/>
        </w:rPr>
        <w:t xml:space="preserve"> are members of the Republican Party, who have accused Warren of both fanciful invention and racial opportunism, and then took the opportunity to ridicule her during public debates with Hollywood war whoops, tomahawk chops, and derogatory taunts. Lost in the controversy is any attention to American Indian identity as a political status, one that rests on tribal sovereignty and the fundamental premise that tribes have the sovereign right to determine their own citizenry. Lost, too, is attention to the way in which racism and white supremacy undergird settler colonialism and are both being manifested not only in the racist behavior of Warren’s Republican opponents but also in her narratives of indigenous decent, for these, too, are often linked to a settler desire to incorporate and domesticate indigeneity (</w:t>
      </w:r>
      <w:r w:rsidRPr="008C7D49">
        <w:rPr>
          <w:rFonts w:ascii="Calibri" w:hAnsi="Calibri" w:cs="Arial"/>
          <w:sz w:val="16"/>
          <w:bdr w:val="none" w:sz="0" w:space="0" w:color="auto" w:frame="1"/>
        </w:rPr>
        <w:t>Sturm 2011</w:t>
      </w:r>
      <w:r w:rsidRPr="008C7D49">
        <w:rPr>
          <w:rFonts w:ascii="Calibri" w:hAnsi="Calibri" w:cs="Arial"/>
          <w:sz w:val="16"/>
        </w:rPr>
        <w:t>).</w:t>
      </w:r>
    </w:p>
    <w:p w14:paraId="5BDEF55F" w14:textId="39221D97" w:rsidR="008B391B" w:rsidRDefault="008B391B" w:rsidP="008B391B">
      <w:pPr>
        <w:pStyle w:val="indentpara"/>
        <w:shd w:val="clear" w:color="auto" w:fill="FCFCFC"/>
        <w:spacing w:before="0" w:beforeAutospacing="0" w:after="0" w:afterAutospacing="0"/>
        <w:textAlignment w:val="baseline"/>
        <w:rPr>
          <w:rFonts w:ascii="Calibri" w:hAnsi="Calibri" w:cs="Arial"/>
        </w:rPr>
      </w:pPr>
    </w:p>
    <w:p w14:paraId="137817A7" w14:textId="77777777" w:rsidR="008B391B" w:rsidRDefault="008B391B" w:rsidP="008B391B"/>
    <w:p w14:paraId="013028DB" w14:textId="77777777" w:rsidR="008B391B" w:rsidRDefault="008B391B" w:rsidP="008B391B">
      <w:pPr>
        <w:rPr>
          <w:b/>
          <w:bCs/>
          <w:sz w:val="26"/>
          <w:szCs w:val="26"/>
        </w:rPr>
      </w:pPr>
      <w:r w:rsidRPr="00425361">
        <w:rPr>
          <w:b/>
          <w:bCs/>
          <w:sz w:val="26"/>
          <w:szCs w:val="26"/>
        </w:rPr>
        <w:t xml:space="preserve">The 1AC is the initial spark that sets the state on fire. Brick by brick we must remove rights from the state in order to remove any form of its authoritative capacity and give the land back to indigenous peoples. </w:t>
      </w:r>
      <w:proofErr w:type="spellStart"/>
      <w:r>
        <w:rPr>
          <w:b/>
          <w:bCs/>
          <w:sz w:val="26"/>
          <w:szCs w:val="26"/>
        </w:rPr>
        <w:t>Belfi</w:t>
      </w:r>
      <w:proofErr w:type="spellEnd"/>
      <w:r>
        <w:rPr>
          <w:b/>
          <w:bCs/>
          <w:sz w:val="26"/>
          <w:szCs w:val="26"/>
        </w:rPr>
        <w:t xml:space="preserve"> 21</w:t>
      </w:r>
    </w:p>
    <w:p w14:paraId="2F9BFC1A" w14:textId="77777777" w:rsidR="008B391B" w:rsidRPr="00EA519C" w:rsidRDefault="008B391B" w:rsidP="008B391B">
      <w:pPr>
        <w:rPr>
          <w:sz w:val="18"/>
          <w:szCs w:val="20"/>
        </w:rPr>
      </w:pPr>
      <w:proofErr w:type="spellStart"/>
      <w:r w:rsidRPr="00EA519C">
        <w:rPr>
          <w:sz w:val="18"/>
          <w:szCs w:val="20"/>
        </w:rPr>
        <w:t>Belfi</w:t>
      </w:r>
      <w:proofErr w:type="spellEnd"/>
      <w:r w:rsidRPr="00EA519C">
        <w:rPr>
          <w:sz w:val="18"/>
          <w:szCs w:val="20"/>
        </w:rPr>
        <w:t xml:space="preserve">, E. &amp; Sandiford, N. (2021). Decolonization Series Part 1: Exploring Decolonization. In S. </w:t>
      </w:r>
      <w:proofErr w:type="spellStart"/>
      <w:r w:rsidRPr="00EA519C">
        <w:rPr>
          <w:sz w:val="18"/>
          <w:szCs w:val="20"/>
        </w:rPr>
        <w:t>Brandauer</w:t>
      </w:r>
      <w:proofErr w:type="spellEnd"/>
      <w:r w:rsidRPr="00EA519C">
        <w:rPr>
          <w:sz w:val="18"/>
          <w:szCs w:val="20"/>
        </w:rPr>
        <w:t xml:space="preserve"> and E. Hartman (Eds.). Interdependence: Global Solidarity and Local Actions. The Community-based Global Learning Collaborative. Retrieved from: </w:t>
      </w:r>
      <w:hyperlink r:id="rId17" w:history="1">
        <w:r w:rsidRPr="00E17F6D">
          <w:rPr>
            <w:rStyle w:val="Hyperlink"/>
            <w:sz w:val="18"/>
            <w:szCs w:val="20"/>
          </w:rPr>
          <w:t>http://globalsolidaritylocalaction.sites.haverford.edu/what-is-decolonization-why-is-it-important/</w:t>
        </w:r>
      </w:hyperlink>
      <w:r>
        <w:rPr>
          <w:sz w:val="18"/>
          <w:szCs w:val="20"/>
        </w:rPr>
        <w:t xml:space="preserve"> //</w:t>
      </w:r>
      <w:proofErr w:type="spellStart"/>
      <w:r>
        <w:rPr>
          <w:sz w:val="18"/>
          <w:szCs w:val="20"/>
        </w:rPr>
        <w:t>faizaan</w:t>
      </w:r>
      <w:proofErr w:type="spellEnd"/>
    </w:p>
    <w:p w14:paraId="0E23412C" w14:textId="77777777" w:rsidR="008B391B" w:rsidRPr="00425361" w:rsidRDefault="008B391B" w:rsidP="008B391B">
      <w:pPr>
        <w:rPr>
          <w:sz w:val="16"/>
          <w:szCs w:val="18"/>
        </w:rPr>
      </w:pPr>
      <w:r w:rsidRPr="00EA519C">
        <w:rPr>
          <w:rStyle w:val="Emphasis"/>
        </w:rPr>
        <w:t>We cannot only dedicate ourselves to thinking about decolonizing</w:t>
      </w:r>
      <w:r w:rsidRPr="00EA519C">
        <w:rPr>
          <w:rStyle w:val="Emphasis"/>
          <w:highlight w:val="green"/>
        </w:rPr>
        <w:t>, we must act to decolonize</w:t>
      </w:r>
      <w:r w:rsidRPr="00425361">
        <w:rPr>
          <w:sz w:val="16"/>
          <w:szCs w:val="18"/>
        </w:rPr>
        <w:t xml:space="preserve">. Additionally, efforts to indigenize (appropriating Indigenous approaches to life or even falsely claiming Indigenous identity) do not contribute to decolonization, but further colonize Indigenous knowledge and identity. Decolonization calls for decentering the narrative by which settlers romanticize Indigenous beliefs and surface culture (indigenization). </w:t>
      </w:r>
      <w:r w:rsidRPr="00EA519C">
        <w:rPr>
          <w:rStyle w:val="Emphasis"/>
          <w:highlight w:val="green"/>
        </w:rPr>
        <w:t>It calls instead for deconstructing settler-imposed systems that continue to oppress Black, Brown, and Indigenous people</w:t>
      </w:r>
      <w:r w:rsidRPr="00425361">
        <w:rPr>
          <w:sz w:val="16"/>
          <w:szCs w:val="18"/>
        </w:rPr>
        <w:t xml:space="preserve">. Moves of settler innocence domesticate decolonization’s demands of undoing colonialism, eliminating its gendered and racialized hierarchies, and establishing Indigenous sovereignty. The danger of the decolonization metaphor (such as ‘decolonize your mind’) is that it prevents us from actually decolonizing. “It recenters whiteness, it resettles theory, it extends innocence to the settler, it entertains a settler future” rather than recentering Indigenous futures and sovereignty (Tuck and Yang 2012, 3, 35). </w:t>
      </w:r>
      <w:r w:rsidRPr="00EA519C">
        <w:rPr>
          <w:rStyle w:val="Emphasis"/>
        </w:rPr>
        <w:t>A settler future is one where settlers can continue to benefit from colonialism and perhaps be minimally aware of their settler privileges</w:t>
      </w:r>
      <w:r w:rsidRPr="00425361">
        <w:rPr>
          <w:sz w:val="16"/>
          <w:szCs w:val="18"/>
        </w:rPr>
        <w:t xml:space="preserve">. A settler future does not encourage acting against colonization, </w:t>
      </w:r>
      <w:proofErr w:type="spellStart"/>
      <w:r w:rsidRPr="00425361">
        <w:rPr>
          <w:sz w:val="16"/>
          <w:szCs w:val="18"/>
        </w:rPr>
        <w:t>through</w:t>
      </w:r>
      <w:proofErr w:type="spellEnd"/>
      <w:r w:rsidRPr="00425361">
        <w:rPr>
          <w:sz w:val="16"/>
          <w:szCs w:val="18"/>
        </w:rPr>
        <w:t xml:space="preserve">, for example, giving back Indigenous ancestral lands. </w:t>
      </w:r>
      <w:r w:rsidRPr="00EA519C">
        <w:rPr>
          <w:rStyle w:val="Emphasis"/>
          <w:highlight w:val="green"/>
        </w:rPr>
        <w:t>Focusing</w:t>
      </w:r>
      <w:r w:rsidRPr="00EA519C">
        <w:rPr>
          <w:rStyle w:val="Emphasis"/>
        </w:rPr>
        <w:t xml:space="preserve"> instead </w:t>
      </w:r>
      <w:r w:rsidRPr="00EA519C">
        <w:rPr>
          <w:rStyle w:val="Emphasis"/>
          <w:highlight w:val="green"/>
        </w:rPr>
        <w:t>on</w:t>
      </w:r>
      <w:r w:rsidRPr="00EA519C">
        <w:rPr>
          <w:rStyle w:val="Emphasis"/>
        </w:rPr>
        <w:t xml:space="preserve"> securing </w:t>
      </w:r>
      <w:r w:rsidRPr="00EA519C">
        <w:rPr>
          <w:rStyle w:val="Emphasis"/>
          <w:highlight w:val="green"/>
        </w:rPr>
        <w:t>an Indigenous future necessitates substantive decolonial actions</w:t>
      </w:r>
      <w:r w:rsidRPr="00EA519C">
        <w:rPr>
          <w:rStyle w:val="Emphasis"/>
        </w:rPr>
        <w:t xml:space="preserve"> — actions we must explore and learn </w:t>
      </w:r>
      <w:r w:rsidRPr="00EA519C">
        <w:rPr>
          <w:rStyle w:val="Emphasis"/>
          <w:highlight w:val="green"/>
        </w:rPr>
        <w:t>to implement</w:t>
      </w:r>
      <w:r w:rsidRPr="00EA519C">
        <w:rPr>
          <w:rStyle w:val="Emphasis"/>
        </w:rPr>
        <w:t xml:space="preserve">. Framing who </w:t>
      </w:r>
      <w:r w:rsidRPr="00EA519C">
        <w:rPr>
          <w:rStyle w:val="Emphasis"/>
          <w:highlight w:val="green"/>
        </w:rPr>
        <w:t>decolonization</w:t>
      </w:r>
      <w:r w:rsidRPr="00EA519C">
        <w:rPr>
          <w:rStyle w:val="Emphasis"/>
        </w:rPr>
        <w:t xml:space="preserve"> work is about and for is an integral step in moving forward with effective decolonial action.</w:t>
      </w:r>
    </w:p>
    <w:p w14:paraId="7987FE26" w14:textId="77777777" w:rsidR="008B391B" w:rsidRPr="003D20AE" w:rsidRDefault="008B391B" w:rsidP="008B391B">
      <w:pPr>
        <w:rPr>
          <w:b/>
          <w:bCs/>
        </w:rPr>
      </w:pPr>
    </w:p>
    <w:p w14:paraId="712DF319" w14:textId="77777777" w:rsidR="008B391B" w:rsidRPr="0036788D" w:rsidRDefault="008B391B" w:rsidP="008B391B">
      <w:pPr>
        <w:pStyle w:val="Heading4"/>
        <w:rPr>
          <w:rFonts w:cs="Calibri"/>
        </w:rPr>
      </w:pPr>
      <w:bookmarkStart w:id="0" w:name="_Hlk52371505"/>
      <w:r>
        <w:rPr>
          <w:rFonts w:cs="Calibri"/>
        </w:rPr>
        <w:t xml:space="preserve">There is no neutrality in the fight against the state. </w:t>
      </w:r>
      <w:r w:rsidRPr="0036788D">
        <w:rPr>
          <w:rFonts w:cs="Calibri"/>
        </w:rPr>
        <w:t>Th</w:t>
      </w:r>
      <w:r>
        <w:rPr>
          <w:rFonts w:cs="Calibri"/>
        </w:rPr>
        <w:t>us, the</w:t>
      </w:r>
      <w:r w:rsidRPr="0036788D">
        <w:rPr>
          <w:rFonts w:cs="Calibri"/>
        </w:rPr>
        <w:t xml:space="preserve"> role of the ballot is to vote for who best centers themselves in Native scholarship and demands</w:t>
      </w:r>
      <w:r>
        <w:rPr>
          <w:rFonts w:cs="Calibri"/>
        </w:rPr>
        <w:t xml:space="preserve">. </w:t>
      </w:r>
    </w:p>
    <w:p w14:paraId="0AD3EEE9" w14:textId="77777777" w:rsidR="008B391B" w:rsidRDefault="008B391B" w:rsidP="008B391B">
      <w:pPr>
        <w:rPr>
          <w:rStyle w:val="Style13ptBold"/>
          <w:rFonts w:cs="Calibri"/>
        </w:rPr>
      </w:pPr>
      <w:r w:rsidRPr="0036788D">
        <w:rPr>
          <w:rStyle w:val="Style13ptBold"/>
          <w:rFonts w:cs="Calibri"/>
        </w:rPr>
        <w:t xml:space="preserve">Carlson 16 </w:t>
      </w:r>
    </w:p>
    <w:p w14:paraId="7F81189D" w14:textId="77777777" w:rsidR="008B391B" w:rsidRPr="00CA5937" w:rsidRDefault="008B391B" w:rsidP="008B391B">
      <w:pPr>
        <w:rPr>
          <w:rFonts w:cs="Calibri"/>
          <w:b/>
          <w:bCs/>
          <w:sz w:val="16"/>
          <w:szCs w:val="16"/>
        </w:rPr>
      </w:pPr>
      <w:r w:rsidRPr="00CA5937">
        <w:rPr>
          <w:rStyle w:val="Style13ptBold"/>
          <w:rFonts w:cs="Calibri"/>
          <w:sz w:val="16"/>
          <w:szCs w:val="16"/>
        </w:rPr>
        <w:t xml:space="preserve">[Elizabeth Carlson, PhD, is an </w:t>
      </w:r>
      <w:proofErr w:type="spellStart"/>
      <w:r w:rsidRPr="00CA5937">
        <w:rPr>
          <w:rStyle w:val="Style13ptBold"/>
          <w:rFonts w:cs="Calibri"/>
          <w:sz w:val="16"/>
          <w:szCs w:val="16"/>
        </w:rPr>
        <w:t>Aamitigoozhi</w:t>
      </w:r>
      <w:proofErr w:type="spellEnd"/>
      <w:r w:rsidRPr="00CA5937">
        <w:rPr>
          <w:rStyle w:val="Style13ptBold"/>
          <w:rFonts w:cs="Calibri"/>
          <w:sz w:val="16"/>
          <w:szCs w:val="16"/>
        </w:rPr>
        <w:t xml:space="preserve">, </w:t>
      </w:r>
      <w:proofErr w:type="spellStart"/>
      <w:r w:rsidRPr="00CA5937">
        <w:rPr>
          <w:rStyle w:val="Style13ptBold"/>
          <w:rFonts w:cs="Calibri"/>
          <w:sz w:val="16"/>
          <w:szCs w:val="16"/>
        </w:rPr>
        <w:t>Wemistigosi</w:t>
      </w:r>
      <w:proofErr w:type="spellEnd"/>
      <w:r w:rsidRPr="00CA5937">
        <w:rPr>
          <w:rStyle w:val="Style13ptBold"/>
          <w:rFonts w:cs="Calibri"/>
          <w:sz w:val="16"/>
          <w:szCs w:val="16"/>
        </w:rPr>
        <w:t xml:space="preserve">, and </w:t>
      </w:r>
      <w:proofErr w:type="spellStart"/>
      <w:r w:rsidRPr="00CA5937">
        <w:rPr>
          <w:rStyle w:val="Style13ptBold"/>
          <w:rFonts w:cs="Calibri"/>
          <w:sz w:val="16"/>
          <w:szCs w:val="16"/>
        </w:rPr>
        <w:t>Wasicu</w:t>
      </w:r>
      <w:proofErr w:type="spellEnd"/>
      <w:r w:rsidRPr="00CA5937">
        <w:rPr>
          <w:rStyle w:val="Style13ptBold"/>
          <w:rFonts w:cs="Calibri"/>
          <w:sz w:val="16"/>
          <w:szCs w:val="16"/>
        </w:rPr>
        <w:t xml:space="preserve"> (settler Canadian and American), </w:t>
      </w:r>
      <w:proofErr w:type="gramStart"/>
      <w:r w:rsidRPr="00CA5937">
        <w:rPr>
          <w:rStyle w:val="Style13ptBold"/>
          <w:rFonts w:cs="Calibri"/>
          <w:sz w:val="16"/>
          <w:szCs w:val="16"/>
        </w:rPr>
        <w:t>whose</w:t>
      </w:r>
      <w:proofErr w:type="gramEnd"/>
      <w:r w:rsidRPr="00CA5937">
        <w:rPr>
          <w:rStyle w:val="Style13ptBold"/>
          <w:rFonts w:cs="Calibri"/>
          <w:sz w:val="16"/>
          <w:szCs w:val="16"/>
        </w:rPr>
        <w:t xml:space="preserve"> Swedish, Saami, German, Scots-Irish, and English ancestors have settled on lands of the Anishinaabe and Omaha Nations which were unethically </w:t>
      </w:r>
      <w:r w:rsidRPr="00CA5937">
        <w:rPr>
          <w:rStyle w:val="Style13ptBold"/>
          <w:rFonts w:cs="Calibri"/>
          <w:sz w:val="16"/>
          <w:szCs w:val="16"/>
        </w:rPr>
        <w:lastRenderedPageBreak/>
        <w:t xml:space="preserve">obtained by the US government. Elizabeth lives on Treaty 1 territory, the traditional lands of the Anishinaabe, </w:t>
      </w:r>
      <w:proofErr w:type="spellStart"/>
      <w:r w:rsidRPr="00CA5937">
        <w:rPr>
          <w:rStyle w:val="Style13ptBold"/>
          <w:rFonts w:cs="Calibri"/>
          <w:sz w:val="16"/>
          <w:szCs w:val="16"/>
        </w:rPr>
        <w:t>Nehiyawak</w:t>
      </w:r>
      <w:proofErr w:type="spellEnd"/>
      <w:r w:rsidRPr="00CA5937">
        <w:rPr>
          <w:rStyle w:val="Style13ptBold"/>
          <w:rFonts w:cs="Calibri"/>
          <w:sz w:val="16"/>
          <w:szCs w:val="16"/>
        </w:rPr>
        <w:t xml:space="preserve">, Dakota, </w:t>
      </w:r>
      <w:proofErr w:type="spellStart"/>
      <w:r w:rsidRPr="00CA5937">
        <w:rPr>
          <w:rStyle w:val="Style13ptBold"/>
          <w:rFonts w:cs="Calibri"/>
          <w:sz w:val="16"/>
          <w:szCs w:val="16"/>
        </w:rPr>
        <w:t>Nakota</w:t>
      </w:r>
      <w:proofErr w:type="spellEnd"/>
      <w:r w:rsidRPr="00CA5937">
        <w:rPr>
          <w:rStyle w:val="Style13ptBold"/>
          <w:rFonts w:cs="Calibri"/>
          <w:sz w:val="16"/>
          <w:szCs w:val="16"/>
        </w:rPr>
        <w:t xml:space="preserve">, and Red River Metis peoples currently occupied by the city of Winnipeg, the province of Manitoba, (2016): Anti-colonial methodologies and practices for settler colonial studies, Settler Colonial Studies, DOI: 10.1080/2201473X.2016.1241213, //recut FD WHS </w:t>
      </w:r>
    </w:p>
    <w:p w14:paraId="169A332D" w14:textId="77777777" w:rsidR="008B391B" w:rsidRDefault="008B391B" w:rsidP="008B391B">
      <w:pPr>
        <w:rPr>
          <w:rStyle w:val="Emphasis"/>
          <w:rFonts w:cs="Calibri"/>
        </w:rPr>
      </w:pPr>
      <w:r w:rsidRPr="0036788D">
        <w:rPr>
          <w:rFonts w:cs="Calibri"/>
          <w:sz w:val="12"/>
        </w:rPr>
        <w:t xml:space="preserve">Arlo </w:t>
      </w:r>
      <w:proofErr w:type="spellStart"/>
      <w:r w:rsidRPr="0036788D">
        <w:rPr>
          <w:rFonts w:cs="Calibri"/>
          <w:sz w:val="12"/>
        </w:rPr>
        <w:t>Kempf</w:t>
      </w:r>
      <w:proofErr w:type="spellEnd"/>
      <w:r w:rsidRPr="0036788D">
        <w:rPr>
          <w:rFonts w:cs="Calibri"/>
          <w:sz w:val="12"/>
        </w:rPr>
        <w:t xml:space="preserve"> says that ‘</w:t>
      </w:r>
      <w:r w:rsidRPr="0036788D">
        <w:rPr>
          <w:rStyle w:val="StyleUnderline"/>
          <w:rFonts w:cs="Calibri"/>
        </w:rPr>
        <w:t>where anticolonialism is a tool used to invoke resistance for the colonized, it is a tool used to invoke accountability for the colonizer’</w:t>
      </w:r>
      <w:r w:rsidRPr="0036788D">
        <w:rPr>
          <w:rFonts w:cs="Calibri"/>
          <w:sz w:val="12"/>
        </w:rPr>
        <w:t xml:space="preserve">.42 </w:t>
      </w:r>
      <w:r w:rsidRPr="0036788D">
        <w:rPr>
          <w:rStyle w:val="StyleUnderline"/>
          <w:rFonts w:cs="Calibri"/>
        </w:rPr>
        <w:t>Relational accountability should be a cornerstone of settler colonial studies.</w:t>
      </w:r>
      <w:r w:rsidRPr="0036788D">
        <w:rPr>
          <w:rFonts w:cs="Calibri"/>
          <w:sz w:val="12"/>
        </w:rPr>
        <w:t xml:space="preserve"> I believe </w:t>
      </w:r>
      <w:r w:rsidRPr="0036788D">
        <w:rPr>
          <w:rStyle w:val="StyleUnderline"/>
          <w:rFonts w:cs="Calibri"/>
        </w:rPr>
        <w:t xml:space="preserve">settler colonial studies and scholars should ethically and overtly place themselves in relationship to the centuries of Indigenous oral, </w:t>
      </w:r>
      <w:r w:rsidRPr="0036788D">
        <w:rPr>
          <w:rFonts w:cs="Calibri"/>
          <w:sz w:val="12"/>
        </w:rPr>
        <w:t>and later academic</w:t>
      </w:r>
      <w:r w:rsidRPr="0036788D">
        <w:rPr>
          <w:rStyle w:val="StyleUnderline"/>
          <w:rFonts w:cs="Calibri"/>
        </w:rPr>
        <w:t xml:space="preserve"> scholarship that </w:t>
      </w:r>
      <w:r w:rsidRPr="0036788D">
        <w:rPr>
          <w:rFonts w:cs="Calibri"/>
          <w:sz w:val="12"/>
        </w:rPr>
        <w:t xml:space="preserve">conceptualizes and </w:t>
      </w:r>
      <w:r w:rsidRPr="0036788D">
        <w:rPr>
          <w:rStyle w:val="StyleUnderline"/>
          <w:rFonts w:cs="Calibri"/>
        </w:rPr>
        <w:t xml:space="preserve">resists settler colonialism </w:t>
      </w:r>
      <w:r w:rsidRPr="0036788D">
        <w:rPr>
          <w:rFonts w:cs="Calibri"/>
          <w:sz w:val="12"/>
        </w:rPr>
        <w:t xml:space="preserve">without necessarily using the term: SCT may be revelatory to many settler scholars, but </w:t>
      </w:r>
      <w:r w:rsidRPr="00400CA5">
        <w:rPr>
          <w:rStyle w:val="StyleUnderline"/>
          <w:rFonts w:cs="Calibri"/>
          <w:highlight w:val="green"/>
        </w:rPr>
        <w:t>Indigenous people have been speaking for a long time</w:t>
      </w:r>
      <w:r w:rsidRPr="0036788D">
        <w:rPr>
          <w:rStyle w:val="StyleUnderline"/>
          <w:rFonts w:cs="Calibri"/>
        </w:rPr>
        <w:t xml:space="preserve"> about colonial continuities based on their lived experiences</w:t>
      </w:r>
      <w:r w:rsidRPr="0036788D">
        <w:rPr>
          <w:rFonts w:cs="Calibri"/>
          <w:sz w:val="12"/>
        </w:rPr>
        <w:t xml:space="preserve">. Some SCTs have sought to connect with these discussions and to foreground Indigenous resistance, survival and agency. </w:t>
      </w:r>
      <w:r w:rsidRPr="0036788D">
        <w:rPr>
          <w:rStyle w:val="StyleUnderline"/>
          <w:rFonts w:cs="Calibri"/>
        </w:rPr>
        <w:t xml:space="preserve">Others, </w:t>
      </w:r>
      <w:r w:rsidRPr="0036788D">
        <w:rPr>
          <w:rFonts w:cs="Calibri"/>
          <w:sz w:val="12"/>
        </w:rPr>
        <w:t xml:space="preserve">however, seem to </w:t>
      </w:r>
      <w:r w:rsidRPr="0036788D">
        <w:rPr>
          <w:rStyle w:val="StyleUnderline"/>
          <w:rFonts w:cs="Calibri"/>
        </w:rPr>
        <w:t>use SCT as a pathway to explain the colonial encounter without engaging with Indigenous people and experience</w:t>
      </w:r>
      <w:r w:rsidRPr="0036788D">
        <w:rPr>
          <w:rFonts w:cs="Calibri"/>
          <w:sz w:val="12"/>
        </w:rPr>
        <w:t xml:space="preserve">s – either on the grounds that this structural analysis already conceptually explains Indigenous experience, or because </w:t>
      </w:r>
      <w:r w:rsidRPr="00400CA5">
        <w:rPr>
          <w:rStyle w:val="StyleUnderline"/>
          <w:rFonts w:cs="Calibri"/>
          <w:highlight w:val="green"/>
        </w:rPr>
        <w:t>Indigenous resistance is rendered invisible</w:t>
      </w:r>
      <w:r w:rsidRPr="0036788D">
        <w:rPr>
          <w:rFonts w:cs="Calibri"/>
          <w:sz w:val="12"/>
        </w:rPr>
        <w:t xml:space="preserve">.43 </w:t>
      </w:r>
      <w:r w:rsidRPr="00400CA5">
        <w:rPr>
          <w:rStyle w:val="StyleUnderline"/>
          <w:rFonts w:cs="Calibri"/>
          <w:highlight w:val="green"/>
        </w:rPr>
        <w:t>Ethical settler colonial theory</w:t>
      </w:r>
      <w:r w:rsidRPr="0036788D">
        <w:rPr>
          <w:rFonts w:cs="Calibri"/>
          <w:sz w:val="12"/>
        </w:rPr>
        <w:t xml:space="preserve"> (SCT) </w:t>
      </w:r>
      <w:r w:rsidRPr="00400CA5">
        <w:rPr>
          <w:rStyle w:val="StyleUnderline"/>
          <w:rFonts w:cs="Calibri"/>
          <w:highlight w:val="green"/>
        </w:rPr>
        <w:t>would recognize the foundational role Indigenous scholarship</w:t>
      </w:r>
      <w:r w:rsidRPr="0036788D">
        <w:rPr>
          <w:rStyle w:val="StyleUnderline"/>
          <w:rFonts w:cs="Calibri"/>
        </w:rPr>
        <w:t xml:space="preserve"> has in critiques of settler colonialism. It would acknowledge the limitations of settler scholars in articulating settler colonialism without dialogue with Indigenous </w:t>
      </w:r>
      <w:proofErr w:type="gramStart"/>
      <w:r w:rsidRPr="0036788D">
        <w:rPr>
          <w:rStyle w:val="StyleUnderline"/>
          <w:rFonts w:cs="Calibri"/>
        </w:rPr>
        <w:t>peoples,</w:t>
      </w:r>
      <w:r w:rsidRPr="0036788D">
        <w:rPr>
          <w:rFonts w:cs="Calibri"/>
          <w:sz w:val="12"/>
        </w:rPr>
        <w:t xml:space="preserve"> and</w:t>
      </w:r>
      <w:proofErr w:type="gramEnd"/>
      <w:r w:rsidRPr="0036788D">
        <w:rPr>
          <w:rFonts w:cs="Calibr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36788D">
        <w:rPr>
          <w:rStyle w:val="StyleUnderline"/>
          <w:rFonts w:cs="Calibri"/>
        </w:rPr>
        <w:t>Indigenous oral and academic scholars are indeed the originators of this work. This space is not empty</w:t>
      </w:r>
      <w:r w:rsidRPr="0036788D">
        <w:rPr>
          <w:rFonts w:cs="Calibri"/>
          <w:sz w:val="12"/>
        </w:rPr>
        <w:t xml:space="preserve">. Of course, powerful forces of socialization and discipline impact scholars in the academy. There is much pressure to claim unique space, to establish a name for </w:t>
      </w:r>
      <w:proofErr w:type="gramStart"/>
      <w:r w:rsidRPr="0036788D">
        <w:rPr>
          <w:rFonts w:cs="Calibri"/>
          <w:sz w:val="12"/>
        </w:rPr>
        <w:t>ourselves</w:t>
      </w:r>
      <w:proofErr w:type="gramEnd"/>
      <w:r w:rsidRPr="0036788D">
        <w:rPr>
          <w:rFonts w:cs="Calibri"/>
          <w:sz w:val="12"/>
        </w:rPr>
        <w:t xml:space="preserve">, and to make academic discoveries. I am suggesting that settler colonial studies and </w:t>
      </w:r>
      <w:r w:rsidRPr="0036788D">
        <w:rPr>
          <w:rStyle w:val="StyleUnderline"/>
          <w:rFonts w:cs="Calibri"/>
        </w:rPr>
        <w:t>anti-colonial scholars resist these hegemonic pressures and maintain a higher anti-colonial ethic.</w:t>
      </w:r>
      <w:r w:rsidRPr="0036788D">
        <w:rPr>
          <w:rFonts w:cs="Calibri"/>
          <w:sz w:val="12"/>
        </w:rPr>
        <w:t xml:space="preserve"> As has been argued, ‘</w:t>
      </w:r>
      <w:r w:rsidRPr="00400CA5">
        <w:rPr>
          <w:rStyle w:val="StyleUnderline"/>
          <w:rFonts w:cs="Calibri"/>
          <w:highlight w:val="green"/>
        </w:rPr>
        <w:t>the theory itself places ethical demands on us as settlers, including the demand that we actively refuse its potential to re-empower our own academic voices</w:t>
      </w:r>
      <w:r w:rsidRPr="0036788D">
        <w:rPr>
          <w:rStyle w:val="StyleUnderline"/>
          <w:rFonts w:cs="Calibri"/>
        </w:rPr>
        <w:t xml:space="preserve"> and to marginalize Indigenous resistance’</w:t>
      </w:r>
      <w:r w:rsidRPr="0036788D">
        <w:rPr>
          <w:rFonts w:cs="Calibri"/>
          <w:sz w:val="12"/>
        </w:rPr>
        <w:t xml:space="preserve">.44 As settler scholars, we can reposition our work relationally and contextually with </w:t>
      </w:r>
      <w:proofErr w:type="spellStart"/>
      <w:r w:rsidRPr="0036788D">
        <w:rPr>
          <w:rFonts w:cs="Calibri"/>
          <w:sz w:val="12"/>
        </w:rPr>
        <w:t>humi</w:t>
      </w:r>
      <w:proofErr w:type="spellEnd"/>
      <w:r w:rsidRPr="0036788D">
        <w:rPr>
          <w:rFonts w:cs="Calibri"/>
          <w:sz w:val="12"/>
        </w:rPr>
        <w:t xml:space="preserve">- </w:t>
      </w:r>
      <w:proofErr w:type="spellStart"/>
      <w:r w:rsidRPr="0036788D">
        <w:rPr>
          <w:rFonts w:cs="Calibri"/>
          <w:sz w:val="12"/>
        </w:rPr>
        <w:t>lity</w:t>
      </w:r>
      <w:proofErr w:type="spellEnd"/>
      <w:r w:rsidRPr="0036788D">
        <w:rPr>
          <w:rFonts w:cs="Calibri"/>
          <w:sz w:val="12"/>
        </w:rPr>
        <w:t xml:space="preserve"> and accountability. </w:t>
      </w:r>
      <w:r w:rsidRPr="00400CA5">
        <w:rPr>
          <w:rStyle w:val="StyleUnderline"/>
          <w:rFonts w:cs="Calibri"/>
          <w:highlight w:val="green"/>
        </w:rPr>
        <w:t xml:space="preserve">We can </w:t>
      </w:r>
      <w:proofErr w:type="spellStart"/>
      <w:r w:rsidRPr="00400CA5">
        <w:rPr>
          <w:rStyle w:val="StyleUnderline"/>
          <w:rFonts w:cs="Calibri"/>
          <w:highlight w:val="green"/>
        </w:rPr>
        <w:t>centre</w:t>
      </w:r>
      <w:proofErr w:type="spellEnd"/>
      <w:r w:rsidRPr="00400CA5">
        <w:rPr>
          <w:rStyle w:val="StyleUnderline"/>
          <w:rFonts w:cs="Calibri"/>
          <w:highlight w:val="green"/>
        </w:rPr>
        <w:t xml:space="preserve"> Indigenous resistance, knowledges</w:t>
      </w:r>
      <w:r w:rsidRPr="0036788D">
        <w:rPr>
          <w:rStyle w:val="StyleUnderline"/>
          <w:rFonts w:cs="Calibri"/>
        </w:rPr>
        <w:t xml:space="preserve">, </w:t>
      </w:r>
      <w:r w:rsidRPr="0036788D">
        <w:rPr>
          <w:rFonts w:cs="Calibri"/>
          <w:sz w:val="12"/>
        </w:rPr>
        <w:t>and scholarship</w:t>
      </w:r>
      <w:r w:rsidRPr="0036788D">
        <w:rPr>
          <w:rStyle w:val="StyleUnderline"/>
          <w:rFonts w:cs="Calibri"/>
        </w:rPr>
        <w:t xml:space="preserve"> </w:t>
      </w:r>
      <w:r w:rsidRPr="00400CA5">
        <w:rPr>
          <w:rStyle w:val="StyleUnderline"/>
          <w:rFonts w:cs="Calibri"/>
          <w:highlight w:val="green"/>
        </w:rPr>
        <w:t>in our work</w:t>
      </w:r>
      <w:r w:rsidRPr="0036788D">
        <w:rPr>
          <w:rStyle w:val="StyleUnderline"/>
          <w:rFonts w:cs="Calibri"/>
        </w:rPr>
        <w:t xml:space="preserve">, and contextualize our work in Indigenous sovereignty. We </w:t>
      </w:r>
      <w:r w:rsidRPr="00400CA5">
        <w:rPr>
          <w:rStyle w:val="StyleUnderline"/>
          <w:rFonts w:cs="Calibri"/>
          <w:highlight w:val="green"/>
        </w:rPr>
        <w:t>can view oral Indigenous scholarship as legitimate scholarly sources.</w:t>
      </w:r>
      <w:r w:rsidRPr="0036788D">
        <w:rPr>
          <w:rStyle w:val="StyleUnderline"/>
          <w:rFonts w:cs="Calibri"/>
        </w:rPr>
        <w:t xml:space="preserve"> We can acknowledge explicitly and often the Indigenous traditions of resistance and scholarship that have taught us and pro- vided the foundations for our work. </w:t>
      </w:r>
      <w:r w:rsidRPr="00400CA5">
        <w:rPr>
          <w:rStyle w:val="Emphasis"/>
          <w:rFonts w:cs="Calibri"/>
          <w:highlight w:val="green"/>
        </w:rPr>
        <w:t>If our work has no foundation of Indigenous scholarship</w:t>
      </w:r>
      <w:r w:rsidRPr="0036788D">
        <w:rPr>
          <w:rStyle w:val="Emphasis"/>
          <w:rFonts w:cs="Calibri"/>
        </w:rPr>
        <w:t xml:space="preserve"> </w:t>
      </w:r>
      <w:r w:rsidRPr="0036788D">
        <w:rPr>
          <w:rFonts w:cs="Calibri"/>
          <w:sz w:val="12"/>
        </w:rPr>
        <w:t>and mentorship, I believe</w:t>
      </w:r>
      <w:r w:rsidRPr="0036788D">
        <w:rPr>
          <w:rStyle w:val="Emphasis"/>
          <w:rFonts w:cs="Calibri"/>
        </w:rPr>
        <w:t xml:space="preserve"> </w:t>
      </w:r>
      <w:r w:rsidRPr="00400CA5">
        <w:rPr>
          <w:rStyle w:val="Emphasis"/>
          <w:rFonts w:cs="Calibri"/>
          <w:highlight w:val="green"/>
        </w:rPr>
        <w:t>our contributions to settler colonial studies are</w:t>
      </w:r>
      <w:r w:rsidRPr="0036788D">
        <w:rPr>
          <w:rStyle w:val="Emphasis"/>
          <w:rFonts w:cs="Calibri"/>
        </w:rPr>
        <w:t xml:space="preserve"> </w:t>
      </w:r>
      <w:r w:rsidRPr="0036788D">
        <w:rPr>
          <w:rFonts w:cs="Calibri"/>
          <w:sz w:val="12"/>
        </w:rPr>
        <w:t>even more</w:t>
      </w:r>
      <w:r w:rsidRPr="0036788D">
        <w:rPr>
          <w:rStyle w:val="Emphasis"/>
          <w:rFonts w:cs="Calibri"/>
        </w:rPr>
        <w:t xml:space="preserve"> </w:t>
      </w:r>
      <w:r w:rsidRPr="00400CA5">
        <w:rPr>
          <w:rStyle w:val="Emphasis"/>
          <w:rFonts w:cs="Calibri"/>
          <w:highlight w:val="green"/>
        </w:rPr>
        <w:t>deeply problematic.</w:t>
      </w:r>
    </w:p>
    <w:p w14:paraId="34AA0DCE" w14:textId="77777777" w:rsidR="008B391B" w:rsidRDefault="008B391B" w:rsidP="008B391B">
      <w:pPr>
        <w:rPr>
          <w:rFonts w:eastAsia="MS Gothic" w:cs="Times New Roman"/>
          <w:b/>
          <w:iCs/>
          <w:sz w:val="28"/>
        </w:rPr>
      </w:pPr>
    </w:p>
    <w:p w14:paraId="7AE0641C" w14:textId="77777777" w:rsidR="008B391B" w:rsidRDefault="008B391B" w:rsidP="008B391B">
      <w:pPr>
        <w:rPr>
          <w:rFonts w:eastAsia="MS Gothic" w:cs="Times New Roman"/>
          <w:b/>
          <w:iCs/>
          <w:sz w:val="28"/>
        </w:rPr>
      </w:pPr>
      <w:r w:rsidRPr="005D69F8">
        <w:rPr>
          <w:rFonts w:eastAsia="MS Gothic" w:cs="Times New Roman"/>
          <w:b/>
          <w:iCs/>
          <w:sz w:val="28"/>
        </w:rPr>
        <w:t xml:space="preserve">ROB </w:t>
      </w:r>
      <w:r>
        <w:rPr>
          <w:rFonts w:eastAsia="MS Gothic" w:cs="Times New Roman"/>
          <w:b/>
          <w:iCs/>
          <w:sz w:val="28"/>
        </w:rPr>
        <w:t>outweighs</w:t>
      </w:r>
      <w:r w:rsidRPr="005D69F8">
        <w:rPr>
          <w:rFonts w:eastAsia="MS Gothic" w:cs="Times New Roman"/>
          <w:b/>
          <w:iCs/>
          <w:sz w:val="28"/>
        </w:rPr>
        <w:t xml:space="preserve"> T/theory </w:t>
      </w:r>
    </w:p>
    <w:p w14:paraId="0D6D82EE" w14:textId="77777777" w:rsidR="008B391B" w:rsidRDefault="008B391B" w:rsidP="008B391B">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 xml:space="preserve">Jurisdiction- the ROB speaks specifically to this round and how the ballot should be signed, while theory is about norm-setting which is out of the judge’s jurisdiction </w:t>
      </w:r>
      <w:proofErr w:type="spellStart"/>
      <w:r w:rsidRPr="005D69F8">
        <w:rPr>
          <w:rFonts w:eastAsia="MS Gothic" w:cs="Times New Roman"/>
          <w:b/>
          <w:iCs/>
          <w:sz w:val="28"/>
        </w:rPr>
        <w:t>bc</w:t>
      </w:r>
      <w:proofErr w:type="spellEnd"/>
      <w:r w:rsidRPr="005D69F8">
        <w:rPr>
          <w:rFonts w:eastAsia="MS Gothic" w:cs="Times New Roman"/>
          <w:b/>
          <w:iCs/>
          <w:sz w:val="28"/>
        </w:rPr>
        <w:t xml:space="preserve"> that is out of round</w:t>
      </w:r>
    </w:p>
    <w:p w14:paraId="3D44A892" w14:textId="77777777" w:rsidR="008B391B" w:rsidRDefault="008B391B" w:rsidP="008B391B">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0E03C727" w14:textId="77777777" w:rsidR="008B391B" w:rsidRDefault="008B391B" w:rsidP="008B391B">
      <w:pPr>
        <w:ind w:left="720"/>
        <w:rPr>
          <w:rFonts w:eastAsia="MS Gothic" w:cs="Times New Roman"/>
          <w:b/>
          <w:iCs/>
          <w:sz w:val="28"/>
        </w:rPr>
      </w:pPr>
      <w:r>
        <w:rPr>
          <w:rFonts w:eastAsia="MS Gothic" w:cs="Times New Roman"/>
          <w:b/>
          <w:iCs/>
          <w:sz w:val="28"/>
        </w:rPr>
        <w:t xml:space="preserve">C) Debating for fairness is arbitrary – people still will read the same arguments and do the same practices </w:t>
      </w:r>
      <w:proofErr w:type="gramStart"/>
      <w:r>
        <w:rPr>
          <w:rFonts w:eastAsia="MS Gothic" w:cs="Times New Roman"/>
          <w:b/>
          <w:iCs/>
          <w:sz w:val="28"/>
        </w:rPr>
        <w:t>regardless</w:t>
      </w:r>
      <w:proofErr w:type="gramEnd"/>
      <w:r>
        <w:rPr>
          <w:rFonts w:eastAsia="MS Gothic" w:cs="Times New Roman"/>
          <w:b/>
          <w:iCs/>
          <w:sz w:val="28"/>
        </w:rPr>
        <w:t xml:space="preserve"> so it doesn’t do </w:t>
      </w:r>
      <w:r>
        <w:rPr>
          <w:rFonts w:eastAsia="MS Gothic" w:cs="Times New Roman"/>
          <w:b/>
          <w:iCs/>
          <w:sz w:val="28"/>
        </w:rPr>
        <w:lastRenderedPageBreak/>
        <w:t>anything, but there is still a strength of link of you learning something at the end of the round</w:t>
      </w:r>
    </w:p>
    <w:p w14:paraId="41FBDC0A" w14:textId="77777777" w:rsidR="008B391B" w:rsidRDefault="008B391B" w:rsidP="008B391B">
      <w:pPr>
        <w:ind w:left="720"/>
        <w:rPr>
          <w:rFonts w:eastAsia="MS Gothic" w:cs="Times New Roman"/>
          <w:b/>
          <w:iCs/>
          <w:sz w:val="28"/>
        </w:rPr>
      </w:pPr>
      <w:r>
        <w:rPr>
          <w:rFonts w:eastAsia="MS Gothic" w:cs="Times New Roman"/>
          <w:b/>
          <w:iCs/>
          <w:sz w:val="28"/>
        </w:rPr>
        <w:t>D</w:t>
      </w:r>
      <w:r w:rsidRPr="005D69F8">
        <w:rPr>
          <w:rFonts w:eastAsia="MS Gothic" w:cs="Times New Roman"/>
          <w:b/>
          <w:iCs/>
          <w:sz w:val="28"/>
        </w:rPr>
        <w:t>)</w:t>
      </w:r>
      <w:r>
        <w:rPr>
          <w:rFonts w:eastAsia="MS Gothic" w:cs="Times New Roman"/>
          <w:b/>
          <w:iCs/>
          <w:sz w:val="28"/>
        </w:rPr>
        <w:t xml:space="preserve"> </w:t>
      </w:r>
      <w:r w:rsidRPr="005D69F8">
        <w:rPr>
          <w:rFonts w:eastAsia="MS Gothic" w:cs="Times New Roman"/>
          <w:b/>
          <w:iCs/>
          <w:sz w:val="28"/>
        </w:rPr>
        <w:t xml:space="preserve">Theory speaks to a fair and educational </w:t>
      </w:r>
      <w:proofErr w:type="gramStart"/>
      <w:r w:rsidRPr="005D69F8">
        <w:rPr>
          <w:rFonts w:eastAsia="MS Gothic" w:cs="Times New Roman"/>
          <w:b/>
          <w:iCs/>
          <w:sz w:val="28"/>
        </w:rPr>
        <w:t>space</w:t>
      </w:r>
      <w:proofErr w:type="gramEnd"/>
      <w:r w:rsidRPr="005D69F8">
        <w:rPr>
          <w:rFonts w:eastAsia="MS Gothic" w:cs="Times New Roman"/>
          <w:b/>
          <w:iCs/>
          <w:sz w:val="28"/>
        </w:rPr>
        <w:t xml:space="preserve"> but my ROB evidence says that those spaces can’t exist prior to the </w:t>
      </w:r>
      <w:proofErr w:type="spellStart"/>
      <w:r w:rsidRPr="005D69F8">
        <w:rPr>
          <w:rFonts w:eastAsia="MS Gothic" w:cs="Times New Roman"/>
          <w:b/>
          <w:iCs/>
          <w:sz w:val="28"/>
        </w:rPr>
        <w:t>aff</w:t>
      </w:r>
      <w:proofErr w:type="spellEnd"/>
      <w:r w:rsidRPr="005D69F8">
        <w:rPr>
          <w:rFonts w:eastAsia="MS Gothic" w:cs="Times New Roman"/>
          <w:b/>
          <w:iCs/>
          <w:sz w:val="28"/>
        </w:rPr>
        <w:t xml:space="preserve"> because they’re grounded in accumulatio</w:t>
      </w:r>
      <w:r>
        <w:rPr>
          <w:rFonts w:eastAsia="MS Gothic" w:cs="Times New Roman"/>
          <w:b/>
          <w:iCs/>
          <w:sz w:val="28"/>
        </w:rPr>
        <w:t>n</w:t>
      </w:r>
    </w:p>
    <w:p w14:paraId="7635404C" w14:textId="77777777" w:rsidR="008B391B" w:rsidRDefault="008B391B" w:rsidP="008B391B">
      <w:pPr>
        <w:ind w:left="720"/>
        <w:rPr>
          <w:rFonts w:eastAsia="Calibri"/>
        </w:rPr>
      </w:pPr>
      <w:r>
        <w:rPr>
          <w:rFonts w:eastAsia="MS Gothic" w:cs="Times New Roman"/>
          <w:b/>
          <w:iCs/>
          <w:sz w:val="28"/>
          <w:szCs w:val="28"/>
        </w:rPr>
        <w:t>E</w:t>
      </w:r>
      <w:r w:rsidRPr="005D69F8">
        <w:rPr>
          <w:rFonts w:eastAsia="MS Gothic" w:cs="Times New Roman"/>
          <w:b/>
          <w:iCs/>
          <w:sz w:val="28"/>
          <w:szCs w:val="28"/>
        </w:rPr>
        <w:t xml:space="preserve">) K education outweighs – LD is uniquely key for </w:t>
      </w:r>
      <w:proofErr w:type="spellStart"/>
      <w:r w:rsidRPr="005D69F8">
        <w:rPr>
          <w:rFonts w:eastAsia="MS Gothic" w:cs="Times New Roman"/>
          <w:b/>
          <w:iCs/>
          <w:sz w:val="28"/>
          <w:szCs w:val="28"/>
        </w:rPr>
        <w:t>kritikal</w:t>
      </w:r>
      <w:proofErr w:type="spellEnd"/>
      <w:r w:rsidRPr="005D69F8">
        <w:rPr>
          <w:rFonts w:eastAsia="MS Gothic" w:cs="Times New Roman"/>
          <w:b/>
          <w:iCs/>
          <w:sz w:val="28"/>
          <w:szCs w:val="28"/>
        </w:rPr>
        <w:t xml:space="preserve"> education</w:t>
      </w:r>
      <w:r>
        <w:rPr>
          <w:rFonts w:eastAsia="MS Gothic" w:cs="Times New Roman"/>
          <w:b/>
          <w:iCs/>
          <w:sz w:val="28"/>
          <w:szCs w:val="28"/>
        </w:rPr>
        <w:t xml:space="preserve"> </w:t>
      </w:r>
    </w:p>
    <w:bookmarkEnd w:id="0"/>
    <w:p w14:paraId="73F0AD8D" w14:textId="00867D34" w:rsidR="008B391B" w:rsidRDefault="008B391B" w:rsidP="008B391B"/>
    <w:p w14:paraId="75273B8A" w14:textId="77777777" w:rsidR="0006540F" w:rsidRPr="00E6477D" w:rsidRDefault="0006540F" w:rsidP="0006540F">
      <w:pPr>
        <w:pStyle w:val="Heading4"/>
      </w:pPr>
      <w:r>
        <w:t xml:space="preserve">There is no room for settler futurity – any assumption that change can be enacted via reform within the state just concedes to the state’s unethical legislative capacity in the first place and denies indigenous sovereignty. </w:t>
      </w:r>
      <w:r w:rsidRPr="00E6477D">
        <w:rPr>
          <w:rStyle w:val="Emphasis"/>
          <w:b/>
          <w:bCs w:val="0"/>
          <w:sz w:val="26"/>
          <w:u w:val="none"/>
        </w:rPr>
        <w:t>Tuck and Gaztambide-Fernandez 13</w:t>
      </w:r>
    </w:p>
    <w:p w14:paraId="7D241B75" w14:textId="77777777" w:rsidR="0006540F" w:rsidRDefault="0006540F" w:rsidP="0006540F">
      <w:r>
        <w:t xml:space="preserve"> [EVE TUCK and RUBÉN A. GAZTAMBIDE-FERNÁNDEZ. "Curriculum, Replacement, and Settler Futurity" Rochester29.1 (2013): 72-89.] // </w:t>
      </w:r>
      <w:proofErr w:type="spellStart"/>
      <w:r>
        <w:t>faizaan</w:t>
      </w:r>
      <w:proofErr w:type="spellEnd"/>
    </w:p>
    <w:p w14:paraId="6D3E614B" w14:textId="77777777" w:rsidR="0006540F" w:rsidRPr="00AF58FA" w:rsidRDefault="0006540F" w:rsidP="0006540F">
      <w:pPr>
        <w:rPr>
          <w:sz w:val="16"/>
        </w:rPr>
      </w:pPr>
      <w:r w:rsidRPr="00BD5845">
        <w:rPr>
          <w:sz w:val="16"/>
        </w:rPr>
        <w:t xml:space="preserve">Settler Futurity. The settler colonial curricular project of replacement is invested in settler futurity, or what Andrew Baldwin calls the “permanent virtuality” of the settler on stolen land (2012, p. 173). </w:t>
      </w:r>
      <w:r w:rsidRPr="00BD5845">
        <w:rPr>
          <w:rStyle w:val="Emphasis"/>
        </w:rPr>
        <w:t>When we locate the present of settler colonialism as only the production of the past, we overlook how settler colonialism is configured in relation to</w:t>
      </w:r>
      <w:r w:rsidRPr="00BD5845">
        <w:rPr>
          <w:sz w:val="16"/>
        </w:rPr>
        <w:t xml:space="preserve"> a different temporal horizon: </w:t>
      </w:r>
      <w:r w:rsidRPr="00BD5845">
        <w:rPr>
          <w:rStyle w:val="Emphasis"/>
        </w:rPr>
        <w:t>the future</w:t>
      </w:r>
      <w:r w:rsidRPr="00BD5845">
        <w:rPr>
          <w:sz w:val="16"/>
        </w:rPr>
        <w:t xml:space="preserve">. To say that something is invested in something else’s </w:t>
      </w:r>
      <w:r w:rsidRPr="00BD5845">
        <w:rPr>
          <w:rStyle w:val="Emphasis"/>
          <w:highlight w:val="green"/>
        </w:rPr>
        <w:t>futurity is not the same as</w:t>
      </w:r>
      <w:r w:rsidRPr="00BD5845">
        <w:rPr>
          <w:rStyle w:val="Emphasis"/>
        </w:rPr>
        <w:t xml:space="preserve"> saying it is </w:t>
      </w:r>
      <w:r w:rsidRPr="00BD5845">
        <w:rPr>
          <w:rStyle w:val="Emphasis"/>
          <w:highlight w:val="green"/>
        </w:rPr>
        <w:t>invested in something’s future</w:t>
      </w:r>
      <w:r w:rsidRPr="00BD5845">
        <w:rPr>
          <w:sz w:val="16"/>
        </w:rPr>
        <w:t xml:space="preserve">, though the replacement project is invested in both settler future and futurity. </w:t>
      </w:r>
      <w:r w:rsidRPr="00BD5845">
        <w:rPr>
          <w:rStyle w:val="Emphasis"/>
        </w:rPr>
        <w:t>Futurity refers to the ways in which, “</w:t>
      </w:r>
      <w:r w:rsidRPr="00BD5845">
        <w:rPr>
          <w:rStyle w:val="Emphasis"/>
          <w:highlight w:val="green"/>
        </w:rPr>
        <w:t>the future is rendered knowable through specific practices</w:t>
      </w:r>
      <w:r w:rsidRPr="00BD5845">
        <w:rPr>
          <w:rStyle w:val="Emphasis"/>
        </w:rPr>
        <w:t xml:space="preserve"> </w:t>
      </w:r>
      <w:r w:rsidRPr="00BD5845">
        <w:rPr>
          <w:sz w:val="16"/>
        </w:rPr>
        <w:t>(</w:t>
      </w:r>
      <w:proofErr w:type="gramStart"/>
      <w:r w:rsidRPr="00BD5845">
        <w:rPr>
          <w:sz w:val="16"/>
        </w:rPr>
        <w:t>i.e.</w:t>
      </w:r>
      <w:proofErr w:type="gramEnd"/>
      <w:r w:rsidRPr="00BD5845">
        <w:rPr>
          <w:sz w:val="16"/>
        </w:rPr>
        <w:t xml:space="preserve"> calculation, imagination, and performance) </w:t>
      </w:r>
      <w:r w:rsidRPr="00BD5845">
        <w:rPr>
          <w:rStyle w:val="Emphasis"/>
        </w:rPr>
        <w:t>and, in turn, intervenes upon the present through</w:t>
      </w:r>
      <w:r w:rsidRPr="00BD5845">
        <w:rPr>
          <w:sz w:val="16"/>
        </w:rPr>
        <w:t xml:space="preserve"> three anticipatory logics (i.e. </w:t>
      </w:r>
      <w:r w:rsidRPr="00BD5845">
        <w:rPr>
          <w:rStyle w:val="Emphasis"/>
        </w:rPr>
        <w:t>pre-caution, pre-emption and preparedness</w:t>
      </w:r>
      <w:r w:rsidRPr="00BD5845">
        <w:rPr>
          <w:sz w:val="16"/>
        </w:rPr>
        <w:t xml:space="preserve">)” (p. 173). Considering the significance of futurity for researching whiteness and geography, </w:t>
      </w:r>
      <w:r w:rsidRPr="00BD5845">
        <w:rPr>
          <w:rStyle w:val="Emphasis"/>
        </w:rPr>
        <w:t xml:space="preserve">Baldwin (2012) wonders whether a past-oriented approach reproduces the (false), Teleological assumption that white racism can be modernized away. </w:t>
      </w:r>
      <w:r w:rsidRPr="00BD5845">
        <w:rPr>
          <w:rStyle w:val="Emphasis"/>
          <w:highlight w:val="green"/>
        </w:rPr>
        <w:t>Such an assumption privileges an ontology of linear causality in which the past is thought to act on the present and the present is said to be an effect of whatever came before</w:t>
      </w:r>
      <w:r w:rsidRPr="00BD5845">
        <w:rPr>
          <w:rStyle w:val="Emphasis"/>
        </w:rPr>
        <w:t xml:space="preserve"> [...] According to this kind of temporality, the future is the terrain upon or through which white racism will get resolved. </w:t>
      </w:r>
      <w:r w:rsidRPr="00BD5845">
        <w:rPr>
          <w:rStyle w:val="Emphasis"/>
          <w:highlight w:val="green"/>
        </w:rPr>
        <w:t>It cleaves the future from the present</w:t>
      </w:r>
      <w:r w:rsidRPr="00BD5845">
        <w:rPr>
          <w:sz w:val="16"/>
        </w:rPr>
        <w:t xml:space="preserve"> and, thus, gives the future discrete ontological form. (p. 174) </w:t>
      </w:r>
      <w:r w:rsidRPr="00BD5845">
        <w:rPr>
          <w:rStyle w:val="Emphasis"/>
        </w:rPr>
        <w:t xml:space="preserve">Thus, in this historical analysis of the settler colonial curricular project of replacement, we seek to emphasize the ways in which </w:t>
      </w:r>
      <w:r w:rsidRPr="00CC2604">
        <w:rPr>
          <w:rStyle w:val="Emphasis"/>
          <w:highlight w:val="green"/>
        </w:rPr>
        <w:t>replacement is entirely concerned with settler futurity, which</w:t>
      </w:r>
      <w:r w:rsidRPr="00BD5845">
        <w:rPr>
          <w:rStyle w:val="Emphasis"/>
        </w:rPr>
        <w:t xml:space="preserve"> always indivisibly </w:t>
      </w:r>
      <w:r w:rsidRPr="00CC2604">
        <w:rPr>
          <w:rStyle w:val="Emphasis"/>
          <w:highlight w:val="green"/>
        </w:rPr>
        <w:t>means the</w:t>
      </w:r>
      <w:r w:rsidRPr="00BD5845">
        <w:rPr>
          <w:rStyle w:val="Emphasis"/>
        </w:rPr>
        <w:t xml:space="preserve"> continued </w:t>
      </w:r>
      <w:r w:rsidRPr="00CC2604">
        <w:rPr>
          <w:rStyle w:val="Emphasis"/>
          <w:highlight w:val="green"/>
        </w:rPr>
        <w:t>and complete eradication of the original inhabitants of contested land. Anything that seeks to</w:t>
      </w:r>
      <w:r w:rsidRPr="00BD5845">
        <w:rPr>
          <w:rStyle w:val="Emphasis"/>
        </w:rPr>
        <w:t xml:space="preserve"> recuperate and not interrupt settler colonialism, to </w:t>
      </w:r>
      <w:r w:rsidRPr="00CC2604">
        <w:rPr>
          <w:rStyle w:val="Emphasis"/>
          <w:highlight w:val="green"/>
        </w:rPr>
        <w:t>reform the settlement and incorporate</w:t>
      </w:r>
      <w:r w:rsidRPr="00BD5845">
        <w:rPr>
          <w:rStyle w:val="Emphasis"/>
        </w:rPr>
        <w:t xml:space="preserve"> Indigenous </w:t>
      </w:r>
      <w:r w:rsidRPr="00CC2604">
        <w:rPr>
          <w:rStyle w:val="Emphasis"/>
          <w:highlight w:val="green"/>
        </w:rPr>
        <w:t>peoples into the multicultural settler colonial nation</w:t>
      </w:r>
      <w:r w:rsidRPr="00BD5845">
        <w:rPr>
          <w:rStyle w:val="Emphasis"/>
        </w:rPr>
        <w:t xml:space="preserve"> state </w:t>
      </w:r>
      <w:r w:rsidRPr="00CC2604">
        <w:rPr>
          <w:rStyle w:val="Emphasis"/>
          <w:highlight w:val="green"/>
        </w:rPr>
        <w:t>is fettered to settler futurity</w:t>
      </w:r>
      <w:r w:rsidRPr="00BD5845">
        <w:rPr>
          <w:rStyle w:val="Emphasis"/>
        </w:rPr>
        <w:t>.</w:t>
      </w:r>
      <w:r w:rsidRPr="00BD5845">
        <w:rPr>
          <w:sz w:val="16"/>
        </w:rPr>
        <w:t xml:space="preserve"> To be clear, our commitments are to what might be called an Indigenous futurity, which does not foreclose the inhabitation of Indigenous land by </w:t>
      </w:r>
      <w:proofErr w:type="spellStart"/>
      <w:r w:rsidRPr="00BD5845">
        <w:rPr>
          <w:sz w:val="16"/>
        </w:rPr>
        <w:t>nonIndigenous</w:t>
      </w:r>
      <w:proofErr w:type="spellEnd"/>
      <w:r w:rsidRPr="00BD5845">
        <w:rPr>
          <w:sz w:val="16"/>
        </w:rPr>
        <w:t xml:space="preserve"> </w:t>
      </w:r>
      <w:proofErr w:type="gramStart"/>
      <w:r w:rsidRPr="00BD5845">
        <w:rPr>
          <w:sz w:val="16"/>
        </w:rPr>
        <w:t>peoples, but</w:t>
      </w:r>
      <w:proofErr w:type="gramEnd"/>
      <w:r w:rsidRPr="00BD5845">
        <w:rPr>
          <w:sz w:val="16"/>
        </w:rPr>
        <w:t xml:space="preserve"> does foreclose settler colonialism and settler epistemologies. That is to say that Indigenous futurity does not require the erasure of now-settlers in the ways that settler futurity requires of Indigenous peoples.</w:t>
      </w:r>
    </w:p>
    <w:p w14:paraId="0D277BF3" w14:textId="77777777" w:rsidR="0006540F" w:rsidRDefault="0006540F" w:rsidP="0006540F">
      <w:pPr>
        <w:rPr>
          <w:rFonts w:cs="Calibri"/>
          <w:b/>
          <w:bCs/>
          <w:sz w:val="28"/>
          <w:szCs w:val="32"/>
        </w:rPr>
      </w:pPr>
    </w:p>
    <w:p w14:paraId="1790AF2C" w14:textId="77777777" w:rsidR="0006540F" w:rsidRPr="0036788D" w:rsidRDefault="0006540F" w:rsidP="0006540F">
      <w:pPr>
        <w:pStyle w:val="Heading4"/>
        <w:rPr>
          <w:rFonts w:cs="Calibri"/>
          <w:color w:val="FF0000"/>
        </w:rPr>
      </w:pPr>
      <w:r w:rsidRPr="0036788D">
        <w:rPr>
          <w:rFonts w:cs="Calibri"/>
        </w:rPr>
        <w:lastRenderedPageBreak/>
        <w:t>Settler colonialism is the root cause of violence. It uniquely perpetuates a heteropatriarchal society through fostering conceptions of the native as less than human</w:t>
      </w:r>
      <w:r>
        <w:rPr>
          <w:rFonts w:cs="Calibri"/>
        </w:rPr>
        <w:t>.</w:t>
      </w:r>
    </w:p>
    <w:p w14:paraId="249CD6F8" w14:textId="77777777" w:rsidR="0006540F" w:rsidRPr="0036788D" w:rsidRDefault="0006540F" w:rsidP="0006540F">
      <w:pPr>
        <w:rPr>
          <w:rFonts w:cs="Calibri"/>
        </w:rPr>
      </w:pPr>
      <w:r w:rsidRPr="0036788D">
        <w:rPr>
          <w:rStyle w:val="Style13ptBold"/>
          <w:rFonts w:cs="Calibri"/>
        </w:rPr>
        <w:t>Glenn, 15</w:t>
      </w:r>
      <w:r w:rsidRPr="0036788D">
        <w:rPr>
          <w:rFonts w:cs="Calibri"/>
        </w:rPr>
        <w:t xml:space="preserve"> - professor of Gender &amp; Women’s Studies and Ethnic Studies and Founding Director of the Center for Race and Gender at the University of California, Berkeley (Evelyn Nakano, “Settler Colonialism as Structure: A Framework for Comparative Studies of U.S. Race and Gender Formation,” Sociology of Race and Ethnicity 2015, Vol. 1(1) 54–74, 10.1177/2332649214560440)//FD WHS </w:t>
      </w:r>
    </w:p>
    <w:p w14:paraId="2FEFB379" w14:textId="77777777" w:rsidR="0006540F" w:rsidRPr="0036788D" w:rsidRDefault="0006540F" w:rsidP="0006540F">
      <w:pPr>
        <w:rPr>
          <w:rFonts w:cs="Calibri"/>
          <w:sz w:val="16"/>
        </w:rPr>
      </w:pPr>
      <w:r w:rsidRPr="0036788D">
        <w:rPr>
          <w:rFonts w:cs="Calibri"/>
          <w:sz w:val="16"/>
        </w:rPr>
        <w:t xml:space="preserve">In this section, I describe U.S. </w:t>
      </w:r>
      <w:r w:rsidRPr="000E6A1B">
        <w:rPr>
          <w:rFonts w:cs="Calibri"/>
          <w:b/>
          <w:bCs/>
          <w:highlight w:val="green"/>
          <w:u w:val="single"/>
        </w:rPr>
        <w:t>settler colonialism</w:t>
      </w:r>
      <w:r w:rsidRPr="0036788D">
        <w:rPr>
          <w:rFonts w:cs="Calibri"/>
          <w:sz w:val="16"/>
        </w:rPr>
        <w:t xml:space="preserve"> as a race-gender project. By that I mean that it </w:t>
      </w:r>
      <w:r w:rsidRPr="000E6A1B">
        <w:rPr>
          <w:rFonts w:cs="Calibri"/>
          <w:b/>
          <w:bCs/>
          <w:highlight w:val="green"/>
          <w:u w:val="single"/>
        </w:rPr>
        <w:t>transplanted certain racialized and gendered conceptions and regimes from the metropole but also transformed them in the context of and experiences in the New World</w:t>
      </w:r>
      <w:r w:rsidRPr="0036788D">
        <w:rPr>
          <w:rFonts w:cs="Calibri"/>
          <w:u w:val="single"/>
        </w:rPr>
        <w:t>.</w:t>
      </w:r>
      <w:r w:rsidRPr="0036788D">
        <w:rPr>
          <w:rFonts w:cs="Calibri"/>
          <w:sz w:val="18"/>
        </w:rPr>
        <w:t xml:space="preserve"> </w:t>
      </w:r>
      <w:r w:rsidRPr="000E6A1B">
        <w:rPr>
          <w:rStyle w:val="Emphasis"/>
          <w:rFonts w:cs="Calibri"/>
          <w:sz w:val="24"/>
          <w:highlight w:val="green"/>
        </w:rPr>
        <w:t>What emerged out of the settler colonial project was a racialized and gendered national identity that normalized male whiteness</w:t>
      </w:r>
      <w:r w:rsidRPr="000E6A1B">
        <w:rPr>
          <w:rFonts w:cs="Calibri"/>
          <w:sz w:val="18"/>
          <w:highlight w:val="green"/>
        </w:rPr>
        <w:t>.</w:t>
      </w:r>
      <w:r w:rsidRPr="0036788D">
        <w:rPr>
          <w:rFonts w:cs="Calibri"/>
          <w:sz w:val="18"/>
        </w:rPr>
        <w:t xml:space="preserve"> </w:t>
      </w:r>
      <w:r w:rsidRPr="0036788D">
        <w:rPr>
          <w:rFonts w:cs="Calibri"/>
          <w:sz w:val="16"/>
        </w:rPr>
        <w:t xml:space="preserve">Since settlers initially were exogenous others seeking to claim rights to land and sovereignty over those who already occupied the land, they needed to develop conceptions of indigenous peoples as lesser beings, unworthy of consideration. </w:t>
      </w:r>
      <w:r w:rsidRPr="000E6A1B">
        <w:rPr>
          <w:rStyle w:val="Emphasis"/>
          <w:rFonts w:cs="Calibri"/>
          <w:highlight w:val="green"/>
        </w:rPr>
        <w:t>They harnessed race and gender to construct a hierarchy of humankind</w:t>
      </w:r>
      <w:r w:rsidRPr="0036788D">
        <w:rPr>
          <w:rFonts w:cs="Calibri"/>
          <w:sz w:val="16"/>
        </w:rPr>
        <w:t xml:space="preserve">. Conceiving of indigenous peoples as less than fully human justified dispossessing them and rendered them expendable and/or invisible. Land occupied or used seasonally by indigenes was conceived of as terra nullius (empty land or land belonging to no one) and therefore available for taking by white settlers. Simultaneously, settlers conceived of themselves as more advanced and evolved, bringers of progress and enlightenment to the wilderness. </w:t>
      </w:r>
      <w:r w:rsidRPr="000E6A1B">
        <w:rPr>
          <w:rStyle w:val="Emphasis"/>
          <w:rFonts w:cs="Calibri"/>
          <w:highlight w:val="green"/>
        </w:rPr>
        <w:t>Masculine whiteness thus became central to settler identity</w:t>
      </w:r>
      <w:r w:rsidRPr="000E6A1B">
        <w:rPr>
          <w:rFonts w:cs="Calibri"/>
          <w:highlight w:val="green"/>
          <w:u w:val="single"/>
        </w:rPr>
        <w:t xml:space="preserve">, a status closely tied to ownership of property and political sovereignty. </w:t>
      </w:r>
      <w:r w:rsidRPr="000E6A1B">
        <w:rPr>
          <w:rStyle w:val="Emphasis"/>
          <w:rFonts w:cs="Calibri"/>
          <w:highlight w:val="green"/>
        </w:rPr>
        <w:t>The latter in turn articulated with heteropatriarchy, which rendered white manhood supreme with respect to control over property and self-rule</w:t>
      </w:r>
      <w:r w:rsidRPr="0036788D">
        <w:rPr>
          <w:rFonts w:cs="Calibri"/>
          <w:u w:val="single"/>
        </w:rPr>
        <w:t>.</w:t>
      </w:r>
      <w:r w:rsidRPr="0036788D">
        <w:rPr>
          <w:rFonts w:cs="Calibri"/>
          <w:sz w:val="16"/>
        </w:rPr>
        <w:t xml:space="preserve"> This entailed settler wives being denied an independent legal identity; instead, her identity was merged into that of her husband, and her property and labor were under his control. Further, </w:t>
      </w:r>
      <w:r w:rsidRPr="000E6A1B">
        <w:rPr>
          <w:rFonts w:cs="Calibri"/>
          <w:highlight w:val="green"/>
          <w:u w:val="single"/>
        </w:rPr>
        <w:t>it was presumed that “heteropatriarchal nuclear-domestic arrangements, in which the [white] father is both protector and leader should serve as the model for social arrangements of the state and its institutions”</w:t>
      </w:r>
      <w:r w:rsidRPr="0036788D">
        <w:rPr>
          <w:rFonts w:cs="Calibri"/>
          <w:sz w:val="16"/>
        </w:rPr>
        <w:t xml:space="preserve"> (Arvin, Tuck, and Morrill 2013:13).</w:t>
      </w:r>
    </w:p>
    <w:p w14:paraId="427DF4DB" w14:textId="3B179253" w:rsidR="0006540F" w:rsidRDefault="0006540F" w:rsidP="008B391B"/>
    <w:p w14:paraId="6D2278DA" w14:textId="77777777" w:rsidR="0006540F" w:rsidRPr="00CE7F43" w:rsidRDefault="0006540F" w:rsidP="0006540F">
      <w:pPr>
        <w:pStyle w:val="Heading4"/>
        <w:rPr>
          <w:color w:val="000000" w:themeColor="text1"/>
        </w:rPr>
      </w:pPr>
      <w:r>
        <w:rPr>
          <w:color w:val="000000" w:themeColor="text1"/>
        </w:rPr>
        <w:t>Utilitarian framing should be rejected, it normalizes white pleasure and abstracts from indigenous violence. Extinction is a settler narrative that obscures the foundations of settler violence and precludes politics of decolonization.</w:t>
      </w:r>
    </w:p>
    <w:p w14:paraId="5E8324C0" w14:textId="77777777" w:rsidR="0006540F" w:rsidRPr="00CE7F43" w:rsidRDefault="0006540F" w:rsidP="0006540F">
      <w:pPr>
        <w:rPr>
          <w:color w:val="000000" w:themeColor="text1"/>
          <w:sz w:val="16"/>
          <w:szCs w:val="18"/>
        </w:rPr>
      </w:pPr>
      <w:proofErr w:type="spellStart"/>
      <w:r w:rsidRPr="00CE7F43">
        <w:rPr>
          <w:rStyle w:val="Style13ptBold"/>
          <w:color w:val="000000" w:themeColor="text1"/>
        </w:rPr>
        <w:t>Dalley</w:t>
      </w:r>
      <w:proofErr w:type="spellEnd"/>
      <w:r w:rsidRPr="00CE7F43">
        <w:rPr>
          <w:rStyle w:val="Style13ptBold"/>
          <w:color w:val="000000" w:themeColor="text1"/>
        </w:rPr>
        <w:t xml:space="preserve"> 16</w:t>
      </w:r>
      <w:r w:rsidRPr="00CE7F43">
        <w:rPr>
          <w:color w:val="000000" w:themeColor="text1"/>
        </w:rPr>
        <w:t xml:space="preserve"> </w:t>
      </w:r>
      <w:r w:rsidRPr="00CE7F43">
        <w:rPr>
          <w:color w:val="000000" w:themeColor="text1"/>
          <w:sz w:val="16"/>
          <w:szCs w:val="18"/>
        </w:rPr>
        <w:t xml:space="preserve">Hamish </w:t>
      </w:r>
      <w:proofErr w:type="spellStart"/>
      <w:r w:rsidRPr="00CE7F43">
        <w:rPr>
          <w:color w:val="000000" w:themeColor="text1"/>
          <w:sz w:val="16"/>
          <w:szCs w:val="18"/>
        </w:rPr>
        <w:t>Dalley</w:t>
      </w:r>
      <w:proofErr w:type="spellEnd"/>
      <w:r w:rsidRPr="00CE7F43">
        <w:rPr>
          <w:color w:val="000000" w:themeColor="text1"/>
          <w:sz w:val="16"/>
          <w:szCs w:val="18"/>
        </w:rPr>
        <w:t xml:space="preserve"> (2016): The deaths of settler colonialism: extinction as a metaphor of decolonization in contemporary settler literature, Settler Colonial Studies, DOI: 10.1080/2201473X.2016.1238160 SJBE</w:t>
      </w:r>
    </w:p>
    <w:p w14:paraId="6825C6C5" w14:textId="77777777" w:rsidR="0006540F" w:rsidRDefault="0006540F" w:rsidP="0006540F">
      <w:pPr>
        <w:rPr>
          <w:rStyle w:val="Emphasis"/>
        </w:rPr>
      </w:pPr>
      <w:r w:rsidRPr="00400CA5">
        <w:rPr>
          <w:rStyle w:val="Emphasis"/>
          <w:highlight w:val="green"/>
        </w:rPr>
        <w:t>Settlers love</w:t>
      </w:r>
      <w:r w:rsidRPr="00CC2656">
        <w:rPr>
          <w:rStyle w:val="Emphasis"/>
        </w:rPr>
        <w:t xml:space="preserve"> to c</w:t>
      </w:r>
      <w:r w:rsidRPr="00EA786A">
        <w:rPr>
          <w:rStyle w:val="Emphasis"/>
        </w:rPr>
        <w:t>ontemplate</w:t>
      </w:r>
      <w:r w:rsidRPr="002B5A77">
        <w:rPr>
          <w:rStyle w:val="Emphasis"/>
        </w:rPr>
        <w:t xml:space="preserve"> the possibility of </w:t>
      </w:r>
      <w:r w:rsidRPr="00EA786A">
        <w:rPr>
          <w:rStyle w:val="Emphasis"/>
        </w:rPr>
        <w:t xml:space="preserve">their own </w:t>
      </w:r>
      <w:r w:rsidRPr="00400CA5">
        <w:rPr>
          <w:rStyle w:val="Emphasis"/>
          <w:highlight w:val="green"/>
        </w:rPr>
        <w:t>extinction</w:t>
      </w:r>
      <w:r w:rsidRPr="006B227A">
        <w:rPr>
          <w:color w:val="000000" w:themeColor="text1"/>
          <w:sz w:val="16"/>
        </w:rPr>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w:t>
      </w:r>
      <w:r w:rsidRPr="002B5A77">
        <w:rPr>
          <w:rStyle w:val="Emphasis"/>
        </w:rPr>
        <w:t xml:space="preserve">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w:t>
      </w:r>
      <w:r w:rsidRPr="002B5A77">
        <w:rPr>
          <w:rStyle w:val="Emphasis"/>
        </w:rPr>
        <w:lastRenderedPageBreak/>
        <w:t xml:space="preserve">agency and rights </w:t>
      </w:r>
      <w:r w:rsidRPr="006B227A">
        <w:rPr>
          <w:color w:val="000000" w:themeColor="text1"/>
          <w:sz w:val="16"/>
        </w:rPr>
        <w:t xml:space="preserve">– and they have done so notwithstanding the sustained resistance that has been mounted whenever such an order has been built. </w:t>
      </w:r>
      <w:r w:rsidRPr="002B5A77">
        <w:rPr>
          <w:rStyle w:val="Emphasis"/>
        </w:rPr>
        <w:t>Settlers think all the time that they might one day end, even though (perhaps because) that ending seems unlikely ever to happen</w:t>
      </w:r>
      <w:r w:rsidRPr="006B227A">
        <w:rPr>
          <w:color w:val="000000" w:themeColor="text1"/>
          <w:sz w:val="16"/>
        </w:rPr>
        <w:t xml:space="preserve">. The significance of this paradox for settler-colonial literature is the subject of this article. Considering the problem of futurity offers a useful foil to traditional analyses of </w:t>
      </w:r>
      <w:proofErr w:type="spellStart"/>
      <w:r w:rsidRPr="006B227A">
        <w:rPr>
          <w:color w:val="000000" w:themeColor="text1"/>
          <w:sz w:val="16"/>
        </w:rPr>
        <w:t>settlercolonial</w:t>
      </w:r>
      <w:proofErr w:type="spellEnd"/>
      <w:r w:rsidRPr="006B227A">
        <w:rPr>
          <w:color w:val="000000" w:themeColor="text1"/>
          <w:sz w:val="16"/>
        </w:rPr>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w:t>
      </w:r>
      <w:r w:rsidRPr="002B5A77">
        <w:rPr>
          <w:rStyle w:val="Emphasis"/>
        </w:rPr>
        <w:t>the settler subject is by definition one who comes from elsewhere but who strives to make this place home. The settlement narrative must explain how this gap</w:t>
      </w:r>
      <w:r w:rsidRPr="006B227A">
        <w:rPr>
          <w:color w:val="000000" w:themeColor="text1"/>
          <w:sz w:val="16"/>
        </w:rPr>
        <w:t xml:space="preserve"> – which is at once geographical, historical, and existential – </w:t>
      </w:r>
      <w:r w:rsidRPr="002B5A77">
        <w:rPr>
          <w:rStyle w:val="Emphasis"/>
        </w:rPr>
        <w:t>has been bridged</w:t>
      </w:r>
      <w:r w:rsidRPr="006B227A">
        <w:rPr>
          <w:color w:val="000000" w:themeColor="text1"/>
          <w:sz w:val="16"/>
        </w:rPr>
        <w:t xml:space="preserve">, and the settler transformed from outsider into indigene. </w:t>
      </w:r>
      <w:r w:rsidRPr="002B5A77">
        <w:rPr>
          <w:rStyle w:val="Emphasis"/>
        </w:rPr>
        <w:t xml:space="preserve">Yet the transformation must remain constitutively incomplete, because the desire to be at home necessarily invokes the </w:t>
      </w:r>
      <w:proofErr w:type="spellStart"/>
      <w:r w:rsidRPr="002B5A77">
        <w:rPr>
          <w:rStyle w:val="Emphasis"/>
        </w:rPr>
        <w:t>spectre</w:t>
      </w:r>
      <w:proofErr w:type="spellEnd"/>
      <w:r w:rsidRPr="002B5A77">
        <w:rPr>
          <w:rStyle w:val="Emphasis"/>
        </w:rPr>
        <w:t xml:space="preserve"> of the native, whose existence</w:t>
      </w:r>
      <w:r w:rsidRPr="006B227A">
        <w:rPr>
          <w:color w:val="000000" w:themeColor="text1"/>
          <w:sz w:val="16"/>
        </w:rPr>
        <w:t xml:space="preserve"> (which cannot be disavowed completely because it is needed to define the settler’s difference, superiority, and hence claim to the land) </w:t>
      </w:r>
      <w:r w:rsidRPr="002B5A77">
        <w:rPr>
          <w:rStyle w:val="Emphasis"/>
        </w:rPr>
        <w:t>inscribes the settler’s foreignness,</w:t>
      </w:r>
      <w:r w:rsidRPr="006B227A">
        <w:rPr>
          <w:color w:val="000000" w:themeColor="text1"/>
          <w:sz w:val="16"/>
        </w:rPr>
        <w:t xml:space="preserve"> thus reinstating the gap between settler and colony that the narrative was meant to efface.1 </w:t>
      </w:r>
      <w:r w:rsidRPr="002B5A77">
        <w:rPr>
          <w:rStyle w:val="Emphasis"/>
        </w:rPr>
        <w:t>Settler-colonial narrative is thus shaped around its need to erase and evoke the native,</w:t>
      </w:r>
      <w:r w:rsidRPr="006B227A">
        <w:rPr>
          <w:color w:val="000000" w:themeColor="text1"/>
          <w:sz w:val="16"/>
        </w:rPr>
        <w:t xml:space="preser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w:t>
      </w:r>
      <w:r w:rsidRPr="00EA786A">
        <w:rPr>
          <w:color w:val="000000" w:themeColor="text1"/>
          <w:sz w:val="16"/>
        </w:rPr>
        <w:t>because: ‘</w:t>
      </w:r>
      <w:r w:rsidRPr="00EA786A">
        <w:rPr>
          <w:rStyle w:val="Emphasis"/>
        </w:rPr>
        <w:t>settler society’ can</w:t>
      </w:r>
      <w:r w:rsidRPr="006B227A">
        <w:rPr>
          <w:rStyle w:val="Emphasis"/>
        </w:rPr>
        <w:t xml:space="preserve"> thus be seen as </w:t>
      </w:r>
      <w:r w:rsidRPr="00400CA5">
        <w:rPr>
          <w:rStyle w:val="Emphasis"/>
          <w:highlight w:val="green"/>
        </w:rPr>
        <w:t xml:space="preserve">a fantasy where </w:t>
      </w:r>
      <w:r w:rsidRPr="00CC2656">
        <w:rPr>
          <w:rStyle w:val="Emphasis"/>
        </w:rPr>
        <w:t xml:space="preserve">a perception of </w:t>
      </w:r>
      <w:r w:rsidRPr="00400CA5">
        <w:rPr>
          <w:rStyle w:val="Emphasis"/>
          <w:highlight w:val="green"/>
        </w:rPr>
        <w:t>a constant struggle is juxtaposed against</w:t>
      </w:r>
      <w:r w:rsidRPr="006B227A">
        <w:rPr>
          <w:rStyle w:val="Emphasis"/>
        </w:rPr>
        <w:t xml:space="preserve"> an ideal of ‘</w:t>
      </w:r>
      <w:r w:rsidRPr="00400CA5">
        <w:rPr>
          <w:rStyle w:val="Emphasis"/>
          <w:highlight w:val="green"/>
        </w:rPr>
        <w:t>peace’ that can never be reached, settler projects embrace and reject violence at the same time</w:t>
      </w:r>
      <w:r w:rsidRPr="006B227A">
        <w:rPr>
          <w:rStyle w:val="Emphasis"/>
        </w:rPr>
        <w:t xml:space="preserve">. The settler colonial situation is thus a circumstance where the tension between </w:t>
      </w:r>
      <w:r w:rsidRPr="00400CA5">
        <w:rPr>
          <w:rStyle w:val="Emphasis"/>
          <w:highlight w:val="green"/>
        </w:rPr>
        <w:t>contradictory impulses produces long-lasting psychic conflicts</w:t>
      </w:r>
      <w:r w:rsidRPr="006B227A">
        <w:rPr>
          <w:rStyle w:val="Emphasis"/>
        </w:rPr>
        <w:t xml:space="preserve"> and a number of associated psychopathologies</w:t>
      </w:r>
      <w:r w:rsidRPr="006B227A">
        <w:rPr>
          <w:color w:val="000000" w:themeColor="text1"/>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RPr="002B5A77">
        <w:rPr>
          <w:rStyle w:val="Emphasis"/>
        </w:rPr>
        <w:t>when the settler gaze is turned to the future</w:t>
      </w:r>
      <w:r w:rsidRPr="006B227A">
        <w:rPr>
          <w:color w:val="000000" w:themeColor="text1"/>
          <w:sz w:val="16"/>
        </w:rPr>
        <w:t>.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w:t>
      </w:r>
      <w:r w:rsidRPr="006B227A">
        <w:rPr>
          <w:rStyle w:val="Emphasis"/>
        </w:rPr>
        <w:t xml:space="preserve">, </w:t>
      </w:r>
      <w:r w:rsidRPr="00400CA5">
        <w:rPr>
          <w:rStyle w:val="Emphasis"/>
          <w:highlight w:val="green"/>
        </w:rPr>
        <w:t>settlers</w:t>
      </w:r>
      <w:r w:rsidRPr="006B227A">
        <w:rPr>
          <w:rStyle w:val="Emphasis"/>
        </w:rPr>
        <w:t xml:space="preserve"> do often </w:t>
      </w:r>
      <w:r w:rsidRPr="00400CA5">
        <w:rPr>
          <w:rStyle w:val="Emphasis"/>
          <w:highlight w:val="green"/>
        </w:rPr>
        <w:t>try to imagine their demise</w:t>
      </w:r>
      <w:r w:rsidRPr="006B227A">
        <w:rPr>
          <w:rStyle w:val="Emphasis"/>
        </w:rPr>
        <w:t xml:space="preserve"> – but they do so </w:t>
      </w:r>
      <w:r w:rsidRPr="00400CA5">
        <w:rPr>
          <w:rStyle w:val="Emphasis"/>
          <w:highlight w:val="green"/>
        </w:rPr>
        <w:t>in a way that reasserts</w:t>
      </w:r>
      <w:r w:rsidRPr="006B227A">
        <w:rPr>
          <w:rStyle w:val="Emphasis"/>
        </w:rPr>
        <w:t xml:space="preserve"> the paradoxes of </w:t>
      </w:r>
      <w:r w:rsidRPr="00400CA5">
        <w:rPr>
          <w:rStyle w:val="Emphasis"/>
          <w:highlight w:val="green"/>
        </w:rPr>
        <w:t>their founding ideology</w:t>
      </w:r>
      <w:r w:rsidRPr="006B227A">
        <w:rPr>
          <w:rStyle w:val="Emphasis"/>
        </w:rPr>
        <w:t xml:space="preserve">, </w:t>
      </w:r>
      <w:r w:rsidRPr="00400CA5">
        <w:rPr>
          <w:rStyle w:val="Emphasis"/>
          <w:highlight w:val="green"/>
        </w:rPr>
        <w:t>with</w:t>
      </w:r>
      <w:r w:rsidRPr="006B227A">
        <w:rPr>
          <w:rStyle w:val="Emphasis"/>
        </w:rPr>
        <w:t xml:space="preserve"> the result that </w:t>
      </w:r>
      <w:r w:rsidRPr="00400CA5">
        <w:rPr>
          <w:rStyle w:val="Emphasis"/>
          <w:highlight w:val="green"/>
        </w:rPr>
        <w:t>the</w:t>
      </w:r>
      <w:r w:rsidRPr="006B227A">
        <w:rPr>
          <w:rStyle w:val="Emphasis"/>
        </w:rPr>
        <w:t xml:space="preserve"> radical </w:t>
      </w:r>
      <w:r w:rsidRPr="00400CA5">
        <w:rPr>
          <w:rStyle w:val="Emphasis"/>
          <w:highlight w:val="green"/>
        </w:rPr>
        <w:t xml:space="preserve">potentiality of decolonization </w:t>
      </w:r>
      <w:r w:rsidRPr="00BA38E5">
        <w:rPr>
          <w:rStyle w:val="Emphasis"/>
        </w:rPr>
        <w:t xml:space="preserve">is </w:t>
      </w:r>
      <w:r w:rsidRPr="00400CA5">
        <w:rPr>
          <w:rStyle w:val="Emphasis"/>
          <w:highlight w:val="green"/>
        </w:rPr>
        <w:t>undone</w:t>
      </w:r>
      <w:r w:rsidRPr="006B227A">
        <w:rPr>
          <w:rStyle w:val="Emphasis"/>
        </w:rPr>
        <w:t xml:space="preserve"> even as it is invoked. I argue that, notwithstanding Veracini’s analysis, there is a metaphor via which the end of settler colonialism unspools – </w:t>
      </w:r>
      <w:r w:rsidRPr="00400CA5">
        <w:rPr>
          <w:rStyle w:val="Emphasis"/>
          <w:highlight w:val="green"/>
        </w:rPr>
        <w:t>the quasi-biological concept of extinction</w:t>
      </w:r>
      <w:r w:rsidRPr="006B227A">
        <w:rPr>
          <w:rStyle w:val="Emphasis"/>
        </w:rPr>
        <w:t xml:space="preserve">, which, when deployed as a narrative trope, </w:t>
      </w:r>
      <w:r w:rsidRPr="00400CA5">
        <w:rPr>
          <w:rStyle w:val="Emphasis"/>
          <w:highlight w:val="green"/>
        </w:rPr>
        <w:t>offers settlers a chance to</w:t>
      </w:r>
      <w:r w:rsidRPr="006B227A">
        <w:rPr>
          <w:rStyle w:val="Emphasis"/>
        </w:rPr>
        <w:t xml:space="preserve"> consider and </w:t>
      </w:r>
      <w:r w:rsidRPr="00400CA5">
        <w:rPr>
          <w:rStyle w:val="Emphasis"/>
          <w:highlight w:val="green"/>
        </w:rPr>
        <w:t>disavow their demise</w:t>
      </w:r>
      <w:r w:rsidRPr="006B227A">
        <w:rPr>
          <w:rStyle w:val="Emphasis"/>
        </w:rPr>
        <w:t xml:space="preserve">, just as they consider </w:t>
      </w:r>
      <w:r w:rsidRPr="00400CA5">
        <w:rPr>
          <w:rStyle w:val="Emphasis"/>
          <w:highlight w:val="green"/>
        </w:rPr>
        <w:t>and</w:t>
      </w:r>
      <w:r w:rsidRPr="006B227A">
        <w:rPr>
          <w:rStyle w:val="Emphasis"/>
        </w:rPr>
        <w:t xml:space="preserve"> </w:t>
      </w:r>
      <w:r w:rsidRPr="00BA38E5">
        <w:rPr>
          <w:rStyle w:val="Emphasis"/>
        </w:rPr>
        <w:t>then</w:t>
      </w:r>
      <w:r w:rsidRPr="006B227A">
        <w:rPr>
          <w:rStyle w:val="Emphasis"/>
        </w:rPr>
        <w:t xml:space="preserve"> disavow </w:t>
      </w:r>
      <w:r w:rsidRPr="00400CA5">
        <w:rPr>
          <w:rStyle w:val="Emphasis"/>
          <w:highlight w:val="green"/>
        </w:rPr>
        <w:t>the violence of their origins</w:t>
      </w:r>
      <w:r w:rsidRPr="006B227A">
        <w:rPr>
          <w:color w:val="000000" w:themeColor="text1"/>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6B227A">
        <w:rPr>
          <w:color w:val="000000" w:themeColor="text1"/>
          <w:sz w:val="16"/>
        </w:rPr>
        <w:t>historio</w:t>
      </w:r>
      <w:proofErr w:type="spellEnd"/>
      <w:r w:rsidRPr="006B227A">
        <w:rPr>
          <w:color w:val="000000" w:themeColor="text1"/>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6B227A">
        <w:rPr>
          <w:color w:val="000000" w:themeColor="text1"/>
          <w:sz w:val="16"/>
        </w:rPr>
        <w:t>settlercolonial</w:t>
      </w:r>
      <w:proofErr w:type="spellEnd"/>
      <w:r w:rsidRPr="006B227A">
        <w:rPr>
          <w:color w:val="000000" w:themeColor="text1"/>
          <w:sz w:val="16"/>
        </w:rPr>
        <w:t xml:space="preserve">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w:t>
      </w:r>
      <w:r w:rsidRPr="002B5A77">
        <w:rPr>
          <w:rStyle w:val="Emphasis"/>
        </w:rPr>
        <w:t>settler colonialism is predicated on a ‘logic of elimination’ that tends towards the extermination – by one means or another – of indigenous peoples</w:t>
      </w:r>
      <w:r w:rsidRPr="006B227A">
        <w:rPr>
          <w:color w:val="000000" w:themeColor="text1"/>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sidRPr="006B227A">
        <w:rPr>
          <w:color w:val="000000" w:themeColor="text1"/>
          <w:sz w:val="16"/>
        </w:rPr>
        <w:lastRenderedPageBreak/>
        <w:t xml:space="preserve">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6B227A">
        <w:rPr>
          <w:color w:val="000000" w:themeColor="text1"/>
          <w:sz w:val="16"/>
        </w:rPr>
        <w:t>nineteenthcentury</w:t>
      </w:r>
      <w:proofErr w:type="spellEnd"/>
      <w:r w:rsidRPr="006B227A">
        <w:rPr>
          <w:color w:val="000000" w:themeColor="text1"/>
          <w:sz w:val="16"/>
        </w:rPr>
        <w:t xml:space="preserve">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t>
      </w:r>
      <w:r w:rsidRPr="002B5A77">
        <w:rPr>
          <w:rStyle w:val="Emphasis"/>
        </w:rPr>
        <w:t>while white male settlers have been arguably the most privileged class in history, they have routinely perceived themselves to be ‘under siege’, threatened with destruction to the extent that their very identity of ‘whiteness was born in the apprehension of imminent loss’.</w:t>
      </w:r>
      <w:r w:rsidRPr="006B227A">
        <w:rPr>
          <w:color w:val="000000" w:themeColor="text1"/>
          <w:sz w:val="16"/>
        </w:rPr>
        <w:t xml:space="preserve"> 11 </w:t>
      </w:r>
      <w:r w:rsidRPr="00400CA5">
        <w:rPr>
          <w:rStyle w:val="Emphasis"/>
          <w:highlight w:val="green"/>
        </w:rPr>
        <w:t>The fear of looming annihilation</w:t>
      </w:r>
      <w:r w:rsidRPr="002B5A77">
        <w:rPr>
          <w:rStyle w:val="Emphasis"/>
        </w:rPr>
        <w:t xml:space="preserve"> serves a powerful ideological function in settler communities, working to </w:t>
      </w:r>
      <w:r w:rsidRPr="00400CA5">
        <w:rPr>
          <w:rStyle w:val="Emphasis"/>
          <w:highlight w:val="green"/>
        </w:rPr>
        <w:t xml:space="preserve">foster racial solidarity, suppress dissent, and legitimate violence </w:t>
      </w:r>
      <w:r w:rsidRPr="00BA38E5">
        <w:rPr>
          <w:rStyle w:val="Emphasis"/>
        </w:rPr>
        <w:t>against indigenous populations</w:t>
      </w:r>
      <w:r w:rsidRPr="002B5A77">
        <w:rPr>
          <w:rStyle w:val="Emphasis"/>
        </w:rPr>
        <w:t xml:space="preserve"> who, by any objective measure, are far more at risk of extermination than the settlers who fear them.</w:t>
      </w:r>
      <w:r w:rsidRPr="006B227A">
        <w:rPr>
          <w:color w:val="000000" w:themeColor="text1"/>
          <w:sz w:val="16"/>
        </w:rPr>
        <w:t xml:space="preserve"> Ann </w:t>
      </w:r>
      <w:proofErr w:type="spellStart"/>
      <w:r w:rsidRPr="006B227A">
        <w:rPr>
          <w:color w:val="000000" w:themeColor="text1"/>
          <w:sz w:val="16"/>
        </w:rPr>
        <w:t>Curthoys</w:t>
      </w:r>
      <w:proofErr w:type="spellEnd"/>
      <w:r w:rsidRPr="006B227A">
        <w:rPr>
          <w:color w:val="000000" w:themeColor="text1"/>
          <w:sz w:val="16"/>
        </w:rPr>
        <w:t xml:space="preserve"> and Dirk Moses have traced this pattern in Australia and Israel-Palestine, respectively.12 This scholarship suggests that </w:t>
      </w:r>
      <w:r w:rsidRPr="00400CA5">
        <w:rPr>
          <w:rStyle w:val="Emphasis"/>
          <w:highlight w:val="green"/>
        </w:rPr>
        <w:t>narratives of settler</w:t>
      </w:r>
      <w:r w:rsidRPr="00BA38E5">
        <w:rPr>
          <w:rStyle w:val="Emphasis"/>
        </w:rPr>
        <w:t xml:space="preserve"> </w:t>
      </w:r>
      <w:r w:rsidRPr="00400CA5">
        <w:rPr>
          <w:rStyle w:val="Emphasis"/>
          <w:highlight w:val="green"/>
        </w:rPr>
        <w:t>extinction are acts of ideological mystification, obscuring</w:t>
      </w:r>
      <w:r w:rsidRPr="002B5A77">
        <w:rPr>
          <w:rStyle w:val="Emphasis"/>
        </w:rPr>
        <w:t xml:space="preserve"> the </w:t>
      </w:r>
      <w:r w:rsidRPr="00400CA5">
        <w:rPr>
          <w:rStyle w:val="Emphasis"/>
          <w:highlight w:val="green"/>
        </w:rPr>
        <w:t>brutal inequalities</w:t>
      </w:r>
      <w:r w:rsidRPr="002B5A77">
        <w:rPr>
          <w:rStyle w:val="Emphasis"/>
        </w:rPr>
        <w:t xml:space="preserve"> of the frontier </w:t>
      </w:r>
      <w:r w:rsidRPr="00400CA5">
        <w:rPr>
          <w:rStyle w:val="Emphasis"/>
          <w:highlight w:val="green"/>
        </w:rPr>
        <w:t>behind</w:t>
      </w:r>
      <w:r w:rsidRPr="002B5A77">
        <w:rPr>
          <w:rStyle w:val="Emphasis"/>
        </w:rPr>
        <w:t xml:space="preserve"> a mask of </w:t>
      </w:r>
      <w:r w:rsidRPr="00400CA5">
        <w:rPr>
          <w:rStyle w:val="Emphasis"/>
          <w:highlight w:val="green"/>
        </w:rPr>
        <w:t>white vulnerability</w:t>
      </w:r>
      <w:r w:rsidRPr="006B227A">
        <w:rPr>
          <w:color w:val="000000" w:themeColor="text1"/>
          <w:sz w:val="16"/>
        </w:rPr>
        <w:t xml:space="preserve"> – an argument with which I sympathize. However, this article shows how there is more to settler-colonial extinction narratives than bad faith.</w:t>
      </w:r>
      <w:r w:rsidRPr="006B227A">
        <w:rPr>
          <w:rStyle w:val="Emphasis"/>
        </w:rPr>
        <w:t xml:space="preserve"> </w:t>
      </w:r>
    </w:p>
    <w:p w14:paraId="0C47586C" w14:textId="77777777" w:rsidR="0006540F" w:rsidRDefault="0006540F" w:rsidP="0006540F">
      <w:pPr>
        <w:rPr>
          <w:b/>
          <w:iCs/>
          <w:u w:val="single"/>
        </w:rPr>
      </w:pPr>
    </w:p>
    <w:p w14:paraId="12554AC7" w14:textId="77777777" w:rsidR="0006540F" w:rsidRPr="00B55AD5" w:rsidRDefault="0006540F" w:rsidP="008B391B"/>
    <w:p w14:paraId="463B2D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ED0450F"/>
    <w:multiLevelType w:val="hybridMultilevel"/>
    <w:tmpl w:val="CA166418"/>
    <w:lvl w:ilvl="0" w:tplc="FF72864E">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39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0F"/>
    <w:rsid w:val="00065FEE"/>
    <w:rsid w:val="00066E3C"/>
    <w:rsid w:val="00072718"/>
    <w:rsid w:val="0007381E"/>
    <w:rsid w:val="00076094"/>
    <w:rsid w:val="0008785F"/>
    <w:rsid w:val="00090CBE"/>
    <w:rsid w:val="00094DEC"/>
    <w:rsid w:val="000A2D8A"/>
    <w:rsid w:val="000C544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521"/>
    <w:rsid w:val="00290C5A"/>
    <w:rsid w:val="00290C92"/>
    <w:rsid w:val="0029647A"/>
    <w:rsid w:val="00296504"/>
    <w:rsid w:val="002A5E84"/>
    <w:rsid w:val="002B5511"/>
    <w:rsid w:val="002B7ACF"/>
    <w:rsid w:val="002E0643"/>
    <w:rsid w:val="002E392E"/>
    <w:rsid w:val="002E6BBC"/>
    <w:rsid w:val="002F1BA9"/>
    <w:rsid w:val="002F6E74"/>
    <w:rsid w:val="003106B3"/>
    <w:rsid w:val="0031385D"/>
    <w:rsid w:val="00316DF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A5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C4E"/>
    <w:rsid w:val="00533F1C"/>
    <w:rsid w:val="00536D8B"/>
    <w:rsid w:val="005379C3"/>
    <w:rsid w:val="005519C2"/>
    <w:rsid w:val="005523E0"/>
    <w:rsid w:val="0055320F"/>
    <w:rsid w:val="0055699B"/>
    <w:rsid w:val="0056020A"/>
    <w:rsid w:val="00563D3D"/>
    <w:rsid w:val="005659AA"/>
    <w:rsid w:val="00567388"/>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B63"/>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27A"/>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A8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E3B"/>
    <w:rsid w:val="008536AF"/>
    <w:rsid w:val="00853D40"/>
    <w:rsid w:val="008564FC"/>
    <w:rsid w:val="00864E76"/>
    <w:rsid w:val="00872581"/>
    <w:rsid w:val="0087459D"/>
    <w:rsid w:val="0087680F"/>
    <w:rsid w:val="00876D81"/>
    <w:rsid w:val="00881D86"/>
    <w:rsid w:val="00883306"/>
    <w:rsid w:val="00884243"/>
    <w:rsid w:val="008904F9"/>
    <w:rsid w:val="00890E4C"/>
    <w:rsid w:val="00890E74"/>
    <w:rsid w:val="00892798"/>
    <w:rsid w:val="0089418F"/>
    <w:rsid w:val="00897C29"/>
    <w:rsid w:val="008A1A9C"/>
    <w:rsid w:val="008A4633"/>
    <w:rsid w:val="008B032E"/>
    <w:rsid w:val="008B391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10F"/>
    <w:rsid w:val="00B6656B"/>
    <w:rsid w:val="00B71625"/>
    <w:rsid w:val="00B75C54"/>
    <w:rsid w:val="00B84069"/>
    <w:rsid w:val="00B8710E"/>
    <w:rsid w:val="00B92A93"/>
    <w:rsid w:val="00BA17A8"/>
    <w:rsid w:val="00BA3C33"/>
    <w:rsid w:val="00BB0878"/>
    <w:rsid w:val="00BB1879"/>
    <w:rsid w:val="00BC0ABE"/>
    <w:rsid w:val="00BC30DB"/>
    <w:rsid w:val="00BC3BE8"/>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481"/>
    <w:rsid w:val="00DF31E9"/>
    <w:rsid w:val="00DF400D"/>
    <w:rsid w:val="00DF5C23"/>
    <w:rsid w:val="00E01DAD"/>
    <w:rsid w:val="00E021DC"/>
    <w:rsid w:val="00E03F91"/>
    <w:rsid w:val="00E064EF"/>
    <w:rsid w:val="00E064F2"/>
    <w:rsid w:val="00E0717B"/>
    <w:rsid w:val="00E15598"/>
    <w:rsid w:val="00E170BC"/>
    <w:rsid w:val="00E20D65"/>
    <w:rsid w:val="00E353A2"/>
    <w:rsid w:val="00E36881"/>
    <w:rsid w:val="00E42E4C"/>
    <w:rsid w:val="00E47013"/>
    <w:rsid w:val="00E541F9"/>
    <w:rsid w:val="00E57B79"/>
    <w:rsid w:val="00E63419"/>
    <w:rsid w:val="00E64496"/>
    <w:rsid w:val="00E72115"/>
    <w:rsid w:val="00E8322E"/>
    <w:rsid w:val="00E85B16"/>
    <w:rsid w:val="00E903E0"/>
    <w:rsid w:val="00EA1115"/>
    <w:rsid w:val="00EA39EB"/>
    <w:rsid w:val="00EA58CE"/>
    <w:rsid w:val="00EB33FF"/>
    <w:rsid w:val="00EB3D1A"/>
    <w:rsid w:val="00EC2759"/>
    <w:rsid w:val="00EC7106"/>
    <w:rsid w:val="00ED0120"/>
    <w:rsid w:val="00ED3BBA"/>
    <w:rsid w:val="00ED4E12"/>
    <w:rsid w:val="00ED5CF6"/>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872"/>
    <w:rsid w:val="00F34C06"/>
    <w:rsid w:val="00F4045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33546"/>
  <w14:defaultImageDpi w14:val="300"/>
  <w15:docId w15:val="{31F29281-C9DA-9047-9125-601668D3E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5A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5A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5A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5A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435A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35A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5A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5A5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35A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5A50"/>
    <w:rPr>
      <w:b/>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
    <w:basedOn w:val="DefaultParagraphFont"/>
    <w:uiPriority w:val="1"/>
    <w:qFormat/>
    <w:rsid w:val="00435A5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435A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5A50"/>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435A50"/>
    <w:rPr>
      <w:color w:val="auto"/>
      <w:u w:val="none"/>
    </w:rPr>
  </w:style>
  <w:style w:type="paragraph" w:styleId="DocumentMap">
    <w:name w:val="Document Map"/>
    <w:basedOn w:val="Normal"/>
    <w:link w:val="DocumentMapChar"/>
    <w:uiPriority w:val="99"/>
    <w:semiHidden/>
    <w:unhideWhenUsed/>
    <w:rsid w:val="00435A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5A50"/>
    <w:rPr>
      <w:rFonts w:ascii="Lucida Grande" w:hAnsi="Lucida Grande" w:cs="Lucida Grande"/>
    </w:rPr>
  </w:style>
  <w:style w:type="paragraph" w:customStyle="1" w:styleId="textbold">
    <w:name w:val="text bold"/>
    <w:basedOn w:val="Normal"/>
    <w:link w:val="Emphasis"/>
    <w:uiPriority w:val="20"/>
    <w:qFormat/>
    <w:rsid w:val="008B391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te Level 2,Small Text"/>
    <w:basedOn w:val="Heading1"/>
    <w:link w:val="Hyperlink"/>
    <w:autoRedefine/>
    <w:uiPriority w:val="99"/>
    <w:qFormat/>
    <w:rsid w:val="008B39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indentpara">
    <w:name w:val="indentpara"/>
    <w:basedOn w:val="Normal"/>
    <w:rsid w:val="008B391B"/>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8B391B"/>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DF2481"/>
  </w:style>
  <w:style w:type="paragraph" w:styleId="ListParagraph">
    <w:name w:val="List Paragraph"/>
    <w:basedOn w:val="Normal"/>
    <w:uiPriority w:val="34"/>
    <w:qFormat/>
    <w:rsid w:val="00B84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293002">
      <w:bodyDiv w:val="1"/>
      <w:marLeft w:val="0"/>
      <w:marRight w:val="0"/>
      <w:marTop w:val="0"/>
      <w:marBottom w:val="0"/>
      <w:divBdr>
        <w:top w:val="none" w:sz="0" w:space="0" w:color="auto"/>
        <w:left w:val="none" w:sz="0" w:space="0" w:color="auto"/>
        <w:bottom w:val="none" w:sz="0" w:space="0" w:color="auto"/>
        <w:right w:val="none" w:sz="0" w:space="0" w:color="auto"/>
      </w:divBdr>
      <w:divsChild>
        <w:div w:id="1787850557">
          <w:marLeft w:val="0"/>
          <w:marRight w:val="0"/>
          <w:marTop w:val="0"/>
          <w:marBottom w:val="0"/>
          <w:divBdr>
            <w:top w:val="none" w:sz="0" w:space="0" w:color="auto"/>
            <w:left w:val="none" w:sz="0" w:space="0" w:color="auto"/>
            <w:bottom w:val="none" w:sz="0" w:space="0" w:color="auto"/>
            <w:right w:val="none" w:sz="0" w:space="0" w:color="auto"/>
          </w:divBdr>
          <w:divsChild>
            <w:div w:id="1929729124">
              <w:marLeft w:val="0"/>
              <w:marRight w:val="0"/>
              <w:marTop w:val="0"/>
              <w:marBottom w:val="0"/>
              <w:divBdr>
                <w:top w:val="none" w:sz="0" w:space="0" w:color="auto"/>
                <w:left w:val="none" w:sz="0" w:space="0" w:color="auto"/>
                <w:bottom w:val="none" w:sz="0" w:space="0" w:color="auto"/>
                <w:right w:val="none" w:sz="0" w:space="0" w:color="auto"/>
              </w:divBdr>
              <w:divsChild>
                <w:div w:id="1591159660">
                  <w:marLeft w:val="0"/>
                  <w:marRight w:val="0"/>
                  <w:marTop w:val="0"/>
                  <w:marBottom w:val="0"/>
                  <w:divBdr>
                    <w:top w:val="none" w:sz="0" w:space="0" w:color="auto"/>
                    <w:left w:val="none" w:sz="0" w:space="0" w:color="auto"/>
                    <w:bottom w:val="none" w:sz="0" w:space="0" w:color="auto"/>
                    <w:right w:val="none" w:sz="0" w:space="0" w:color="auto"/>
                  </w:divBdr>
                </w:div>
              </w:divsChild>
            </w:div>
            <w:div w:id="2030713119">
              <w:marLeft w:val="0"/>
              <w:marRight w:val="0"/>
              <w:marTop w:val="0"/>
              <w:marBottom w:val="0"/>
              <w:divBdr>
                <w:top w:val="none" w:sz="0" w:space="0" w:color="auto"/>
                <w:left w:val="none" w:sz="0" w:space="0" w:color="auto"/>
                <w:bottom w:val="none" w:sz="0" w:space="0" w:color="auto"/>
                <w:right w:val="none" w:sz="0" w:space="0" w:color="auto"/>
              </w:divBdr>
              <w:divsChild>
                <w:div w:id="4815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5532">
          <w:marLeft w:val="0"/>
          <w:marRight w:val="0"/>
          <w:marTop w:val="0"/>
          <w:marBottom w:val="0"/>
          <w:divBdr>
            <w:top w:val="none" w:sz="0" w:space="0" w:color="auto"/>
            <w:left w:val="none" w:sz="0" w:space="0" w:color="auto"/>
            <w:bottom w:val="none" w:sz="0" w:space="0" w:color="auto"/>
            <w:right w:val="none" w:sz="0" w:space="0" w:color="auto"/>
          </w:divBdr>
          <w:divsChild>
            <w:div w:id="3938583">
              <w:marLeft w:val="0"/>
              <w:marRight w:val="0"/>
              <w:marTop w:val="0"/>
              <w:marBottom w:val="0"/>
              <w:divBdr>
                <w:top w:val="none" w:sz="0" w:space="0" w:color="auto"/>
                <w:left w:val="none" w:sz="0" w:space="0" w:color="auto"/>
                <w:bottom w:val="none" w:sz="0" w:space="0" w:color="auto"/>
                <w:right w:val="none" w:sz="0" w:space="0" w:color="auto"/>
              </w:divBdr>
              <w:divsChild>
                <w:div w:id="79980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6718">
      <w:bodyDiv w:val="1"/>
      <w:marLeft w:val="0"/>
      <w:marRight w:val="0"/>
      <w:marTop w:val="0"/>
      <w:marBottom w:val="0"/>
      <w:divBdr>
        <w:top w:val="none" w:sz="0" w:space="0" w:color="auto"/>
        <w:left w:val="none" w:sz="0" w:space="0" w:color="auto"/>
        <w:bottom w:val="none" w:sz="0" w:space="0" w:color="auto"/>
        <w:right w:val="none" w:sz="0" w:space="0" w:color="auto"/>
      </w:divBdr>
      <w:divsChild>
        <w:div w:id="1741975885">
          <w:marLeft w:val="0"/>
          <w:marRight w:val="0"/>
          <w:marTop w:val="0"/>
          <w:marBottom w:val="0"/>
          <w:divBdr>
            <w:top w:val="none" w:sz="0" w:space="0" w:color="auto"/>
            <w:left w:val="none" w:sz="0" w:space="0" w:color="auto"/>
            <w:bottom w:val="none" w:sz="0" w:space="0" w:color="auto"/>
            <w:right w:val="none" w:sz="0" w:space="0" w:color="auto"/>
          </w:divBdr>
          <w:divsChild>
            <w:div w:id="242955527">
              <w:marLeft w:val="0"/>
              <w:marRight w:val="0"/>
              <w:marTop w:val="0"/>
              <w:marBottom w:val="0"/>
              <w:divBdr>
                <w:top w:val="none" w:sz="0" w:space="0" w:color="auto"/>
                <w:left w:val="none" w:sz="0" w:space="0" w:color="auto"/>
                <w:bottom w:val="none" w:sz="0" w:space="0" w:color="auto"/>
                <w:right w:val="none" w:sz="0" w:space="0" w:color="auto"/>
              </w:divBdr>
              <w:divsChild>
                <w:div w:id="1363018682">
                  <w:marLeft w:val="0"/>
                  <w:marRight w:val="0"/>
                  <w:marTop w:val="0"/>
                  <w:marBottom w:val="0"/>
                  <w:divBdr>
                    <w:top w:val="none" w:sz="0" w:space="0" w:color="auto"/>
                    <w:left w:val="none" w:sz="0" w:space="0" w:color="auto"/>
                    <w:bottom w:val="none" w:sz="0" w:space="0" w:color="auto"/>
                    <w:right w:val="none" w:sz="0" w:space="0" w:color="auto"/>
                  </w:divBdr>
                  <w:divsChild>
                    <w:div w:id="94761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708983">
          <w:marLeft w:val="0"/>
          <w:marRight w:val="0"/>
          <w:marTop w:val="0"/>
          <w:marBottom w:val="0"/>
          <w:divBdr>
            <w:top w:val="none" w:sz="0" w:space="0" w:color="auto"/>
            <w:left w:val="none" w:sz="0" w:space="0" w:color="auto"/>
            <w:bottom w:val="none" w:sz="0" w:space="0" w:color="auto"/>
            <w:right w:val="none" w:sz="0" w:space="0" w:color="auto"/>
          </w:divBdr>
          <w:divsChild>
            <w:div w:id="1017151238">
              <w:marLeft w:val="0"/>
              <w:marRight w:val="0"/>
              <w:marTop w:val="0"/>
              <w:marBottom w:val="0"/>
              <w:divBdr>
                <w:top w:val="none" w:sz="0" w:space="0" w:color="auto"/>
                <w:left w:val="none" w:sz="0" w:space="0" w:color="auto"/>
                <w:bottom w:val="none" w:sz="0" w:space="0" w:color="auto"/>
                <w:right w:val="none" w:sz="0" w:space="0" w:color="auto"/>
              </w:divBdr>
              <w:divsChild>
                <w:div w:id="1185632910">
                  <w:marLeft w:val="0"/>
                  <w:marRight w:val="0"/>
                  <w:marTop w:val="0"/>
                  <w:marBottom w:val="0"/>
                  <w:divBdr>
                    <w:top w:val="none" w:sz="0" w:space="0" w:color="auto"/>
                    <w:left w:val="none" w:sz="0" w:space="0" w:color="auto"/>
                    <w:bottom w:val="none" w:sz="0" w:space="0" w:color="auto"/>
                    <w:right w:val="none" w:sz="0" w:space="0" w:color="auto"/>
                  </w:divBdr>
                  <w:divsChild>
                    <w:div w:id="1201359499">
                      <w:marLeft w:val="0"/>
                      <w:marRight w:val="0"/>
                      <w:marTop w:val="0"/>
                      <w:marBottom w:val="0"/>
                      <w:divBdr>
                        <w:top w:val="none" w:sz="0" w:space="0" w:color="auto"/>
                        <w:left w:val="none" w:sz="0" w:space="0" w:color="auto"/>
                        <w:bottom w:val="none" w:sz="0" w:space="0" w:color="auto"/>
                        <w:right w:val="none" w:sz="0" w:space="0" w:color="auto"/>
                      </w:divBdr>
                    </w:div>
                  </w:divsChild>
                </w:div>
                <w:div w:id="1921986358">
                  <w:marLeft w:val="0"/>
                  <w:marRight w:val="0"/>
                  <w:marTop w:val="0"/>
                  <w:marBottom w:val="0"/>
                  <w:divBdr>
                    <w:top w:val="none" w:sz="0" w:space="0" w:color="auto"/>
                    <w:left w:val="none" w:sz="0" w:space="0" w:color="auto"/>
                    <w:bottom w:val="none" w:sz="0" w:space="0" w:color="auto"/>
                    <w:right w:val="none" w:sz="0" w:space="0" w:color="auto"/>
                  </w:divBdr>
                  <w:divsChild>
                    <w:div w:id="92453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847888">
      <w:bodyDiv w:val="1"/>
      <w:marLeft w:val="0"/>
      <w:marRight w:val="0"/>
      <w:marTop w:val="0"/>
      <w:marBottom w:val="0"/>
      <w:divBdr>
        <w:top w:val="none" w:sz="0" w:space="0" w:color="auto"/>
        <w:left w:val="none" w:sz="0" w:space="0" w:color="auto"/>
        <w:bottom w:val="none" w:sz="0" w:space="0" w:color="auto"/>
        <w:right w:val="none" w:sz="0" w:space="0" w:color="auto"/>
      </w:divBdr>
    </w:div>
    <w:div w:id="850029928">
      <w:bodyDiv w:val="1"/>
      <w:marLeft w:val="0"/>
      <w:marRight w:val="0"/>
      <w:marTop w:val="0"/>
      <w:marBottom w:val="0"/>
      <w:divBdr>
        <w:top w:val="none" w:sz="0" w:space="0" w:color="auto"/>
        <w:left w:val="none" w:sz="0" w:space="0" w:color="auto"/>
        <w:bottom w:val="none" w:sz="0" w:space="0" w:color="auto"/>
        <w:right w:val="none" w:sz="0" w:space="0" w:color="auto"/>
      </w:divBdr>
    </w:div>
    <w:div w:id="885142714">
      <w:bodyDiv w:val="1"/>
      <w:marLeft w:val="0"/>
      <w:marRight w:val="0"/>
      <w:marTop w:val="0"/>
      <w:marBottom w:val="0"/>
      <w:divBdr>
        <w:top w:val="none" w:sz="0" w:space="0" w:color="auto"/>
        <w:left w:val="none" w:sz="0" w:space="0" w:color="auto"/>
        <w:bottom w:val="none" w:sz="0" w:space="0" w:color="auto"/>
        <w:right w:val="none" w:sz="0" w:space="0" w:color="auto"/>
      </w:divBdr>
    </w:div>
    <w:div w:id="1141922492">
      <w:bodyDiv w:val="1"/>
      <w:marLeft w:val="0"/>
      <w:marRight w:val="0"/>
      <w:marTop w:val="0"/>
      <w:marBottom w:val="0"/>
      <w:divBdr>
        <w:top w:val="none" w:sz="0" w:space="0" w:color="auto"/>
        <w:left w:val="none" w:sz="0" w:space="0" w:color="auto"/>
        <w:bottom w:val="none" w:sz="0" w:space="0" w:color="auto"/>
        <w:right w:val="none" w:sz="0" w:space="0" w:color="auto"/>
      </w:divBdr>
    </w:div>
    <w:div w:id="1318265326">
      <w:bodyDiv w:val="1"/>
      <w:marLeft w:val="0"/>
      <w:marRight w:val="0"/>
      <w:marTop w:val="0"/>
      <w:marBottom w:val="0"/>
      <w:divBdr>
        <w:top w:val="none" w:sz="0" w:space="0" w:color="auto"/>
        <w:left w:val="none" w:sz="0" w:space="0" w:color="auto"/>
        <w:bottom w:val="none" w:sz="0" w:space="0" w:color="auto"/>
        <w:right w:val="none" w:sz="0" w:space="0" w:color="auto"/>
      </w:divBdr>
      <w:divsChild>
        <w:div w:id="1309474889">
          <w:marLeft w:val="0"/>
          <w:marRight w:val="0"/>
          <w:marTop w:val="0"/>
          <w:marBottom w:val="0"/>
          <w:divBdr>
            <w:top w:val="none" w:sz="0" w:space="0" w:color="auto"/>
            <w:left w:val="none" w:sz="0" w:space="0" w:color="auto"/>
            <w:bottom w:val="none" w:sz="0" w:space="0" w:color="auto"/>
            <w:right w:val="none" w:sz="0" w:space="0" w:color="auto"/>
          </w:divBdr>
          <w:divsChild>
            <w:div w:id="1539926689">
              <w:marLeft w:val="0"/>
              <w:marRight w:val="0"/>
              <w:marTop w:val="0"/>
              <w:marBottom w:val="0"/>
              <w:divBdr>
                <w:top w:val="none" w:sz="0" w:space="0" w:color="auto"/>
                <w:left w:val="none" w:sz="0" w:space="0" w:color="auto"/>
                <w:bottom w:val="none" w:sz="0" w:space="0" w:color="auto"/>
                <w:right w:val="none" w:sz="0" w:space="0" w:color="auto"/>
              </w:divBdr>
              <w:divsChild>
                <w:div w:id="390546422">
                  <w:marLeft w:val="0"/>
                  <w:marRight w:val="0"/>
                  <w:marTop w:val="0"/>
                  <w:marBottom w:val="0"/>
                  <w:divBdr>
                    <w:top w:val="none" w:sz="0" w:space="0" w:color="auto"/>
                    <w:left w:val="none" w:sz="0" w:space="0" w:color="auto"/>
                    <w:bottom w:val="none" w:sz="0" w:space="0" w:color="auto"/>
                    <w:right w:val="none" w:sz="0" w:space="0" w:color="auto"/>
                  </w:divBdr>
                </w:div>
              </w:divsChild>
            </w:div>
            <w:div w:id="870648871">
              <w:marLeft w:val="0"/>
              <w:marRight w:val="0"/>
              <w:marTop w:val="0"/>
              <w:marBottom w:val="0"/>
              <w:divBdr>
                <w:top w:val="none" w:sz="0" w:space="0" w:color="auto"/>
                <w:left w:val="none" w:sz="0" w:space="0" w:color="auto"/>
                <w:bottom w:val="none" w:sz="0" w:space="0" w:color="auto"/>
                <w:right w:val="none" w:sz="0" w:space="0" w:color="auto"/>
              </w:divBdr>
              <w:divsChild>
                <w:div w:id="150012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13110">
          <w:marLeft w:val="0"/>
          <w:marRight w:val="0"/>
          <w:marTop w:val="0"/>
          <w:marBottom w:val="0"/>
          <w:divBdr>
            <w:top w:val="none" w:sz="0" w:space="0" w:color="auto"/>
            <w:left w:val="none" w:sz="0" w:space="0" w:color="auto"/>
            <w:bottom w:val="none" w:sz="0" w:space="0" w:color="auto"/>
            <w:right w:val="none" w:sz="0" w:space="0" w:color="auto"/>
          </w:divBdr>
          <w:divsChild>
            <w:div w:id="1928610546">
              <w:marLeft w:val="0"/>
              <w:marRight w:val="0"/>
              <w:marTop w:val="0"/>
              <w:marBottom w:val="0"/>
              <w:divBdr>
                <w:top w:val="none" w:sz="0" w:space="0" w:color="auto"/>
                <w:left w:val="none" w:sz="0" w:space="0" w:color="auto"/>
                <w:bottom w:val="none" w:sz="0" w:space="0" w:color="auto"/>
                <w:right w:val="none" w:sz="0" w:space="0" w:color="auto"/>
              </w:divBdr>
              <w:divsChild>
                <w:div w:id="5107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25375">
      <w:bodyDiv w:val="1"/>
      <w:marLeft w:val="0"/>
      <w:marRight w:val="0"/>
      <w:marTop w:val="0"/>
      <w:marBottom w:val="0"/>
      <w:divBdr>
        <w:top w:val="none" w:sz="0" w:space="0" w:color="auto"/>
        <w:left w:val="none" w:sz="0" w:space="0" w:color="auto"/>
        <w:bottom w:val="none" w:sz="0" w:space="0" w:color="auto"/>
        <w:right w:val="none" w:sz="0" w:space="0" w:color="auto"/>
      </w:divBdr>
    </w:div>
    <w:div w:id="1489521069">
      <w:bodyDiv w:val="1"/>
      <w:marLeft w:val="0"/>
      <w:marRight w:val="0"/>
      <w:marTop w:val="0"/>
      <w:marBottom w:val="0"/>
      <w:divBdr>
        <w:top w:val="none" w:sz="0" w:space="0" w:color="auto"/>
        <w:left w:val="none" w:sz="0" w:space="0" w:color="auto"/>
        <w:bottom w:val="none" w:sz="0" w:space="0" w:color="auto"/>
        <w:right w:val="none" w:sz="0" w:space="0" w:color="auto"/>
      </w:divBdr>
    </w:div>
    <w:div w:id="1706514424">
      <w:bodyDiv w:val="1"/>
      <w:marLeft w:val="0"/>
      <w:marRight w:val="0"/>
      <w:marTop w:val="0"/>
      <w:marBottom w:val="0"/>
      <w:divBdr>
        <w:top w:val="none" w:sz="0" w:space="0" w:color="auto"/>
        <w:left w:val="none" w:sz="0" w:space="0" w:color="auto"/>
        <w:bottom w:val="none" w:sz="0" w:space="0" w:color="auto"/>
        <w:right w:val="none" w:sz="0" w:space="0" w:color="auto"/>
      </w:divBdr>
    </w:div>
    <w:div w:id="1821000228">
      <w:bodyDiv w:val="1"/>
      <w:marLeft w:val="0"/>
      <w:marRight w:val="0"/>
      <w:marTop w:val="0"/>
      <w:marBottom w:val="0"/>
      <w:divBdr>
        <w:top w:val="none" w:sz="0" w:space="0" w:color="auto"/>
        <w:left w:val="none" w:sz="0" w:space="0" w:color="auto"/>
        <w:bottom w:val="none" w:sz="0" w:space="0" w:color="auto"/>
        <w:right w:val="none" w:sz="0" w:space="0" w:color="auto"/>
      </w:divBdr>
    </w:div>
    <w:div w:id="1826117640">
      <w:bodyDiv w:val="1"/>
      <w:marLeft w:val="0"/>
      <w:marRight w:val="0"/>
      <w:marTop w:val="0"/>
      <w:marBottom w:val="0"/>
      <w:divBdr>
        <w:top w:val="none" w:sz="0" w:space="0" w:color="auto"/>
        <w:left w:val="none" w:sz="0" w:space="0" w:color="auto"/>
        <w:bottom w:val="none" w:sz="0" w:space="0" w:color="auto"/>
        <w:right w:val="none" w:sz="0" w:space="0" w:color="auto"/>
      </w:divBdr>
    </w:div>
    <w:div w:id="2120755021">
      <w:bodyDiv w:val="1"/>
      <w:marLeft w:val="0"/>
      <w:marRight w:val="0"/>
      <w:marTop w:val="0"/>
      <w:marBottom w:val="0"/>
      <w:divBdr>
        <w:top w:val="none" w:sz="0" w:space="0" w:color="auto"/>
        <w:left w:val="none" w:sz="0" w:space="0" w:color="auto"/>
        <w:bottom w:val="none" w:sz="0" w:space="0" w:color="auto"/>
        <w:right w:val="none" w:sz="0" w:space="0" w:color="auto"/>
      </w:divBdr>
    </w:div>
    <w:div w:id="21434264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commentisfree/2015/aug/03/nothing-about-us-without-us-thats-why-we-need-indigenous-owned-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s.sagepub.com/doi/10.1177/1329878X1314900117" TargetMode="External"/><Relationship Id="rId17" Type="http://schemas.openxmlformats.org/officeDocument/2006/relationships/hyperlink" Target="http://globalsolidaritylocalaction.sites.haverford.edu/what-is-decolonization-why-is-it-important/" TargetMode="External"/><Relationship Id="rId2" Type="http://schemas.openxmlformats.org/officeDocument/2006/relationships/customXml" Target="../customXml/item2.xml"/><Relationship Id="rId16" Type="http://schemas.openxmlformats.org/officeDocument/2006/relationships/hyperlink" Target="https://alltogethernow.org.au/wp-content/uploads/2021/06/When-inclusion-means-exclusion-report-202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digenousx.com.au/media-and-white-blinkers." TargetMode="External"/><Relationship Id="rId5" Type="http://schemas.openxmlformats.org/officeDocument/2006/relationships/numbering" Target="numbering.xml"/><Relationship Id="rId15" Type="http://schemas.openxmlformats.org/officeDocument/2006/relationships/hyperlink" Target="https://www.stuff.co.nz/pou-tiaki/our-truth/123533668/our-truth-t-mtou-pono-stuff-introduces-new-treaty-of-waitangi-based-charter-following-historic-apology"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anifold.umn.edu/read/a-third-university-is-possible/section/ba50806d-ff18-4100-9998-784aecb42ae4" TargetMode="External"/><Relationship Id="rId14" Type="http://schemas.openxmlformats.org/officeDocument/2006/relationships/hyperlink" Target="https://apo.org.au/node/9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88</TotalTime>
  <Pages>1</Pages>
  <Words>7927</Words>
  <Characters>46140</Characters>
  <Application>Microsoft Office Word</Application>
  <DocSecurity>0</DocSecurity>
  <Lines>542</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7</cp:revision>
  <dcterms:created xsi:type="dcterms:W3CDTF">2022-03-06T19:57:00Z</dcterms:created>
  <dcterms:modified xsi:type="dcterms:W3CDTF">2022-03-10T13:10:00Z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