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682E" w14:textId="51F729A2" w:rsidR="00620C7F" w:rsidRDefault="00620C7F" w:rsidP="00620C7F">
      <w:pPr>
        <w:pStyle w:val="Heading1"/>
      </w:pPr>
      <w:r>
        <w:t>NC</w:t>
      </w:r>
    </w:p>
    <w:p w14:paraId="40B4D306" w14:textId="77B6E7CC" w:rsidR="00620C7F" w:rsidRDefault="00620C7F" w:rsidP="00620C7F">
      <w:pPr>
        <w:pStyle w:val="Heading2"/>
      </w:pPr>
      <w:r>
        <w:lastRenderedPageBreak/>
        <w:t>T-plural</w:t>
      </w:r>
    </w:p>
    <w:p w14:paraId="51F8B539" w14:textId="77777777" w:rsidR="00620C7F" w:rsidRPr="00C87E6C" w:rsidRDefault="00620C7F" w:rsidP="00620C7F">
      <w:pPr>
        <w:pStyle w:val="Heading3"/>
      </w:pPr>
      <w:proofErr w:type="spellStart"/>
      <w:r>
        <w:lastRenderedPageBreak/>
        <w:t>interp</w:t>
      </w:r>
      <w:proofErr w:type="spellEnd"/>
      <w:r>
        <w:t xml:space="preserve"> - </w:t>
      </w:r>
      <w:proofErr w:type="spellStart"/>
      <w:r>
        <w:t>ipr</w:t>
      </w:r>
      <w:proofErr w:type="spellEnd"/>
    </w:p>
    <w:p w14:paraId="4D4D265F" w14:textId="77777777" w:rsidR="00620C7F" w:rsidRDefault="00620C7F" w:rsidP="00620C7F">
      <w:pPr>
        <w:pStyle w:val="Heading4"/>
      </w:pPr>
      <w:proofErr w:type="spellStart"/>
      <w:r w:rsidRPr="00071401">
        <w:t>Interp</w:t>
      </w:r>
      <w:proofErr w:type="spellEnd"/>
      <w:r w:rsidRPr="00071401">
        <w:t xml:space="preserve"> – The affirmative must defend member nations reduce more th</w:t>
      </w:r>
      <w:r>
        <w:t>a</w:t>
      </w:r>
      <w:r w:rsidRPr="00071401">
        <w:t>n one Intellectual Property Protections for medicine</w:t>
      </w:r>
    </w:p>
    <w:p w14:paraId="23C5DC1C" w14:textId="77777777" w:rsidR="00620C7F" w:rsidRPr="00B4621C" w:rsidRDefault="00620C7F" w:rsidP="00620C7F">
      <w:proofErr w:type="spellStart"/>
      <w:r w:rsidRPr="00C87E6C">
        <w:rPr>
          <w:rStyle w:val="Style13ptBold"/>
        </w:rPr>
        <w:t>WordHippo</w:t>
      </w:r>
      <w:proofErr w:type="spellEnd"/>
      <w:r w:rsidRPr="00C87E6C">
        <w:rPr>
          <w:rStyle w:val="Style13ptBold"/>
        </w:rPr>
        <w:t>, no date</w:t>
      </w:r>
      <w:r>
        <w:t xml:space="preserve"> </w:t>
      </w:r>
      <w:r w:rsidRPr="00B4621C">
        <w:t xml:space="preserve">"What does protections </w:t>
      </w:r>
      <w:proofErr w:type="gramStart"/>
      <w:r w:rsidRPr="00B4621C">
        <w:t>mean?,</w:t>
      </w:r>
      <w:proofErr w:type="gramEnd"/>
      <w:r w:rsidRPr="00B4621C">
        <w:t>" https://www.wordhippo.com/what-is/the-meaning-of-the-word/protections.html</w:t>
      </w:r>
    </w:p>
    <w:p w14:paraId="7899F097" w14:textId="77777777" w:rsidR="00620C7F" w:rsidRPr="00B4621C" w:rsidRDefault="00620C7F" w:rsidP="00620C7F">
      <w:pPr>
        <w:rPr>
          <w:u w:val="single"/>
        </w:rPr>
      </w:pPr>
      <w:r w:rsidRPr="00B4621C">
        <w:rPr>
          <w:highlight w:val="cyan"/>
          <w:u w:val="single"/>
        </w:rPr>
        <w:t>What does protections mean?</w:t>
      </w:r>
    </w:p>
    <w:p w14:paraId="44AFC991" w14:textId="77777777" w:rsidR="00620C7F" w:rsidRDefault="00620C7F" w:rsidP="00620C7F">
      <w:r>
        <w:t>Looking for the meaning or definition of the word protections? Here's what it means.</w:t>
      </w:r>
    </w:p>
    <w:p w14:paraId="26D48B21" w14:textId="77777777" w:rsidR="00620C7F" w:rsidRDefault="00620C7F" w:rsidP="00620C7F">
      <w:r>
        <w:t>Noun</w:t>
      </w:r>
    </w:p>
    <w:p w14:paraId="42EA4775" w14:textId="77777777" w:rsidR="00620C7F" w:rsidRPr="00B4621C" w:rsidRDefault="00620C7F" w:rsidP="00620C7F">
      <w:pPr>
        <w:rPr>
          <w:u w:val="single"/>
        </w:rPr>
      </w:pPr>
      <w:r w:rsidRPr="00B4621C">
        <w:rPr>
          <w:highlight w:val="cyan"/>
          <w:u w:val="single"/>
        </w:rPr>
        <w:t>plural of protection</w:t>
      </w:r>
    </w:p>
    <w:p w14:paraId="7B9765F0" w14:textId="77777777" w:rsidR="00620C7F" w:rsidRPr="00C87E6C" w:rsidRDefault="00620C7F" w:rsidP="00620C7F">
      <w:pPr>
        <w:pStyle w:val="Heading3"/>
        <w:rPr>
          <w:rStyle w:val="StyleUnderline"/>
          <w:sz w:val="32"/>
        </w:rPr>
      </w:pPr>
      <w:r>
        <w:lastRenderedPageBreak/>
        <w:t>Violation n standards</w:t>
      </w:r>
    </w:p>
    <w:p w14:paraId="7A2EA564" w14:textId="77777777" w:rsidR="00620C7F" w:rsidRPr="00620C7F" w:rsidRDefault="00620C7F" w:rsidP="00620C7F">
      <w:pPr>
        <w:pStyle w:val="Heading4"/>
        <w:rPr>
          <w:rStyle w:val="Style13ptBold"/>
          <w:b/>
        </w:rPr>
      </w:pPr>
      <w:r w:rsidRPr="00620C7F">
        <w:rPr>
          <w:rStyle w:val="Style13ptBold"/>
          <w:b/>
        </w:rPr>
        <w:t>Plural’s more than one</w:t>
      </w:r>
    </w:p>
    <w:p w14:paraId="6A8BDB3F" w14:textId="77777777" w:rsidR="00620C7F" w:rsidRPr="001E3FB3" w:rsidRDefault="00620C7F" w:rsidP="00620C7F">
      <w:r w:rsidRPr="001E3FB3">
        <w:rPr>
          <w:rStyle w:val="Style13ptBold"/>
        </w:rPr>
        <w:t>Merriam Webster</w:t>
      </w:r>
      <w:r w:rsidRPr="001E3FB3">
        <w:t xml:space="preserve"> https://www.merriam-webster.com/dictionary/plural </w:t>
      </w:r>
    </w:p>
    <w:p w14:paraId="1266EBB6" w14:textId="6CBF2D36" w:rsidR="00620C7F" w:rsidRDefault="00620C7F" w:rsidP="00620C7F">
      <w:pPr>
        <w:rPr>
          <w:rStyle w:val="StyleUnderline"/>
        </w:rPr>
      </w:pPr>
      <w:r>
        <w:rPr>
          <w:rStyle w:val="StyleUnderline"/>
        </w:rPr>
        <w:t xml:space="preserve">relating to, consisting of, or containing </w:t>
      </w:r>
      <w:r w:rsidRPr="001A56F4">
        <w:rPr>
          <w:rStyle w:val="StyleUnderline"/>
          <w:highlight w:val="green"/>
        </w:rPr>
        <w:t>more than one</w:t>
      </w:r>
      <w:r>
        <w:rPr>
          <w:rStyle w:val="StyleUnderline"/>
        </w:rPr>
        <w:t xml:space="preserve"> or more than one kind or class</w:t>
      </w:r>
    </w:p>
    <w:p w14:paraId="7D365026" w14:textId="16D3BD85" w:rsidR="00DC4545" w:rsidRPr="00184E56" w:rsidRDefault="00DC4545" w:rsidP="00184E56">
      <w:pPr>
        <w:pStyle w:val="Heading4"/>
        <w:rPr>
          <w:rStyle w:val="StyleUnderline"/>
          <w:sz w:val="26"/>
          <w:u w:val="none"/>
        </w:rPr>
      </w:pPr>
      <w:proofErr w:type="spellStart"/>
      <w:r w:rsidRPr="00184E56">
        <w:rPr>
          <w:rStyle w:val="StyleUnderline"/>
          <w:sz w:val="26"/>
          <w:u w:val="none"/>
        </w:rPr>
        <w:t>Vio</w:t>
      </w:r>
      <w:proofErr w:type="spellEnd"/>
      <w:r w:rsidRPr="00184E56">
        <w:rPr>
          <w:rStyle w:val="StyleUnderline"/>
          <w:sz w:val="26"/>
          <w:u w:val="none"/>
        </w:rPr>
        <w:t xml:space="preserve">: only reduce only 1 protection of </w:t>
      </w:r>
      <w:proofErr w:type="spellStart"/>
      <w:r w:rsidRPr="00184E56">
        <w:rPr>
          <w:rStyle w:val="StyleUnderline"/>
          <w:sz w:val="26"/>
          <w:u w:val="none"/>
        </w:rPr>
        <w:t>ip</w:t>
      </w:r>
      <w:proofErr w:type="spellEnd"/>
      <w:r w:rsidRPr="00184E56">
        <w:rPr>
          <w:rStyle w:val="StyleUnderline"/>
          <w:sz w:val="26"/>
          <w:u w:val="none"/>
        </w:rPr>
        <w:t>, the one and done</w:t>
      </w:r>
    </w:p>
    <w:p w14:paraId="116D6735" w14:textId="44B86F22" w:rsidR="00620C7F" w:rsidRPr="00184E56" w:rsidRDefault="00620C7F" w:rsidP="00184E56">
      <w:pPr>
        <w:pStyle w:val="Heading4"/>
      </w:pPr>
      <w:r w:rsidRPr="00184E56">
        <w:t xml:space="preserve">Vote neg for limits – </w:t>
      </w:r>
      <w:proofErr w:type="spellStart"/>
      <w:r w:rsidRPr="00184E56">
        <w:t>aff</w:t>
      </w:r>
      <w:proofErr w:type="spellEnd"/>
      <w:r w:rsidRPr="00184E56">
        <w:t xml:space="preserve"> can pick anything from hundreds of </w:t>
      </w:r>
      <w:proofErr w:type="spellStart"/>
      <w:r w:rsidRPr="00184E56">
        <w:t>ipp</w:t>
      </w:r>
      <w:proofErr w:type="spellEnd"/>
      <w:r w:rsidRPr="00184E56">
        <w:t xml:space="preserve"> protections and there’s no universal DA since each X has different parameters– it explodes neg prep and leads to random state of the week </w:t>
      </w:r>
      <w:proofErr w:type="spellStart"/>
      <w:r w:rsidRPr="00184E56">
        <w:t>affs</w:t>
      </w:r>
      <w:proofErr w:type="spellEnd"/>
      <w:r w:rsidRPr="00184E56">
        <w:t xml:space="preserve"> which makes cutting stable neg links impossible – limits key to reciprocal engagement since they create </w:t>
      </w:r>
      <w:proofErr w:type="gramStart"/>
      <w:r w:rsidRPr="00184E56">
        <w:t>a</w:t>
      </w:r>
      <w:proofErr w:type="gramEnd"/>
      <w:r w:rsidRPr="00184E56">
        <w:t xml:space="preserve"> imbalanced </w:t>
      </w:r>
      <w:proofErr w:type="spellStart"/>
      <w:r w:rsidRPr="00184E56">
        <w:t>caselist</w:t>
      </w:r>
      <w:proofErr w:type="spellEnd"/>
      <w:r w:rsidRPr="00184E56">
        <w:t xml:space="preserve"> for neg prep – kills small school and new debaters access to debate because prep disparities lock us out of rounds</w:t>
      </w:r>
    </w:p>
    <w:p w14:paraId="2D1D17AC" w14:textId="77777777" w:rsidR="00620C7F" w:rsidRPr="00184E56" w:rsidRDefault="00620C7F" w:rsidP="00184E56">
      <w:pPr>
        <w:pStyle w:val="Heading4"/>
      </w:pPr>
      <w:r w:rsidRPr="00184E56">
        <w:t xml:space="preserve">And it’s not what they do it’s what they justify, if they win that their </w:t>
      </w:r>
      <w:proofErr w:type="spellStart"/>
      <w:r w:rsidRPr="00184E56">
        <w:t>aff</w:t>
      </w:r>
      <w:proofErr w:type="spellEnd"/>
      <w:r w:rsidRPr="00184E56">
        <w:t xml:space="preserve"> is good, it justifies any </w:t>
      </w:r>
      <w:proofErr w:type="spellStart"/>
      <w:r w:rsidRPr="00184E56">
        <w:t>aff</w:t>
      </w:r>
      <w:proofErr w:type="spellEnd"/>
      <w:r w:rsidRPr="00184E56">
        <w:t xml:space="preserve"> that’s consistent with only some words of the resolution turns CI offense.</w:t>
      </w:r>
    </w:p>
    <w:p w14:paraId="5021FCE5" w14:textId="42F8971D" w:rsidR="00620C7F" w:rsidRPr="00184E56" w:rsidRDefault="00620C7F" w:rsidP="00184E56">
      <w:pPr>
        <w:pStyle w:val="Heading4"/>
        <w:rPr>
          <w:rStyle w:val="StyleUnderline"/>
          <w:sz w:val="26"/>
          <w:u w:val="none"/>
        </w:rPr>
      </w:pPr>
      <w:r w:rsidRPr="00184E56">
        <w:rPr>
          <w:rStyle w:val="StyleUnderline"/>
          <w:sz w:val="26"/>
          <w:u w:val="none"/>
        </w:rPr>
        <w:t xml:space="preserve">TVA Read the </w:t>
      </w:r>
      <w:proofErr w:type="spellStart"/>
      <w:r w:rsidRPr="00184E56">
        <w:rPr>
          <w:rStyle w:val="StyleUnderline"/>
          <w:sz w:val="26"/>
          <w:u w:val="none"/>
        </w:rPr>
        <w:t>aff</w:t>
      </w:r>
      <w:proofErr w:type="spellEnd"/>
      <w:r w:rsidRPr="00184E56">
        <w:rPr>
          <w:rStyle w:val="StyleUnderline"/>
          <w:sz w:val="26"/>
          <w:u w:val="none"/>
        </w:rPr>
        <w:t xml:space="preserve"> defending more </w:t>
      </w:r>
      <w:proofErr w:type="spellStart"/>
      <w:r w:rsidRPr="00184E56">
        <w:rPr>
          <w:rStyle w:val="StyleUnderline"/>
          <w:sz w:val="26"/>
          <w:u w:val="none"/>
        </w:rPr>
        <w:t>then</w:t>
      </w:r>
      <w:proofErr w:type="spellEnd"/>
      <w:r w:rsidRPr="00184E56">
        <w:rPr>
          <w:rStyle w:val="StyleUnderline"/>
          <w:sz w:val="26"/>
          <w:u w:val="none"/>
        </w:rPr>
        <w:t xml:space="preserve"> one </w:t>
      </w:r>
      <w:proofErr w:type="spellStart"/>
      <w:r w:rsidRPr="00184E56">
        <w:rPr>
          <w:rStyle w:val="StyleUnderline"/>
          <w:sz w:val="26"/>
          <w:u w:val="none"/>
        </w:rPr>
        <w:t>ipp</w:t>
      </w:r>
      <w:proofErr w:type="spellEnd"/>
      <w:r w:rsidRPr="00184E56">
        <w:rPr>
          <w:rStyle w:val="StyleUnderline"/>
          <w:sz w:val="26"/>
          <w:u w:val="none"/>
        </w:rPr>
        <w:t xml:space="preserve"> protection</w:t>
      </w:r>
    </w:p>
    <w:p w14:paraId="42EFCE1C" w14:textId="77777777" w:rsidR="00620C7F" w:rsidRPr="00184E56" w:rsidRDefault="00620C7F" w:rsidP="00184E56">
      <w:pPr>
        <w:pStyle w:val="Heading4"/>
      </w:pPr>
      <w:r w:rsidRPr="00184E56">
        <w:rPr>
          <w:highlight w:val="green"/>
        </w:rPr>
        <w:t xml:space="preserve">TVA: Read the </w:t>
      </w:r>
      <w:proofErr w:type="spellStart"/>
      <w:r w:rsidRPr="00184E56">
        <w:rPr>
          <w:highlight w:val="green"/>
        </w:rPr>
        <w:t>aff</w:t>
      </w:r>
      <w:proofErr w:type="spellEnd"/>
      <w:r w:rsidRPr="00184E56">
        <w:rPr>
          <w:highlight w:val="green"/>
        </w:rPr>
        <w:t xml:space="preserve"> defending the whole resolution.</w:t>
      </w:r>
    </w:p>
    <w:p w14:paraId="04C2D7C0" w14:textId="77777777" w:rsidR="00620C7F" w:rsidRPr="00184E56" w:rsidRDefault="00620C7F" w:rsidP="00184E56">
      <w:pPr>
        <w:pStyle w:val="Heading4"/>
      </w:pPr>
      <w:r w:rsidRPr="00184E56">
        <w:t>Vote on accessibility it acts as a prior question to having a debate space and thus debate rounds in the first place.</w:t>
      </w:r>
    </w:p>
    <w:p w14:paraId="41DB907B" w14:textId="77777777" w:rsidR="00620C7F" w:rsidRPr="00184E56" w:rsidRDefault="00620C7F" w:rsidP="00184E56">
      <w:pPr>
        <w:pStyle w:val="Heading4"/>
      </w:pPr>
      <w:r w:rsidRPr="00184E56">
        <w:t>Drop the debater because per advocacy is per argument</w:t>
      </w:r>
    </w:p>
    <w:p w14:paraId="1F428D36" w14:textId="77777777" w:rsidR="00620C7F" w:rsidRPr="00184E56" w:rsidRDefault="00620C7F" w:rsidP="00184E56">
      <w:pPr>
        <w:pStyle w:val="Heading4"/>
      </w:pPr>
      <w:r w:rsidRPr="00184E56">
        <w:t xml:space="preserve">Competing interpretations because reasonability A. encourages judge intervention and B. justifies a race to the bottom. C. reasonability collapses to C/Is since we debate about which </w:t>
      </w:r>
      <w:proofErr w:type="spellStart"/>
      <w:r w:rsidRPr="00184E56">
        <w:t>interp</w:t>
      </w:r>
      <w:proofErr w:type="spellEnd"/>
      <w:r w:rsidRPr="00184E56">
        <w:t xml:space="preserve"> is most reasonable. D. it’s more educational to have clashing </w:t>
      </w:r>
      <w:proofErr w:type="spellStart"/>
      <w:r w:rsidRPr="00184E56">
        <w:t>interps</w:t>
      </w:r>
      <w:proofErr w:type="spellEnd"/>
      <w:r w:rsidRPr="00184E56">
        <w:t>. E. There’s no brightline</w:t>
      </w:r>
    </w:p>
    <w:p w14:paraId="573011E1" w14:textId="77777777" w:rsidR="00620C7F" w:rsidRPr="00184E56" w:rsidRDefault="00620C7F" w:rsidP="00184E56">
      <w:pPr>
        <w:pStyle w:val="Heading4"/>
      </w:pPr>
      <w:r w:rsidRPr="00184E56">
        <w:t xml:space="preserve">No RVI – A) They’ve obviously </w:t>
      </w:r>
      <w:proofErr w:type="spellStart"/>
      <w:r w:rsidRPr="00184E56">
        <w:t>frontlined</w:t>
      </w:r>
      <w:proofErr w:type="spellEnd"/>
      <w:r w:rsidRPr="00184E56">
        <w:t xml:space="preserve"> our </w:t>
      </w:r>
      <w:proofErr w:type="spellStart"/>
      <w:r w:rsidRPr="00184E56">
        <w:t>interp</w:t>
      </w:r>
      <w:proofErr w:type="spellEnd"/>
      <w:r w:rsidRPr="00184E56">
        <w:t xml:space="preserve"> B) Deters us from checking abuse C) Logically incoherent – it’s your burden </w:t>
      </w:r>
    </w:p>
    <w:p w14:paraId="6A2AC698" w14:textId="77777777" w:rsidR="00620C7F" w:rsidRPr="00184E56" w:rsidRDefault="00620C7F" w:rsidP="00184E56">
      <w:pPr>
        <w:pStyle w:val="Heading4"/>
      </w:pPr>
      <w:r w:rsidRPr="00184E56">
        <w:t xml:space="preserve">D) And to avoid epistemological flight from their reps if they go for </w:t>
      </w:r>
      <w:proofErr w:type="gramStart"/>
      <w:r w:rsidRPr="00184E56">
        <w:t>an</w:t>
      </w:r>
      <w:proofErr w:type="gramEnd"/>
      <w:r w:rsidRPr="00184E56">
        <w:t xml:space="preserve"> </w:t>
      </w:r>
      <w:proofErr w:type="spellStart"/>
      <w:r w:rsidRPr="00184E56">
        <w:t>rvi</w:t>
      </w:r>
      <w:proofErr w:type="spellEnd"/>
      <w:r w:rsidRPr="00184E56">
        <w:t xml:space="preserve"> you grant me K comes before T so they can’t use it to sever out of their futurist advocacy, they should have to justify their scholarship E) this also justifies 1AR shells aren’t Drop the debater.</w:t>
      </w:r>
    </w:p>
    <w:p w14:paraId="3EE77ED0" w14:textId="41A17615" w:rsidR="00620C7F" w:rsidRPr="00184E56" w:rsidRDefault="00620C7F" w:rsidP="00184E56">
      <w:pPr>
        <w:pStyle w:val="Heading4"/>
      </w:pPr>
      <w:r w:rsidRPr="00184E56">
        <w:t xml:space="preserve">1. 1AR theory isn’t drop the debater no RVIS otherwise the </w:t>
      </w:r>
      <w:proofErr w:type="spellStart"/>
      <w:r w:rsidRPr="00184E56">
        <w:t>interp</w:t>
      </w:r>
      <w:proofErr w:type="spellEnd"/>
      <w:r w:rsidRPr="00184E56">
        <w:t xml:space="preserve"> could be negative debater must concede the round, which kills debate. 2. they shouldn’t get drop the debater shells without </w:t>
      </w:r>
      <w:proofErr w:type="spellStart"/>
      <w:r w:rsidRPr="00184E56">
        <w:t>nc</w:t>
      </w:r>
      <w:proofErr w:type="spellEnd"/>
      <w:r w:rsidRPr="00184E56">
        <w:t xml:space="preserve"> </w:t>
      </w:r>
      <w:proofErr w:type="spellStart"/>
      <w:r w:rsidRPr="00184E56">
        <w:t>initating</w:t>
      </w:r>
      <w:proofErr w:type="spellEnd"/>
      <w:r w:rsidRPr="00184E56">
        <w:t xml:space="preserve"> theory because it kills substance debate</w:t>
      </w:r>
    </w:p>
    <w:p w14:paraId="78B41C2C" w14:textId="5A6B890B" w:rsidR="00620C7F" w:rsidRDefault="00620C7F" w:rsidP="00620C7F">
      <w:pPr>
        <w:pStyle w:val="Heading2"/>
      </w:pPr>
      <w:r>
        <w:lastRenderedPageBreak/>
        <w:t xml:space="preserve">K </w:t>
      </w:r>
    </w:p>
    <w:p w14:paraId="30A9B0D2" w14:textId="77777777" w:rsidR="00620C7F" w:rsidRPr="00195628" w:rsidRDefault="00620C7F" w:rsidP="00620C7F">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78F128A6" w14:textId="77777777" w:rsidR="00620C7F" w:rsidRPr="00195628" w:rsidRDefault="00620C7F" w:rsidP="00620C7F">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56B169A1" w14:textId="1F1CBEC8" w:rsidR="00620C7F" w:rsidRDefault="00620C7F" w:rsidP="00620C7F">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2CCFBCD9" w14:textId="0FB6C013" w:rsidR="00620C7F" w:rsidRDefault="00620C7F" w:rsidP="00620C7F">
      <w:pPr>
        <w:pStyle w:val="Heading3"/>
      </w:pPr>
      <w:r>
        <w:lastRenderedPageBreak/>
        <w:t>LINKS</w:t>
      </w:r>
    </w:p>
    <w:p w14:paraId="5B1D2C79" w14:textId="77777777" w:rsidR="00620C7F" w:rsidRDefault="00620C7F" w:rsidP="00620C7F">
      <w:pPr>
        <w:pStyle w:val="Heading3"/>
      </w:pPr>
      <w:r>
        <w:lastRenderedPageBreak/>
        <w:t>Knowledge isn’t owned</w:t>
      </w:r>
    </w:p>
    <w:p w14:paraId="09400FED" w14:textId="77777777" w:rsidR="00620C7F" w:rsidRPr="006F26C3" w:rsidRDefault="00620C7F" w:rsidP="00620C7F">
      <w:pPr>
        <w:pStyle w:val="Heading4"/>
      </w:pPr>
      <w:r>
        <w:t xml:space="preserve">The </w:t>
      </w:r>
      <w:proofErr w:type="spellStart"/>
      <w:r>
        <w:t>aff’s</w:t>
      </w:r>
      <w:proofErr w:type="spellEnd"/>
      <w:r>
        <w:t xml:space="preserve"> understanding of knowledge is epistemologically flawed – it is not a commodity to garner profit but rather gifts from the earth. The </w:t>
      </w:r>
      <w:proofErr w:type="spellStart"/>
      <w:r>
        <w:t>aff’s</w:t>
      </w:r>
      <w:proofErr w:type="spellEnd"/>
      <w:r>
        <w:t xml:space="preserve"> commodification of knowledge is synonymous with the stealing of indigenous lands. The plan is merely a reformist gesture that fails to understand native relations to medicine and knowledge and makes indigenous futurity an impossibility. </w:t>
      </w:r>
    </w:p>
    <w:p w14:paraId="79AFB523" w14:textId="77777777" w:rsidR="00620C7F" w:rsidRPr="00FB17DB" w:rsidRDefault="00620C7F" w:rsidP="00620C7F">
      <w:pPr>
        <w:rPr>
          <w:rStyle w:val="Style13ptBold"/>
        </w:rPr>
      </w:pPr>
      <w:r>
        <w:rPr>
          <w:rStyle w:val="Style13ptBold"/>
        </w:rPr>
        <w:t>Whitt 98</w:t>
      </w:r>
    </w:p>
    <w:p w14:paraId="64C4E8D6" w14:textId="77777777" w:rsidR="00620C7F" w:rsidRPr="004E5121" w:rsidRDefault="00620C7F" w:rsidP="00620C7F">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40F39162" w14:textId="401274EF" w:rsidR="00620C7F" w:rsidRPr="00620C7F" w:rsidRDefault="00620C7F" w:rsidP="00620C7F">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w:t>
      </w:r>
      <w:r w:rsidRPr="004E5121">
        <w:rPr>
          <w:u w:val="single"/>
        </w:rPr>
        <w:lastRenderedPageBreak/>
        <w:t xml:space="preserve">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I</w:t>
      </w:r>
      <w:r w:rsidRPr="00620796">
        <w:rPr>
          <w:highlight w:val="cyan"/>
          <w:u w:val="single"/>
        </w:rPr>
        <w:t>ntellectual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the origin of 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xml:space="preserve">, and the nature and quality of the relations with the nonhuman world which are constitutive of that </w:t>
      </w:r>
      <w:r w:rsidRPr="00FB17DB">
        <w:rPr>
          <w:u w:val="single"/>
        </w:rPr>
        <w:lastRenderedPageBreak/>
        <w:t>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6688F361" w14:textId="77777777" w:rsidR="00620C7F" w:rsidRDefault="00620C7F" w:rsidP="00620C7F">
      <w:pPr>
        <w:pStyle w:val="Heading3"/>
      </w:pPr>
      <w:r>
        <w:lastRenderedPageBreak/>
        <w:t xml:space="preserve">Innovation </w:t>
      </w:r>
      <w:proofErr w:type="gramStart"/>
      <w:r>
        <w:t>are</w:t>
      </w:r>
      <w:proofErr w:type="gramEnd"/>
      <w:r>
        <w:t xml:space="preserve"> for settlers</w:t>
      </w:r>
    </w:p>
    <w:p w14:paraId="2EEDB132" w14:textId="77777777" w:rsidR="00620C7F" w:rsidRPr="001A5323" w:rsidRDefault="00620C7F" w:rsidP="00620C7F">
      <w:pPr>
        <w:pStyle w:val="Heading4"/>
      </w:pPr>
      <w:r>
        <w:t xml:space="preserve">The </w:t>
      </w:r>
      <w:proofErr w:type="spellStart"/>
      <w:r>
        <w:t>aff’s</w:t>
      </w:r>
      <w:proofErr w:type="spellEnd"/>
      <w:r>
        <w:t xml:space="preserve"> spur of innovation incentives settlers to steal indigenous medicine and patent it. The TRIPS agreement ensures that biological resources are commodities only available to settler states, this kills native ontological positions towards life and perpetuates settler colonialism</w:t>
      </w:r>
    </w:p>
    <w:p w14:paraId="6FB3A6A6" w14:textId="77777777" w:rsidR="00620C7F" w:rsidRPr="00A459AD" w:rsidRDefault="00620C7F" w:rsidP="00620C7F">
      <w:pPr>
        <w:rPr>
          <w:rStyle w:val="Style13ptBold"/>
        </w:rPr>
      </w:pPr>
      <w:r>
        <w:rPr>
          <w:rStyle w:val="Style13ptBold"/>
        </w:rPr>
        <w:t>McGonigle 16</w:t>
      </w:r>
    </w:p>
    <w:p w14:paraId="5A0D2630" w14:textId="77777777" w:rsidR="00620C7F" w:rsidRDefault="00620C7F" w:rsidP="00620C7F">
      <w:r>
        <w:t xml:space="preserve">Ian Vincent McGonigle, </w:t>
      </w:r>
      <w:proofErr w:type="gramStart"/>
      <w:r>
        <w:t>Patenting</w:t>
      </w:r>
      <w:proofErr w:type="gramEnd"/>
      <w:r>
        <w:t xml:space="preserve"> nature or protecting culture? Ethnopharmacology and indigenous intellectual property rights, Journal of Law and the Biosciences, Volume 3, Issue 1, April 2016, Pages 217–226, https://doi.org/10.1093/jlb/lsw003 </w:t>
      </w:r>
    </w:p>
    <w:p w14:paraId="20C9E25D" w14:textId="70F342C9" w:rsidR="00620C7F" w:rsidRDefault="00620C7F" w:rsidP="00620C7F">
      <w:pPr>
        <w:rPr>
          <w:u w:val="single"/>
        </w:rPr>
      </w:pPr>
      <w:r w:rsidRPr="00A459AD">
        <w:rPr>
          <w:sz w:val="14"/>
        </w:rPr>
        <w:t xml:space="preserve">According to the World Health Organization’s estimate, approximately 85 per cent of the people on the planet still depend on plants for their primary health care.33 Moreover, </w:t>
      </w:r>
      <w:r w:rsidRPr="0060635B">
        <w:rPr>
          <w:highlight w:val="cyan"/>
          <w:u w:val="single"/>
        </w:rPr>
        <w:t>the traditional medicine industry</w:t>
      </w:r>
      <w:r w:rsidRPr="00A459AD">
        <w:rPr>
          <w:u w:val="single"/>
        </w:rPr>
        <w:t xml:space="preserve"> that markets natural products and over-the counter herbal remedies in developed countries </w:t>
      </w:r>
      <w:r w:rsidRPr="0060635B">
        <w:rPr>
          <w:highlight w:val="cyan"/>
          <w:u w:val="single"/>
        </w:rPr>
        <w:t xml:space="preserve">is an attractive market sector for pharmaceutical companies and </w:t>
      </w:r>
      <w:r w:rsidRPr="0060635B">
        <w:rPr>
          <w:u w:val="single"/>
        </w:rPr>
        <w:t>savvy</w:t>
      </w:r>
      <w:r w:rsidRPr="0060635B">
        <w:rPr>
          <w:highlight w:val="cyan"/>
          <w:u w:val="single"/>
        </w:rPr>
        <w:t xml:space="preserve"> entrepreneurs</w:t>
      </w:r>
      <w:r w:rsidRPr="00A459AD">
        <w:rPr>
          <w:sz w:val="14"/>
        </w:rPr>
        <w:t xml:space="preserve">. </w:t>
      </w:r>
      <w:r w:rsidRPr="00A459AD">
        <w:rPr>
          <w:u w:val="single"/>
        </w:rPr>
        <w:t>It is now estimated to be worth over</w:t>
      </w:r>
      <w:r>
        <w:rPr>
          <w:u w:val="single"/>
        </w:rPr>
        <w:t xml:space="preserve"> </w:t>
      </w:r>
      <w:r w:rsidRPr="00A459AD">
        <w:rPr>
          <w:u w:val="single"/>
        </w:rPr>
        <w:t>$60 billion.</w:t>
      </w:r>
      <w:r w:rsidRPr="00A459AD">
        <w:rPr>
          <w:sz w:val="14"/>
        </w:rPr>
        <w:t>34 But</w:t>
      </w:r>
      <w:r>
        <w:rPr>
          <w:sz w:val="14"/>
        </w:rPr>
        <w:t xml:space="preserve"> </w:t>
      </w:r>
      <w:r>
        <w:rPr>
          <w:u w:val="single"/>
        </w:rPr>
        <w:t>in</w:t>
      </w:r>
      <w:r w:rsidRPr="00A459AD">
        <w:rPr>
          <w:u w:val="single"/>
        </w:rPr>
        <w:t>ternational law provides poor resources for the protection of claims</w:t>
      </w:r>
      <w:r>
        <w:rPr>
          <w:u w:val="single"/>
        </w:rPr>
        <w:t xml:space="preserve"> </w:t>
      </w:r>
      <w:r w:rsidRPr="00A459AD">
        <w:rPr>
          <w:u w:val="single"/>
        </w:rPr>
        <w:t>to</w:t>
      </w:r>
      <w:r w:rsidRPr="00A459AD">
        <w:rPr>
          <w:sz w:val="14"/>
        </w:rPr>
        <w:t xml:space="preserve"> the exclusivity of </w:t>
      </w:r>
      <w:r w:rsidRPr="00A459AD">
        <w:rPr>
          <w:u w:val="single"/>
        </w:rPr>
        <w:t>indigenous</w:t>
      </w:r>
      <w:r w:rsidRPr="00A459AD">
        <w:rPr>
          <w:sz w:val="14"/>
        </w:rPr>
        <w:t xml:space="preserve"> TEK and </w:t>
      </w:r>
      <w:r w:rsidRPr="00A459AD">
        <w:rPr>
          <w:u w:val="single"/>
        </w:rPr>
        <w:t>ethnomedical knowledge</w:t>
      </w:r>
      <w:r w:rsidRPr="00A459AD">
        <w:rPr>
          <w:sz w:val="14"/>
        </w:rPr>
        <w:t xml:space="preserve">. Most of </w:t>
      </w:r>
      <w:r w:rsidRPr="0060635B">
        <w:rPr>
          <w:highlight w:val="cyan"/>
          <w:u w:val="single"/>
        </w:rPr>
        <w:t>the current international law</w:t>
      </w:r>
      <w:r w:rsidRPr="00A459AD">
        <w:rPr>
          <w:u w:val="single"/>
        </w:rPr>
        <w:t xml:space="preserve"> </w:t>
      </w:r>
      <w:r w:rsidRPr="00A459AD">
        <w:rPr>
          <w:sz w:val="14"/>
        </w:rPr>
        <w:t xml:space="preserve">affecting indigenous knowledge and intellectual property was produced </w:t>
      </w:r>
      <w:r w:rsidRPr="0060635B">
        <w:rPr>
          <w:highlight w:val="cyan"/>
          <w:u w:val="single"/>
        </w:rPr>
        <w:t>as a consequence of the CBD</w:t>
      </w:r>
      <w:r w:rsidRPr="00A459AD">
        <w:rPr>
          <w:sz w:val="14"/>
        </w:rPr>
        <w:t xml:space="preserve">, which was enacted following the Rio de Janeiro Earth Summit in 1992, and has since been signed by almost 200 countries—though not the USA—making it one of the world’s most subscribed to international treaties in history.35 The three core goals of the convention were the conservation of biological diversity, the sustainable use of resources, and fair and equitable sharing of benefits. The main outcome of this agreement has been </w:t>
      </w:r>
      <w:r w:rsidRPr="00A459AD">
        <w:rPr>
          <w:u w:val="single"/>
        </w:rPr>
        <w:t>the regulation of ‘genetic resources’36 and</w:t>
      </w:r>
      <w:r>
        <w:rPr>
          <w:u w:val="single"/>
        </w:rPr>
        <w:t xml:space="preserve"> </w:t>
      </w:r>
      <w:r w:rsidRPr="00A459AD">
        <w:rPr>
          <w:u w:val="single"/>
        </w:rPr>
        <w:t>the establishment of benefit-sharing provisions across the globe</w:t>
      </w:r>
      <w:r w:rsidRPr="00A459AD">
        <w:rPr>
          <w:sz w:val="14"/>
        </w:rPr>
        <w:t xml:space="preserve">. Since the CBD was promulgated, a further host of trade-related IPR agreements (TRIPs) were signed.37 </w:t>
      </w:r>
      <w:r w:rsidRPr="00A459AD">
        <w:rPr>
          <w:u w:val="single"/>
        </w:rPr>
        <w:t>The TRIPs agreements</w:t>
      </w:r>
      <w:r w:rsidRPr="00A459AD">
        <w:rPr>
          <w:sz w:val="14"/>
        </w:rPr>
        <w:t xml:space="preserve">, initially negotiated at the General Agreement on Tariffs and Trade in 1994, </w:t>
      </w:r>
      <w:r w:rsidRPr="00A459AD">
        <w:rPr>
          <w:u w:val="single"/>
        </w:rPr>
        <w:t>were conceived as an expansion of the CBD, clarifying the minimum</w:t>
      </w:r>
      <w:r>
        <w:rPr>
          <w:u w:val="single"/>
        </w:rPr>
        <w:t xml:space="preserve"> </w:t>
      </w:r>
      <w:r w:rsidRPr="00A459AD">
        <w:rPr>
          <w:u w:val="single"/>
        </w:rPr>
        <w:t>standards for regulating IPR for World Trade Organization (WTO) member states</w:t>
      </w:r>
      <w:r w:rsidRPr="00A459AD">
        <w:rPr>
          <w:sz w:val="14"/>
        </w:rPr>
        <w:t xml:space="preserve">.38 For ethnopharmacology researchers, </w:t>
      </w:r>
      <w:r w:rsidRPr="0060635B">
        <w:rPr>
          <w:highlight w:val="cyan"/>
          <w:u w:val="single"/>
        </w:rPr>
        <w:t>the</w:t>
      </w:r>
      <w:r w:rsidRPr="00A459AD">
        <w:rPr>
          <w:u w:val="single"/>
        </w:rPr>
        <w:t xml:space="preserve"> </w:t>
      </w:r>
      <w:r w:rsidRPr="00A459AD">
        <w:rPr>
          <w:sz w:val="14"/>
        </w:rPr>
        <w:t xml:space="preserve">overall </w:t>
      </w:r>
      <w:r w:rsidRPr="0060635B">
        <w:rPr>
          <w:highlight w:val="cyan"/>
          <w:u w:val="single"/>
        </w:rPr>
        <w:t>consequences</w:t>
      </w:r>
      <w:r w:rsidRPr="00A459AD">
        <w:rPr>
          <w:u w:val="single"/>
        </w:rPr>
        <w:t xml:space="preserve"> of these treaties </w:t>
      </w:r>
      <w:r w:rsidRPr="0060635B">
        <w:rPr>
          <w:highlight w:val="cyan"/>
          <w:u w:val="single"/>
        </w:rPr>
        <w:t>are the nationalization of TEK</w:t>
      </w:r>
      <w:r w:rsidRPr="00A459AD">
        <w:rPr>
          <w:u w:val="single"/>
        </w:rPr>
        <w:t xml:space="preserve"> </w:t>
      </w:r>
      <w:r w:rsidRPr="0060635B">
        <w:rPr>
          <w:highlight w:val="cyan"/>
          <w:u w:val="single"/>
        </w:rPr>
        <w:t>and a country-by-country regulation of the flow of traditional knowledge</w:t>
      </w:r>
      <w:r w:rsidRPr="00A459AD">
        <w:rPr>
          <w:u w:val="single"/>
        </w:rPr>
        <w:t>—including genetic resources such as bioactive plants and their</w:t>
      </w:r>
      <w:r>
        <w:rPr>
          <w:u w:val="single"/>
        </w:rPr>
        <w:t xml:space="preserve"> </w:t>
      </w:r>
      <w:r w:rsidRPr="00A459AD">
        <w:rPr>
          <w:u w:val="single"/>
        </w:rPr>
        <w:t>extracts—</w:t>
      </w:r>
      <w:r w:rsidRPr="0060635B">
        <w:rPr>
          <w:highlight w:val="cyan"/>
          <w:u w:val="single"/>
        </w:rPr>
        <w:t>out of countries in the global South</w:t>
      </w:r>
      <w:r w:rsidRPr="00A459AD">
        <w:rPr>
          <w:u w:val="single"/>
        </w:rPr>
        <w:t>.</w:t>
      </w:r>
      <w:r w:rsidRPr="00A459AD">
        <w:rPr>
          <w:sz w:val="14"/>
        </w:rPr>
        <w:t xml:space="preserve">39 However, </w:t>
      </w:r>
      <w:r w:rsidRPr="0060635B">
        <w:rPr>
          <w:highlight w:val="cyan"/>
          <w:u w:val="single"/>
        </w:rPr>
        <w:t>current international IPR law allows researchers</w:t>
      </w:r>
      <w:r w:rsidRPr="00A459AD">
        <w:rPr>
          <w:u w:val="single"/>
        </w:rPr>
        <w:t xml:space="preserve"> and companies </w:t>
      </w:r>
      <w:r w:rsidRPr="0060635B">
        <w:rPr>
          <w:highlight w:val="cyan"/>
          <w:u w:val="single"/>
        </w:rPr>
        <w:t>to claim IPR</w:t>
      </w:r>
      <w:r w:rsidRPr="00A459AD">
        <w:rPr>
          <w:u w:val="single"/>
        </w:rPr>
        <w:t xml:space="preserve">, such as patents, </w:t>
      </w:r>
      <w:r w:rsidRPr="0060635B">
        <w:rPr>
          <w:highlight w:val="cyan"/>
          <w:u w:val="single"/>
        </w:rPr>
        <w:t>over biological resources</w:t>
      </w:r>
      <w:r w:rsidRPr="0041262B">
        <w:rPr>
          <w:highlight w:val="cyan"/>
          <w:u w:val="single"/>
        </w:rPr>
        <w:t>, and</w:t>
      </w:r>
      <w:r w:rsidRPr="00A459AD">
        <w:rPr>
          <w:u w:val="single"/>
        </w:rPr>
        <w:t xml:space="preserve">/or </w:t>
      </w:r>
      <w:r w:rsidRPr="0041262B">
        <w:rPr>
          <w:highlight w:val="cyan"/>
          <w:u w:val="single"/>
        </w:rPr>
        <w:t>traditional knowledge</w:t>
      </w:r>
      <w:r w:rsidRPr="00A459AD">
        <w:rPr>
          <w:sz w:val="14"/>
        </w:rPr>
        <w:t xml:space="preserve"> </w:t>
      </w:r>
      <w:r w:rsidRPr="0041262B">
        <w:rPr>
          <w:highlight w:val="cyan"/>
          <w:u w:val="single"/>
        </w:rPr>
        <w:t>even if</w:t>
      </w:r>
      <w:r w:rsidRPr="00A459AD">
        <w:rPr>
          <w:u w:val="single"/>
        </w:rPr>
        <w:t xml:space="preserve"> they have been </w:t>
      </w:r>
      <w:r w:rsidRPr="0041262B">
        <w:rPr>
          <w:highlight w:val="cyan"/>
          <w:u w:val="single"/>
        </w:rPr>
        <w:t>only ‘slightly modified’</w:t>
      </w:r>
      <w:r>
        <w:rPr>
          <w:u w:val="single"/>
        </w:rPr>
        <w:t xml:space="preserve"> </w:t>
      </w:r>
      <w:r w:rsidRPr="00A459AD">
        <w:rPr>
          <w:u w:val="single"/>
        </w:rPr>
        <w:t>from their initial forms</w:t>
      </w:r>
      <w:r w:rsidRPr="00A459AD">
        <w:rPr>
          <w:sz w:val="14"/>
        </w:rPr>
        <w:t>.40 Furthermore, ‘</w:t>
      </w:r>
      <w:r w:rsidRPr="0041262B">
        <w:rPr>
          <w:highlight w:val="cyan"/>
          <w:u w:val="single"/>
        </w:rPr>
        <w:t>TRIPs treats</w:t>
      </w:r>
      <w:r w:rsidRPr="00A459AD">
        <w:rPr>
          <w:u w:val="single"/>
        </w:rPr>
        <w:t xml:space="preserve"> the genetic components of organisms, as well as genetically altered varieties of </w:t>
      </w:r>
      <w:r w:rsidRPr="0041262B">
        <w:rPr>
          <w:highlight w:val="cyan"/>
          <w:u w:val="single"/>
        </w:rPr>
        <w:t>living organisms, as</w:t>
      </w:r>
      <w:r w:rsidRPr="00A459AD">
        <w:rPr>
          <w:u w:val="single"/>
        </w:rPr>
        <w:t xml:space="preserve"> ordinary </w:t>
      </w:r>
      <w:r w:rsidRPr="0041262B">
        <w:rPr>
          <w:highlight w:val="cyan"/>
          <w:u w:val="single"/>
        </w:rPr>
        <w:t>commodities</w:t>
      </w:r>
      <w:r w:rsidRPr="00A459AD">
        <w:rPr>
          <w:u w:val="single"/>
        </w:rPr>
        <w:t xml:space="preserve"> </w:t>
      </w:r>
      <w:r w:rsidRPr="0041262B">
        <w:rPr>
          <w:highlight w:val="cyan"/>
          <w:u w:val="single"/>
        </w:rPr>
        <w:t>subject to private ownership</w:t>
      </w:r>
      <w:r w:rsidRPr="00A459AD">
        <w:rPr>
          <w:u w:val="single"/>
        </w:rPr>
        <w:t xml:space="preserve"> and standardized rules of transnational commerce’</w:t>
      </w:r>
      <w:r w:rsidRPr="00A459AD">
        <w:rPr>
          <w:sz w:val="14"/>
        </w:rPr>
        <w:t xml:space="preserve">.41 Most salient is the fact that pursuant to the CBD, </w:t>
      </w:r>
      <w:r w:rsidRPr="00A459AD">
        <w:rPr>
          <w:u w:val="single"/>
        </w:rPr>
        <w:t xml:space="preserve">so-called genetic </w:t>
      </w:r>
      <w:r w:rsidRPr="0041262B">
        <w:rPr>
          <w:highlight w:val="cyan"/>
          <w:u w:val="single"/>
        </w:rPr>
        <w:t>resources are ‘nationalized’, and inscribed as the sovereign property of states</w:t>
      </w:r>
      <w:r w:rsidRPr="00A459AD">
        <w:rPr>
          <w:u w:val="single"/>
        </w:rPr>
        <w:t>, so individual countries</w:t>
      </w:r>
      <w:r>
        <w:rPr>
          <w:u w:val="single"/>
        </w:rPr>
        <w:t xml:space="preserve"> </w:t>
      </w:r>
      <w:r w:rsidRPr="00A459AD">
        <w:rPr>
          <w:u w:val="single"/>
        </w:rPr>
        <w:t xml:space="preserve">retain legal and territorial </w:t>
      </w:r>
      <w:r w:rsidRPr="0041262B">
        <w:rPr>
          <w:highlight w:val="cyan"/>
          <w:u w:val="single"/>
        </w:rPr>
        <w:t>control over biological resources and indigenous knowledge located within their borders</w:t>
      </w:r>
      <w:r w:rsidRPr="00A459AD">
        <w:rPr>
          <w:sz w:val="14"/>
        </w:rPr>
        <w:t xml:space="preserve">.42 For many of the traditional societies of the global South, however, </w:t>
      </w:r>
      <w:r w:rsidRPr="00A459AD">
        <w:rPr>
          <w:u w:val="single"/>
        </w:rPr>
        <w:t>this legal claim may be considered to be enacting ‘</w:t>
      </w:r>
      <w:proofErr w:type="spellStart"/>
      <w:r w:rsidRPr="0041262B">
        <w:rPr>
          <w:highlight w:val="cyan"/>
          <w:u w:val="single"/>
        </w:rPr>
        <w:t>econocolonialism</w:t>
      </w:r>
      <w:proofErr w:type="spellEnd"/>
      <w:r w:rsidRPr="00A459AD">
        <w:rPr>
          <w:u w:val="single"/>
        </w:rPr>
        <w:t xml:space="preserve">’, </w:t>
      </w:r>
      <w:r w:rsidRPr="0041262B">
        <w:rPr>
          <w:highlight w:val="cyan"/>
          <w:u w:val="single"/>
        </w:rPr>
        <w:t>a position at odds</w:t>
      </w:r>
      <w:r w:rsidRPr="00A459AD">
        <w:rPr>
          <w:u w:val="single"/>
        </w:rPr>
        <w:t xml:space="preserve"> </w:t>
      </w:r>
      <w:r w:rsidRPr="0041262B">
        <w:rPr>
          <w:highlight w:val="cyan"/>
          <w:u w:val="single"/>
        </w:rPr>
        <w:t>with local ideas of ‘nature’, specific local ‘ontologies’</w:t>
      </w:r>
      <w:r w:rsidRPr="00A459AD">
        <w:rPr>
          <w:u w:val="single"/>
        </w:rPr>
        <w:t>, or many indigenous</w:t>
      </w:r>
      <w:r>
        <w:rPr>
          <w:u w:val="single"/>
        </w:rPr>
        <w:t xml:space="preserve"> </w:t>
      </w:r>
      <w:r w:rsidRPr="00A459AD">
        <w:rPr>
          <w:u w:val="single"/>
        </w:rPr>
        <w:t xml:space="preserve">peoples’ </w:t>
      </w:r>
      <w:proofErr w:type="spellStart"/>
      <w:r w:rsidRPr="00A459AD">
        <w:rPr>
          <w:u w:val="single"/>
        </w:rPr>
        <w:t>beliefthat</w:t>
      </w:r>
      <w:proofErr w:type="spellEnd"/>
      <w:r w:rsidRPr="00A459AD">
        <w:rPr>
          <w:u w:val="single"/>
        </w:rPr>
        <w:t xml:space="preserve"> plants are ‘imbued </w:t>
      </w:r>
      <w:proofErr w:type="spellStart"/>
      <w:r w:rsidRPr="00A459AD">
        <w:rPr>
          <w:u w:val="single"/>
        </w:rPr>
        <w:t>withthe</w:t>
      </w:r>
      <w:proofErr w:type="spellEnd"/>
      <w:r w:rsidRPr="00A459AD">
        <w:rPr>
          <w:u w:val="single"/>
        </w:rPr>
        <w:t xml:space="preserve"> power of God’, or local spirits.43 As such,</w:t>
      </w:r>
      <w:r>
        <w:rPr>
          <w:u w:val="single"/>
        </w:rPr>
        <w:t xml:space="preserve"> </w:t>
      </w:r>
      <w:r w:rsidRPr="0041262B">
        <w:rPr>
          <w:highlight w:val="cyan"/>
          <w:u w:val="single"/>
        </w:rPr>
        <w:t>indigenous people</w:t>
      </w:r>
      <w:r w:rsidRPr="00A459AD">
        <w:rPr>
          <w:u w:val="single"/>
        </w:rPr>
        <w:t xml:space="preserve"> may </w:t>
      </w:r>
      <w:r w:rsidRPr="0041262B">
        <w:rPr>
          <w:highlight w:val="cyan"/>
          <w:u w:val="single"/>
        </w:rPr>
        <w:t>believe these entities</w:t>
      </w:r>
    </w:p>
    <w:p w14:paraId="7D2675A5" w14:textId="77777777" w:rsidR="00620C7F" w:rsidRDefault="00620C7F" w:rsidP="00620C7F">
      <w:pPr>
        <w:pStyle w:val="Heading3"/>
      </w:pPr>
      <w:r>
        <w:lastRenderedPageBreak/>
        <w:t xml:space="preserve">Framing </w:t>
      </w:r>
    </w:p>
    <w:p w14:paraId="477C2F15" w14:textId="77777777" w:rsidR="00620C7F" w:rsidRDefault="00620C7F" w:rsidP="00620C7F">
      <w:pPr>
        <w:pStyle w:val="Heading4"/>
      </w:pPr>
      <w:r>
        <w:t xml:space="preserve">Decolonizing practices begin with endorsing methods that challenge settler normative modes of thoughts and futurity, creating relations with the land as more than beings through indigenous science, </w:t>
      </w:r>
      <w:proofErr w:type="gramStart"/>
      <w:r>
        <w:t>technology</w:t>
      </w:r>
      <w:proofErr w:type="gramEnd"/>
      <w:r>
        <w:t xml:space="preserve"> and society – thus the </w:t>
      </w:r>
      <w:proofErr w:type="spellStart"/>
      <w:r>
        <w:t>rotb</w:t>
      </w:r>
      <w:proofErr w:type="spellEnd"/>
      <w:r>
        <w:t xml:space="preserve"> is to </w:t>
      </w:r>
      <w:r w:rsidRPr="00472D59">
        <w:t>embrace indigenous futurity</w:t>
      </w:r>
    </w:p>
    <w:p w14:paraId="02270117" w14:textId="77777777" w:rsidR="00620C7F" w:rsidRPr="00195628" w:rsidRDefault="00620C7F" w:rsidP="00620C7F">
      <w:pPr>
        <w:rPr>
          <w:rStyle w:val="Style13ptBold"/>
        </w:rPr>
      </w:pPr>
      <w:r w:rsidRPr="00195628">
        <w:rPr>
          <w:rStyle w:val="Style13ptBold"/>
        </w:rPr>
        <w:t>Hernandez 19</w:t>
      </w:r>
    </w:p>
    <w:p w14:paraId="2D617545" w14:textId="77777777" w:rsidR="00620C7F" w:rsidRPr="00195628" w:rsidRDefault="00620C7F" w:rsidP="00620C7F">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9" w:history="1">
        <w:r w:rsidRPr="00540E83">
          <w:rPr>
            <w:rStyle w:val="Hyperlink"/>
          </w:rPr>
          <w:t>https://catalystjournal.org/index.php/catalyst/article/view/32833/25438</w:t>
        </w:r>
      </w:hyperlink>
      <w:r>
        <w:t xml:space="preserve"> //RBA</w:t>
      </w:r>
    </w:p>
    <w:p w14:paraId="0EDCAE77" w14:textId="77777777" w:rsidR="00620C7F" w:rsidRDefault="00620C7F" w:rsidP="00620C7F">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w:t>
      </w:r>
      <w:r w:rsidRPr="00195628">
        <w:rPr>
          <w:u w:val="single"/>
        </w:rPr>
        <w:lastRenderedPageBreak/>
        <w:t>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431DBFE8" w14:textId="77777777" w:rsidR="00620C7F" w:rsidRPr="008178CD" w:rsidRDefault="00620C7F" w:rsidP="00620C7F">
      <w:pPr>
        <w:pStyle w:val="Heading4"/>
      </w:pPr>
      <w:r>
        <w:t>T</w:t>
      </w:r>
      <w:r w:rsidRPr="00195628">
        <w:t xml:space="preserve">he ROTJ is to center indigenous knowledge </w:t>
      </w:r>
      <w:r>
        <w:t xml:space="preserve">– red pedagogy is the only orientation that combats settler colonialism within educative spaces </w:t>
      </w:r>
    </w:p>
    <w:p w14:paraId="6757F55B" w14:textId="77777777" w:rsidR="00620C7F" w:rsidRPr="006843CE" w:rsidRDefault="00620C7F" w:rsidP="00620C7F">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346C883D" w14:textId="77777777" w:rsidR="00620C7F" w:rsidRPr="0088225E" w:rsidRDefault="00620C7F" w:rsidP="00620C7F">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t>
      </w:r>
      <w:r w:rsidRPr="006843CE">
        <w:rPr>
          <w:color w:val="000000" w:themeColor="text1"/>
          <w:sz w:val="8"/>
          <w:szCs w:val="8"/>
        </w:rPr>
        <w:lastRenderedPageBreak/>
        <w:t xml:space="preserve">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42B36061" w14:textId="77777777" w:rsidR="00620C7F" w:rsidRPr="00472D59" w:rsidRDefault="00620C7F" w:rsidP="00620C7F"/>
    <w:p w14:paraId="7685495E" w14:textId="77777777" w:rsidR="00620C7F" w:rsidRDefault="00620C7F" w:rsidP="00620C7F">
      <w:pPr>
        <w:pStyle w:val="Heading3"/>
      </w:pPr>
      <w:r>
        <w:lastRenderedPageBreak/>
        <w:t xml:space="preserve">Alt </w:t>
      </w:r>
    </w:p>
    <w:p w14:paraId="725C9D12" w14:textId="77777777" w:rsidR="00620C7F" w:rsidRPr="00C61613" w:rsidRDefault="00620C7F" w:rsidP="00620C7F">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6602BA8A" w14:textId="77777777" w:rsidR="00620C7F" w:rsidRPr="00AA3002" w:rsidRDefault="00620C7F" w:rsidP="00620C7F">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0" w:history="1">
        <w:r w:rsidRPr="00AA3002">
          <w:rPr>
            <w:rStyle w:val="Hyperlink"/>
            <w:sz w:val="14"/>
            <w:szCs w:val="14"/>
          </w:rPr>
          <w:t>https://www.researchgate.net/publication/277992187_Decolonization_Is_Not_a_Metaphor</w:t>
        </w:r>
      </w:hyperlink>
      <w:r w:rsidRPr="00AA3002">
        <w:rPr>
          <w:sz w:val="14"/>
          <w:szCs w:val="14"/>
        </w:rPr>
        <w:t xml:space="preserve">.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w:t>
      </w:r>
      <w:proofErr w:type="gramStart"/>
      <w:r w:rsidRPr="00AA3002">
        <w:rPr>
          <w:sz w:val="14"/>
          <w:szCs w:val="14"/>
        </w:rPr>
        <w:t>education</w:t>
      </w:r>
      <w:proofErr w:type="gramEnd"/>
      <w:r w:rsidRPr="00AA3002">
        <w:rPr>
          <w:sz w:val="14"/>
          <w:szCs w:val="14"/>
        </w:rPr>
        <w:t xml:space="preserve"> and critical pedagogy, Coloniality in urban ghettos, and Decolonization.)</w:t>
      </w:r>
    </w:p>
    <w:p w14:paraId="11BB3BD8" w14:textId="77777777" w:rsidR="00620C7F" w:rsidRDefault="00620C7F" w:rsidP="00620C7F">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 xml:space="preserve">be answered </w:t>
      </w:r>
      <w:proofErr w:type="gramStart"/>
      <w:r w:rsidRPr="00EA5243">
        <w:rPr>
          <w:rStyle w:val="Emphasis"/>
          <w:highlight w:val="cyan"/>
        </w:rPr>
        <w:t>in order for</w:t>
      </w:r>
      <w:proofErr w:type="gramEnd"/>
      <w:r w:rsidRPr="00EA5243">
        <w:rPr>
          <w:rStyle w:val="Emphasis"/>
          <w:highlight w:val="cyan"/>
        </w:rPr>
        <w:t xml:space="preserve">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w:t>
      </w:r>
      <w:proofErr w:type="gramStart"/>
      <w:r w:rsidRPr="00B814EB">
        <w:rPr>
          <w:sz w:val="14"/>
        </w:rPr>
        <w:t>as long as</w:t>
      </w:r>
      <w:proofErr w:type="gramEnd"/>
      <w:r w:rsidRPr="00B814EB">
        <w:rPr>
          <w:sz w:val="14"/>
        </w:rPr>
        <w:t xml:space="preserve"> decolonization remains punctuated by metaphor. The answers will not emerge from friendly understanding, and indeed require a dangerous understanding of </w:t>
      </w:r>
      <w:proofErr w:type="spellStart"/>
      <w:r w:rsidRPr="00B814EB">
        <w:rPr>
          <w:sz w:val="14"/>
        </w:rPr>
        <w:t>uncommonality</w:t>
      </w:r>
      <w:proofErr w:type="spellEnd"/>
      <w:r w:rsidRPr="00B814EB">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To fully enact an ethic of incommensurability means relinquishing settler futurity, abandoning the hope that settlers may one day be commensurable to Native peoples.</w:t>
      </w:r>
      <w:r w:rsidRPr="00B814EB">
        <w:rPr>
          <w:sz w:val="14"/>
        </w:rPr>
        <w:t xml:space="preserve"> It means removing the asterisks, 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5FF7C211" w14:textId="77777777" w:rsidR="00620C7F" w:rsidRDefault="00620C7F" w:rsidP="00620C7F">
      <w:pPr>
        <w:rPr>
          <w:rFonts w:ascii="Comic Sans MS" w:hAnsi="Comic Sans MS"/>
          <w:u w:val="single"/>
        </w:rPr>
      </w:pPr>
    </w:p>
    <w:p w14:paraId="14F6890E" w14:textId="338D8C1B" w:rsidR="00620C7F" w:rsidRDefault="002464D8" w:rsidP="002464D8">
      <w:pPr>
        <w:pStyle w:val="Heading2"/>
      </w:pPr>
      <w:r>
        <w:lastRenderedPageBreak/>
        <w:t>DA</w:t>
      </w:r>
    </w:p>
    <w:p w14:paraId="07D68C98" w14:textId="77777777" w:rsidR="002464D8" w:rsidRPr="00FB5463" w:rsidRDefault="002464D8" w:rsidP="002464D8">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4CDC45AF" w14:textId="77777777" w:rsidR="002464D8" w:rsidRPr="00FB5463" w:rsidRDefault="002464D8" w:rsidP="002464D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396A39B2" w14:textId="77777777" w:rsidR="002464D8" w:rsidRDefault="002464D8" w:rsidP="002464D8">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11"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2"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3"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3B342374" w14:textId="77777777" w:rsidR="002464D8" w:rsidRPr="008C74CB" w:rsidRDefault="002464D8" w:rsidP="002464D8">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5A40DF0C" w14:textId="77777777" w:rsidR="002464D8" w:rsidRPr="008C74CB" w:rsidRDefault="002464D8" w:rsidP="002464D8">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4" w:history="1">
        <w:r w:rsidRPr="008C74CB">
          <w:rPr>
            <w:color w:val="000000" w:themeColor="text1"/>
          </w:rPr>
          <w:t>https://www.livescience.com/65633-climate-change-dooms-humans-by-2050.html</w:t>
        </w:r>
      </w:hyperlink>
      <w:r w:rsidRPr="008C74CB">
        <w:rPr>
          <w:color w:val="000000" w:themeColor="text1"/>
        </w:rPr>
        <w:t xml:space="preserve"> Justin</w:t>
      </w:r>
    </w:p>
    <w:p w14:paraId="5844C83D" w14:textId="1E70E99F" w:rsidR="002464D8" w:rsidRPr="00DC4545" w:rsidRDefault="002464D8" w:rsidP="002464D8">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5"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6"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7"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8"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376F25F8" w14:textId="77777777" w:rsidR="00620C7F" w:rsidRPr="00620C7F" w:rsidRDefault="00620C7F" w:rsidP="00620C7F"/>
    <w:sectPr w:rsidR="00620C7F" w:rsidRPr="00620C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9D4BD3"/>
    <w:multiLevelType w:val="hybridMultilevel"/>
    <w:tmpl w:val="1C3694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AC6702"/>
    <w:multiLevelType w:val="hybridMultilevel"/>
    <w:tmpl w:val="475CE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F1113"/>
    <w:multiLevelType w:val="hybridMultilevel"/>
    <w:tmpl w:val="D9B8E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0C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CC0"/>
    <w:rsid w:val="001761FC"/>
    <w:rsid w:val="00182655"/>
    <w:rsid w:val="001840F2"/>
    <w:rsid w:val="00184E56"/>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4D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3BA1"/>
    <w:rsid w:val="003F41EA"/>
    <w:rsid w:val="003F7DF0"/>
    <w:rsid w:val="004039AF"/>
    <w:rsid w:val="00407AFF"/>
    <w:rsid w:val="0041155D"/>
    <w:rsid w:val="004170BF"/>
    <w:rsid w:val="00422BA5"/>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C7F"/>
    <w:rsid w:val="00621301"/>
    <w:rsid w:val="0062173F"/>
    <w:rsid w:val="006235FB"/>
    <w:rsid w:val="00626A15"/>
    <w:rsid w:val="006379E9"/>
    <w:rsid w:val="006438CB"/>
    <w:rsid w:val="006529B9"/>
    <w:rsid w:val="00654695"/>
    <w:rsid w:val="0065500A"/>
    <w:rsid w:val="00655217"/>
    <w:rsid w:val="0065727C"/>
    <w:rsid w:val="00674A78"/>
    <w:rsid w:val="00696A16"/>
    <w:rsid w:val="006A3D4D"/>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54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631A0"/>
  <w14:defaultImageDpi w14:val="300"/>
  <w15:docId w15:val="{264A607F-FF65-704E-91CE-4534B064A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4E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4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4E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184E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 Char2 Char,Heading 2 Char1 Char Char,No Spacing11111,No Spacing4,t, Ch,No Spacing111111,Medium Grid 21,Very Small Text,CD - Cite"/>
    <w:basedOn w:val="Normal"/>
    <w:next w:val="Normal"/>
    <w:link w:val="Heading4Char"/>
    <w:uiPriority w:val="9"/>
    <w:unhideWhenUsed/>
    <w:qFormat/>
    <w:rsid w:val="00184E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4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4E56"/>
  </w:style>
  <w:style w:type="character" w:customStyle="1" w:styleId="Heading1Char">
    <w:name w:val="Heading 1 Char"/>
    <w:aliases w:val="Pocket Char"/>
    <w:basedOn w:val="DefaultParagraphFont"/>
    <w:link w:val="Heading1"/>
    <w:uiPriority w:val="9"/>
    <w:rsid w:val="00184E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4E5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184E5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9"/>
    <w:rsid w:val="00184E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84E5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184E56"/>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20"/>
    <w:qFormat/>
    <w:rsid w:val="00184E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4E56"/>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link w:val="Card"/>
    <w:uiPriority w:val="99"/>
    <w:unhideWhenUsed/>
    <w:rsid w:val="00184E56"/>
    <w:rPr>
      <w:color w:val="auto"/>
      <w:u w:val="none"/>
    </w:rPr>
  </w:style>
  <w:style w:type="paragraph" w:styleId="DocumentMap">
    <w:name w:val="Document Map"/>
    <w:basedOn w:val="Normal"/>
    <w:link w:val="DocumentMapChar"/>
    <w:uiPriority w:val="99"/>
    <w:semiHidden/>
    <w:unhideWhenUsed/>
    <w:rsid w:val="00184E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4E56"/>
    <w:rPr>
      <w:rFonts w:ascii="Lucida Grande" w:hAnsi="Lucida Grande" w:cs="Lucida Grande"/>
    </w:rPr>
  </w:style>
  <w:style w:type="paragraph" w:customStyle="1" w:styleId="textbold">
    <w:name w:val="text bold"/>
    <w:basedOn w:val="Normal"/>
    <w:link w:val="Emphasis"/>
    <w:uiPriority w:val="20"/>
    <w:qFormat/>
    <w:rsid w:val="00620C7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No Spacing1111,No Spacing2,Debate Text,Read stuff,Card Format,No Spacing21,No Spacing31,No Spacing22,No Spacing3,tag,Dont use,No Spacing41,No Spacing111112,tags,No Spacing5,Note Level 2,No Spacing11,No Spacing111,card,No Spacing1,Tag and Cite,Tags"/>
    <w:basedOn w:val="Heading1"/>
    <w:link w:val="Hyperlink"/>
    <w:autoRedefine/>
    <w:uiPriority w:val="99"/>
    <w:qFormat/>
    <w:rsid w:val="00620C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3F3BA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ListParagraph">
    <w:name w:val="List Paragraph"/>
    <w:basedOn w:val="Normal"/>
    <w:uiPriority w:val="34"/>
    <w:qFormat/>
    <w:rsid w:val="003F3BA1"/>
    <w:pPr>
      <w:ind w:left="720"/>
      <w:contextualSpacing/>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10" Type="http://schemas.openxmlformats.org/officeDocument/2006/relationships/hyperlink" Target="https://www.researchgate.net/publication/277992187_Decolonization_Is_Not_a_Metaphor"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catalystjournal.org/index.php/catalyst/article/view/32833/25438" TargetMode="External"/><Relationship Id="rId14" Type="http://schemas.openxmlformats.org/officeDocument/2006/relationships/hyperlink" Target="https://www.livescience.com/65633-climate-change-dooms-humans-by-205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8762</Words>
  <Characters>49948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7</cp:revision>
  <dcterms:created xsi:type="dcterms:W3CDTF">2021-09-18T18:39:00Z</dcterms:created>
  <dcterms:modified xsi:type="dcterms:W3CDTF">2021-09-19T04:32:00Z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