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BF92D" w14:textId="6CACDEBF" w:rsidR="009D14CB" w:rsidRDefault="00E07B37" w:rsidP="00E07B37">
      <w:pPr>
        <w:pStyle w:val="Heading1"/>
      </w:pPr>
      <w:r>
        <w:t>Off</w:t>
      </w:r>
    </w:p>
    <w:p w14:paraId="3EEA4703" w14:textId="24E1C8B1" w:rsidR="00E07B37" w:rsidRDefault="00E07B37" w:rsidP="00E07B37">
      <w:pPr>
        <w:pStyle w:val="Heading2"/>
      </w:pPr>
      <w:r>
        <w:lastRenderedPageBreak/>
        <w:t>1</w:t>
      </w:r>
    </w:p>
    <w:p w14:paraId="04DCF124" w14:textId="66E95F83" w:rsidR="00E07B37" w:rsidRPr="00E07B37" w:rsidRDefault="00E07B37" w:rsidP="00E07B37">
      <w:pPr>
        <w:pStyle w:val="Heading3"/>
      </w:pPr>
      <w:r>
        <w:lastRenderedPageBreak/>
        <w:t xml:space="preserve">K – Proper </w:t>
      </w:r>
    </w:p>
    <w:p w14:paraId="5FD9E913" w14:textId="77777777" w:rsidR="00E07B37" w:rsidRDefault="00E07B37" w:rsidP="00E07B37">
      <w:pPr>
        <w:pStyle w:val="Heading4"/>
      </w:pPr>
      <w:r>
        <w:t>Settler colonialism is a structure of technologies, not an event, a patterning of social relations that renders indigenous land and life infinitely fungible.</w:t>
      </w:r>
    </w:p>
    <w:p w14:paraId="45CF72CA" w14:textId="77777777" w:rsidR="00E07B37" w:rsidRPr="0097541D" w:rsidRDefault="00E07B37" w:rsidP="00E07B37">
      <w:r>
        <w:rPr>
          <w:b/>
          <w:sz w:val="26"/>
        </w:rPr>
        <w:t>paperson 17</w:t>
      </w:r>
      <w:r>
        <w:t xml:space="preserve"> [La, </w:t>
      </w:r>
      <w:r w:rsidRPr="005666C0">
        <w:t>also K. Wayne Yang, an associate professor of ethnic studies at the University of California, San Diego.</w:t>
      </w:r>
      <w:r>
        <w:t xml:space="preserve"> “A Third University Is Possible” June 2017]</w:t>
      </w:r>
    </w:p>
    <w:p w14:paraId="42739702" w14:textId="77777777" w:rsidR="00E07B37" w:rsidRDefault="00E07B37" w:rsidP="00E07B37">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Wa Thiong’o’s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Guatarri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w:t>
      </w:r>
      <w:r w:rsidRPr="00B67403">
        <w:rPr>
          <w:sz w:val="12"/>
        </w:rPr>
        <w:lastRenderedPageBreak/>
        <w:t xml:space="preserve">is actually an articulation of “I conquer, therefore I am,” a sense of identity posited upon the harnessing of nature and its “natural” people.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67750995" w14:textId="77777777" w:rsidR="00E07B37" w:rsidRDefault="00E07B37" w:rsidP="00E07B37">
      <w:pPr>
        <w:pStyle w:val="Heading4"/>
      </w:pPr>
      <w:r>
        <w:t xml:space="preserve">The destruction of relationships to land constitutes ontological violence – only a theoretical frame that can theorize land can understand the intricacies of the settler colonial situation. </w:t>
      </w:r>
    </w:p>
    <w:p w14:paraId="0FFD7B83" w14:textId="77777777" w:rsidR="00E07B37" w:rsidRDefault="00E07B37" w:rsidP="00E07B37">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0A781707" w14:textId="77777777" w:rsidR="00E07B37" w:rsidRDefault="00E07B37" w:rsidP="00E07B37">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sam</w:t>
      </w:r>
    </w:p>
    <w:p w14:paraId="3C181121" w14:textId="77777777" w:rsidR="00E07B37" w:rsidRDefault="00E07B37" w:rsidP="00E07B37">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w:t>
      </w:r>
      <w:r w:rsidRPr="00DC0C01">
        <w:rPr>
          <w:u w:val="single"/>
        </w:rPr>
        <w:lastRenderedPageBreak/>
        <w:t xml:space="preserve">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0255F190" w14:textId="1065D8F6" w:rsidR="00E07B37" w:rsidRPr="0027674A" w:rsidRDefault="00E07B37" w:rsidP="00E07B37">
      <w:pPr>
        <w:pStyle w:val="Heading4"/>
      </w:pPr>
      <w:r>
        <w:t xml:space="preserve">The 1ac is a form of </w:t>
      </w:r>
      <w:r>
        <w:rPr>
          <w:u w:val="single"/>
        </w:rPr>
        <w:t xml:space="preserve">settler colonial emplacement </w:t>
      </w:r>
      <w:r>
        <w:t>that renders outer space a lifeless void upon which the settler can infinitely project colonial fantasies of the final frontier via “more sustainable” space mining – that enables unsustainable approaches to space exploration.</w:t>
      </w:r>
    </w:p>
    <w:p w14:paraId="3620DB3C" w14:textId="77777777" w:rsidR="00E07B37" w:rsidRPr="0027674A" w:rsidRDefault="00E07B37" w:rsidP="00E07B37">
      <w:bookmarkStart w:id="0" w:name="_Hlk92183112"/>
      <w:r w:rsidRPr="0027674A">
        <w:rPr>
          <w:b/>
          <w:bCs/>
          <w:sz w:val="26"/>
          <w:szCs w:val="26"/>
        </w:rPr>
        <w:t>Mitchell et al 20</w:t>
      </w:r>
      <w:r w:rsidRPr="0027674A">
        <w:t xml:space="preserve"> </w:t>
      </w:r>
      <w:r>
        <w:t>–</w:t>
      </w:r>
      <w:r w:rsidRPr="0027674A">
        <w:t xml:space="preserve"> Bawaka Country including A. Mitchell S. Wright S. Suchet-Pearson K. Lloyd L. Burarrwanga R. Ganambarr M. Ganambarr-Stubbs B. Ganambarr D. Maymuru R. Maymuru (this is a lot of authors; you can find qualifications on your own lol)</w:t>
      </w:r>
    </w:p>
    <w:p w14:paraId="25874FF0" w14:textId="77777777" w:rsidR="00E07B37" w:rsidRPr="0027674A" w:rsidRDefault="00E07B37" w:rsidP="00E07B37">
      <w:r w:rsidRPr="0027674A">
        <w:t>Mitchell, Audra et. Al. “Dukarr lakarama: Listening to Guwak, talking back to space colonization” Political Geography, Volume 81, August 2020 // sam</w:t>
      </w:r>
    </w:p>
    <w:p w14:paraId="53126B13" w14:textId="77777777" w:rsidR="00E07B37" w:rsidRDefault="00E07B37" w:rsidP="00E07B37">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Kokatha and Pitjantjatjara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‘NewSpace’, have been competing to be the first to exploit outer space for resources. Although the NewSpace community embraces diverse perspectives and subjectivities (Oman-Reagan, 2015), its dominant figures share an understanding of the unbounded resources of the universe and the right of humans to dominate it (Valentine, 2012). The dominant actors in </w:t>
      </w:r>
      <w:r w:rsidRPr="0027674A">
        <w:rPr>
          <w:sz w:val="12"/>
        </w:rPr>
        <w:lastRenderedPageBreak/>
        <w:t xml:space="preserve">NewSpace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fuelled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violences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programme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(Reinstein, 1999:79). During the Cold War, fears that a rush to grab control of space for commercial or military purposes would result in inter-state conflict prompted its designation as a res communes: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Igoe, 2006). Indeed, some scholars of international space law have proposed a ‘planetary park’ model, in which whole planets would be designated as wilderness reserves (Bruhns &amp; Haqq-Misra,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 xml:space="preserve">harmful activities are concentrated </w:t>
      </w:r>
      <w:r w:rsidRPr="0027674A">
        <w:rPr>
          <w:highlight w:val="green"/>
          <w:u w:val="single"/>
        </w:rPr>
        <w:lastRenderedPageBreak/>
        <w:t>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(Bruhns &amp; Haqq-Misra, 2016; Olson, 2012), these arguments appear to have had little impact on major NewSpace entrepreneurs, whose plans hinge on the ability to export the damage of extraction to the weakly regulated realm of space. Indeed, </w:t>
      </w:r>
      <w:r w:rsidRPr="0027674A">
        <w:rPr>
          <w:highlight w:val="green"/>
          <w:u w:val="single"/>
        </w:rPr>
        <w:t>some</w:t>
      </w:r>
      <w:r w:rsidRPr="0027674A">
        <w:rPr>
          <w:u w:val="single"/>
        </w:rPr>
        <w:t xml:space="preserve"> Newspace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and agencies of the beings and becomings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co-terminous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(Helmreich, 2011). Throughout these transformations, the globe has been framed as an enclosed structure whose function is to shelter humans from a cold, dead, and threatening external universe (Sloterdijk,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Guwak teaches otherwise. We now turn to her to learn about order and negotiation, the agency of Sky Country, how earth, sea and sky co-become, and the ethical relationships and responsibilities these entail.</w:t>
      </w:r>
    </w:p>
    <w:p w14:paraId="35BC1BCA" w14:textId="77777777" w:rsidR="00E07B37" w:rsidRDefault="00E07B37" w:rsidP="00E07B37">
      <w:pPr>
        <w:pStyle w:val="Heading4"/>
      </w:pPr>
      <w:bookmarkStart w:id="1" w:name="_Hlk92183573"/>
      <w:bookmarkEnd w:id="0"/>
      <w:r>
        <w:t>Their attachment to apocalyptic threat analysis is rooted in the fear of the end of Western futures only salvageable via the heroism of the white subject – reject their All Lives Matter politics.</w:t>
      </w:r>
    </w:p>
    <w:p w14:paraId="0C82DA25" w14:textId="77777777" w:rsidR="00E07B37" w:rsidRDefault="00E07B37" w:rsidP="00E07B37">
      <w:r w:rsidRPr="00D265CA">
        <w:rPr>
          <w:b/>
          <w:bCs/>
          <w:sz w:val="26"/>
          <w:szCs w:val="26"/>
        </w:rPr>
        <w:t>Mitchell and Chaudhury 20</w:t>
      </w:r>
      <w:r>
        <w:t xml:space="preserve"> – Audra Mitchell, </w:t>
      </w:r>
      <w:r w:rsidRPr="00D265CA">
        <w:t>Balsillie School of International Affairs</w:t>
      </w:r>
      <w:r>
        <w:t xml:space="preserve">, and Aadita Chaudhury, </w:t>
      </w:r>
      <w:r w:rsidRPr="00D265CA">
        <w:t>York University – Keele Campus</w:t>
      </w:r>
    </w:p>
    <w:p w14:paraId="12F7750B" w14:textId="77777777" w:rsidR="00E07B37" w:rsidRPr="00D265CA" w:rsidRDefault="00E07B37" w:rsidP="00E07B37">
      <w:r>
        <w:t>Audra Mitchell and Aadita Chaudhury “</w:t>
      </w:r>
      <w:r w:rsidRPr="00D265CA">
        <w:t>Worlding beyond ‘the’ ‘end’ of ‘the world’: white apocalyptic visions and BIPOC futurisms</w:t>
      </w:r>
      <w:r>
        <w:t>” International Relations 2020, Vol. 34(3) 309–332 // sam :)</w:t>
      </w:r>
    </w:p>
    <w:p w14:paraId="3A51D1EE" w14:textId="77777777" w:rsidR="00E07B37" w:rsidRDefault="00E07B37" w:rsidP="00E07B37">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seek to protect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and in particular in settler colonial and/or imperial states such as the United States, Canada, Australia, and the United Kingdom.</w:t>
      </w:r>
      <w:r w:rsidRPr="00BC2349">
        <w:rPr>
          <w:sz w:val="10"/>
        </w:rPr>
        <w:t xml:space="preserve">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t>
      </w:r>
      <w:r w:rsidRPr="00BC2349">
        <w:rPr>
          <w:sz w:val="10"/>
        </w:rPr>
        <w:lastRenderedPageBreak/>
        <w:t xml:space="preserve">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adrienne maree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‘end of the world’ narratives </w:t>
      </w:r>
      <w:r w:rsidRPr="00BC2349">
        <w:rPr>
          <w:highlight w:val="green"/>
          <w:u w:val="single"/>
        </w:rPr>
        <w:t>interpellate</w:t>
      </w:r>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Barnosky and Hadley (italics ours) describe a dawning awareness that ‘the problems we were writing about. . . were everybody’s problems. . .no one was escaping the impacts. . . including us’. </w:t>
      </w:r>
      <w:r w:rsidRPr="00BC2349">
        <w:rPr>
          <w:sz w:val="10"/>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 xml:space="preserve">While Newitz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w:t>
      </w:r>
      <w:r w:rsidRPr="00BC2349">
        <w:rPr>
          <w:sz w:val="10"/>
        </w:rPr>
        <w:lastRenderedPageBreak/>
        <w:t>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6FEF745F" w14:textId="77777777" w:rsidR="00E07B37" w:rsidRDefault="00E07B37" w:rsidP="00E07B37">
      <w:pPr>
        <w:rPr>
          <w:u w:val="single"/>
        </w:rPr>
      </w:pPr>
    </w:p>
    <w:p w14:paraId="04A29D49" w14:textId="77777777" w:rsidR="00E07B37" w:rsidRDefault="00E07B37" w:rsidP="00E07B37">
      <w:pPr>
        <w:pStyle w:val="Heading4"/>
      </w:pPr>
      <w:r>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6D78A3C7" w14:textId="77777777" w:rsidR="00E07B37" w:rsidRPr="0027674A" w:rsidRDefault="00E07B37" w:rsidP="00E07B37">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482FF437" w14:textId="77777777" w:rsidR="00E07B37" w:rsidRPr="0027674A" w:rsidRDefault="00E07B37" w:rsidP="00E07B37">
      <w:r w:rsidRPr="0027674A">
        <w:t>Mitchell, Audra et. Al. “Dukarr lakarama: Listening to Guwak, talking back to space colonization” Political Geography, Volume 81, August 2020 // sam</w:t>
      </w:r>
    </w:p>
    <w:p w14:paraId="72B8C39C" w14:textId="618371FC" w:rsidR="00E07B37" w:rsidRDefault="00E07B37" w:rsidP="00E07B37">
      <w:pPr>
        <w:rPr>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w:t>
      </w:r>
      <w:r w:rsidRPr="0027674A">
        <w:rPr>
          <w:u w:val="single"/>
        </w:rPr>
        <w:lastRenderedPageBreak/>
        <w:t xml:space="preserve">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w:t>
      </w:r>
      <w:r w:rsidRPr="0027674A">
        <w:rPr>
          <w:sz w:val="10"/>
        </w:rPr>
        <w:lastRenderedPageBreak/>
        <w:t xml:space="preserve">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0AB8B10F" w14:textId="419F5184" w:rsidR="00E07B37" w:rsidRDefault="00E07B37" w:rsidP="00E07B37">
      <w:pPr>
        <w:pStyle w:val="Heading3"/>
      </w:pPr>
      <w:r>
        <w:lastRenderedPageBreak/>
        <w:t>K – Framework</w:t>
      </w:r>
    </w:p>
    <w:p w14:paraId="629D0E0A" w14:textId="77777777" w:rsidR="00E07B37" w:rsidRDefault="00E07B37" w:rsidP="00E07B37">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3E30831A" w14:textId="77777777" w:rsidR="00E07B37" w:rsidRDefault="00E07B37" w:rsidP="00E07B37">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662264BE" w14:textId="77777777" w:rsidR="00E07B37" w:rsidRPr="000A6D7F" w:rsidRDefault="00E07B37" w:rsidP="00E07B37">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sam</w:t>
      </w:r>
    </w:p>
    <w:p w14:paraId="507FC73B" w14:textId="77777777" w:rsidR="00E07B37" w:rsidRPr="003E7873" w:rsidRDefault="00E07B37" w:rsidP="00E07B37">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510B0616" w14:textId="77777777" w:rsidR="00E07B37" w:rsidRDefault="00E07B37" w:rsidP="00E07B37">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2EF56A29" w14:textId="77777777" w:rsidR="00E07B37" w:rsidRDefault="00E07B37" w:rsidP="00E07B37">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bookmarkEnd w:id="1"/>
    <w:p w14:paraId="5EC612DB" w14:textId="77777777" w:rsidR="00041BC8" w:rsidRPr="00041BC8" w:rsidRDefault="00041BC8" w:rsidP="00041BC8"/>
    <w:sectPr w:rsidR="00041BC8" w:rsidRPr="00041B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8F6"/>
    <w:rsid w:val="00041BC8"/>
    <w:rsid w:val="00154A17"/>
    <w:rsid w:val="00170109"/>
    <w:rsid w:val="002238F6"/>
    <w:rsid w:val="00333EE4"/>
    <w:rsid w:val="009D14CB"/>
    <w:rsid w:val="00D04D19"/>
    <w:rsid w:val="00E07B37"/>
    <w:rsid w:val="00E535A7"/>
    <w:rsid w:val="00F75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FD39A"/>
  <w15:chartTrackingRefBased/>
  <w15:docId w15:val="{155E94EB-AF8A-4550-B345-267BB638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0109"/>
    <w:rPr>
      <w:rFonts w:ascii="Calibri" w:eastAsiaTheme="minorEastAsia" w:hAnsi="Calibri"/>
      <w:szCs w:val="24"/>
    </w:rPr>
  </w:style>
  <w:style w:type="paragraph" w:styleId="Heading1">
    <w:name w:val="heading 1"/>
    <w:aliases w:val="Pocket"/>
    <w:basedOn w:val="Normal"/>
    <w:next w:val="Normal"/>
    <w:link w:val="Heading1Char"/>
    <w:uiPriority w:val="9"/>
    <w:qFormat/>
    <w:rsid w:val="00170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0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0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1701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0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109"/>
  </w:style>
  <w:style w:type="character" w:customStyle="1" w:styleId="Heading1Char">
    <w:name w:val="Heading 1 Char"/>
    <w:aliases w:val="Pocket Char"/>
    <w:basedOn w:val="DefaultParagraphFont"/>
    <w:link w:val="Heading1"/>
    <w:uiPriority w:val="9"/>
    <w:rsid w:val="001701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01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010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7010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17010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010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7010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70109"/>
    <w:rPr>
      <w:color w:val="auto"/>
      <w:u w:val="none"/>
    </w:rPr>
  </w:style>
  <w:style w:type="character" w:styleId="FollowedHyperlink">
    <w:name w:val="FollowedHyperlink"/>
    <w:basedOn w:val="DefaultParagraphFont"/>
    <w:uiPriority w:val="99"/>
    <w:semiHidden/>
    <w:unhideWhenUsed/>
    <w:rsid w:val="00170109"/>
    <w:rPr>
      <w:color w:val="auto"/>
      <w:u w:val="none"/>
    </w:rPr>
  </w:style>
  <w:style w:type="paragraph" w:customStyle="1" w:styleId="textbold">
    <w:name w:val="text bold"/>
    <w:basedOn w:val="Normal"/>
    <w:link w:val="Emphasis"/>
    <w:uiPriority w:val="20"/>
    <w:qFormat/>
    <w:rsid w:val="00E07B3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E07B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170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0109"/>
    <w:rPr>
      <w:rFonts w:ascii="Lucida Grande" w:eastAsiaTheme="minorEastAsia" w:hAnsi="Lucida Grande" w:cs="Lucida Grande"/>
      <w:sz w:val="24"/>
      <w:szCs w:val="24"/>
    </w:rPr>
  </w:style>
  <w:style w:type="paragraph" w:customStyle="1" w:styleId="Emphasis1">
    <w:name w:val="Emphasis1"/>
    <w:basedOn w:val="Normal"/>
    <w:autoRedefine/>
    <w:uiPriority w:val="20"/>
    <w:qFormat/>
    <w:rsid w:val="00154A17"/>
    <w:pPr>
      <w:pBdr>
        <w:top w:val="single" w:sz="4" w:space="1" w:color="auto"/>
        <w:left w:val="single" w:sz="4" w:space="4" w:color="auto"/>
        <w:bottom w:val="single" w:sz="4" w:space="1" w:color="auto"/>
        <w:right w:val="single" w:sz="4" w:space="4" w:color="auto"/>
      </w:pBdr>
      <w:ind w:left="720"/>
      <w:jc w:val="both"/>
    </w:pPr>
    <w:rPr>
      <w:rFonts w:cs="Calibri (Headings)"/>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las.osu.edu/sites/clas.osu.edu/files/Tuck%20and%20Yang%202012%20Decolonization%20is%20not%20a%20metapho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12</Pages>
  <Words>10975</Words>
  <Characters>62559</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2</cp:revision>
  <dcterms:created xsi:type="dcterms:W3CDTF">2022-02-12T20:13:00Z</dcterms:created>
  <dcterms:modified xsi:type="dcterms:W3CDTF">2022-02-12T20:13:00Z</dcterms:modified>
</cp:coreProperties>
</file>