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A075" w14:textId="77777777" w:rsidR="00743B21" w:rsidRPr="004F6910" w:rsidRDefault="00743B21" w:rsidP="00743B21">
      <w:pPr>
        <w:pStyle w:val="Heading4"/>
        <w:rPr>
          <w:sz w:val="16"/>
        </w:rPr>
      </w:pPr>
      <w:r>
        <w:t xml:space="preserve">We begin with the beginning – </w:t>
      </w:r>
      <w:r w:rsidRPr="00F14844">
        <w:t>The Supreme Being, Ñande Ru Pa Pa Tenonde, assumed human form in the midst of the primeval darkness; he sat upon apyka</w:t>
      </w:r>
      <w:r>
        <w:rPr>
          <w:sz w:val="16"/>
        </w:rPr>
        <w:t>.</w:t>
      </w:r>
      <w:r w:rsidRPr="00F14844">
        <w:rPr>
          <w:sz w:val="16"/>
        </w:rPr>
        <w:t xml:space="preserve"> </w:t>
      </w:r>
      <w:r w:rsidRPr="00F14844">
        <w:t>he contemplated the immense darkness, the infinity of chaos, pytũ yma, before he began the task of creation. He looked towards the east and there emerged the celestial vault, the original paradise, Yva rypy Tonde, divided into four regions:</w:t>
      </w:r>
      <w:r w:rsidRPr="00F14844">
        <w:rPr>
          <w:sz w:val="16"/>
        </w:rPr>
        <w:t xml:space="preserve"> </w:t>
      </w:r>
      <w:r w:rsidRPr="00F14844">
        <w:t>the sunrise</w:t>
      </w:r>
      <w:r>
        <w:t xml:space="preserve"> </w:t>
      </w:r>
      <w:r w:rsidRPr="00F14844">
        <w:t>is the abode of Karai Ru Ete</w:t>
      </w:r>
      <w:r w:rsidRPr="00F14844">
        <w:rPr>
          <w:sz w:val="16"/>
        </w:rPr>
        <w:t xml:space="preserve">, </w:t>
      </w:r>
      <w:r>
        <w:rPr>
          <w:sz w:val="16"/>
        </w:rPr>
        <w:t xml:space="preserve"> </w:t>
      </w:r>
      <w:r>
        <w:t>- th</w:t>
      </w:r>
      <w:r w:rsidRPr="00F14844">
        <w:t>e god of fire</w:t>
      </w:r>
      <w:r w:rsidRPr="00F14844">
        <w:rPr>
          <w:sz w:val="16"/>
        </w:rPr>
        <w:t xml:space="preserve">,. </w:t>
      </w:r>
      <w:r w:rsidRPr="00F14844">
        <w:t>The second region</w:t>
      </w:r>
      <w:r w:rsidRPr="00F14844">
        <w:rPr>
          <w:sz w:val="16"/>
        </w:rPr>
        <w:t xml:space="preserve">, </w:t>
      </w:r>
      <w:r w:rsidRPr="00F14844">
        <w:t xml:space="preserve">Yva rypy mbyte, is the abode of Jakaira Ru </w:t>
      </w:r>
      <w:r>
        <w:t xml:space="preserve">- </w:t>
      </w:r>
      <w:r w:rsidRPr="00F14844">
        <w:t>the lord of the life-giving mist, tatachina, that appears every year at the beginning of spring</w:t>
      </w:r>
      <w:r>
        <w:t>.</w:t>
      </w:r>
      <w:r w:rsidRPr="00F14844">
        <w:t xml:space="preserve"> The third region, that covers the center of the heavens and extends from both sides of the zenith, is the Paradise of Ñand</w:t>
      </w:r>
      <w:r>
        <w:t>e</w:t>
      </w:r>
      <w:r w:rsidRPr="00F14844">
        <w:t xml:space="preserve"> Ru Ete, god of the Sun. It is Ñamandu Ru Ete to whom we owe life; without him it would be impossible to exist</w:t>
      </w:r>
      <w:r w:rsidRPr="00F14844">
        <w:rPr>
          <w:sz w:val="16"/>
        </w:rPr>
        <w:t xml:space="preserve">; </w:t>
      </w:r>
      <w:r w:rsidRPr="00F14844">
        <w:t>Tupã Yma, the god of lightning, thunder, rain and hail, ruler of the sea and all the waters. His paradise, that of the setting sun, we call Tupã Amba, the abode of Tupã and him we call Tupã Ru Ete.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1C8B8318" w14:textId="77777777" w:rsidR="00743B21" w:rsidRPr="004F6910" w:rsidRDefault="00743B21" w:rsidP="00743B21"/>
    <w:p w14:paraId="2F30FA59" w14:textId="77777777" w:rsidR="00743B21" w:rsidRPr="0086741F" w:rsidRDefault="00743B21" w:rsidP="00743B21">
      <w:pPr>
        <w:pStyle w:val="Heading4"/>
      </w:pPr>
      <w:r w:rsidRPr="00F14844">
        <w:t>Yva rypy Tonde</w:t>
      </w:r>
      <w:r>
        <w:t xml:space="preserve"> is sacred – contemporary political discourses surrounding outer space render it Spatius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p>
    <w:p w14:paraId="0500FEE1" w14:textId="77777777" w:rsidR="00743B21" w:rsidRPr="0027674A" w:rsidRDefault="00743B21" w:rsidP="00743B21">
      <w:r w:rsidRPr="0027674A">
        <w:rPr>
          <w:b/>
          <w:bCs/>
          <w:sz w:val="26"/>
          <w:szCs w:val="26"/>
        </w:rPr>
        <w:t>Mitchell et al 20</w:t>
      </w:r>
      <w:r w:rsidRPr="0027674A">
        <w:t xml:space="preserve"> - Bawaka Country including A. Mitchell S. Wright S. Suchet-Pearson K. Lloyd L. Burarrwanga R. Ganambarr M. Ganambarr-Stubbs B. Ganambarr D. Maymuru R. Maymuru (this is a lot of authors; you can find qualifications on your own lol)</w:t>
      </w:r>
    </w:p>
    <w:p w14:paraId="123EA95A" w14:textId="77777777" w:rsidR="00743B21" w:rsidRPr="0027674A" w:rsidRDefault="00743B21" w:rsidP="00743B21">
      <w:r w:rsidRPr="0027674A">
        <w:t>Mitchell, Audra et. Al. “Dukarr lakarama: Listening to Guwak, talking back to space colonization” Political Geography, Volume 81, August 2020 // sam</w:t>
      </w:r>
    </w:p>
    <w:p w14:paraId="08F38A3C" w14:textId="77777777" w:rsidR="00743B21" w:rsidRDefault="00743B21" w:rsidP="00743B21">
      <w:pPr>
        <w:rPr>
          <w:u w:val="single"/>
        </w:rPr>
      </w:pPr>
      <w:r w:rsidRPr="0027674A">
        <w:rPr>
          <w:highlight w:val="green"/>
          <w:u w:val="single"/>
        </w:rPr>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020ADD8B" w14:textId="77777777" w:rsidR="00743B21" w:rsidRDefault="00743B21" w:rsidP="00743B21">
      <w:pPr>
        <w:pStyle w:val="Heading4"/>
      </w:pPr>
      <w:r>
        <w:t>This is a form of geological realism that understands the world through Western rationalism that brutally rejects the agency of the inhuman, be they black, indigenous, or asteroid.</w:t>
      </w:r>
    </w:p>
    <w:p w14:paraId="75E1C462" w14:textId="77777777" w:rsidR="00743B21" w:rsidRDefault="00743B21" w:rsidP="00743B21">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7137C7DB" w14:textId="77777777" w:rsidR="00743B21" w:rsidRPr="000C5935" w:rsidRDefault="00743B21" w:rsidP="00743B21">
      <w:r>
        <w:t>Katherine Yusoff, “Geologic Realism: On the Beach of Geologic Time,” 2019 // aidan + sam</w:t>
      </w:r>
    </w:p>
    <w:p w14:paraId="03FB0ED4" w14:textId="77777777" w:rsidR="00743B21" w:rsidRPr="00584254" w:rsidRDefault="00743B21" w:rsidP="00743B21">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the geotrauma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postracial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subjectifications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materialities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materialities.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51748EA4" w14:textId="77777777" w:rsidR="00743B21" w:rsidRPr="00967308" w:rsidRDefault="00743B21" w:rsidP="00743B21"/>
    <w:p w14:paraId="7F91092F" w14:textId="77777777" w:rsidR="00743B21" w:rsidRPr="00FD467A" w:rsidRDefault="00743B21" w:rsidP="00743B21">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r w:rsidRPr="00F14844">
        <w:t>Yva rypy Tonde</w:t>
      </w:r>
      <w:r>
        <w:t xml:space="preserve">, the affirmative imagines what space travel could look like if not defined by appropriation, which offers the possibility of changing our relationships both here and in the sky. </w:t>
      </w:r>
    </w:p>
    <w:p w14:paraId="7A1A4795" w14:textId="77777777" w:rsidR="00743B21" w:rsidRPr="0027674A" w:rsidRDefault="00743B21" w:rsidP="00743B21">
      <w:r w:rsidRPr="0027674A">
        <w:rPr>
          <w:b/>
          <w:bCs/>
          <w:sz w:val="26"/>
          <w:szCs w:val="26"/>
        </w:rPr>
        <w:t>Cornum 15</w:t>
      </w:r>
      <w:r w:rsidRPr="0027674A">
        <w:t xml:space="preserve"> – Lou Cornum (they/them) is a member of the Navajo Nation and also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5D39148A" w14:textId="77777777" w:rsidR="00743B21" w:rsidRPr="0027674A" w:rsidRDefault="00743B21" w:rsidP="00743B21">
      <w:r w:rsidRPr="0027674A">
        <w:t>Lou Cornum,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sam</w:t>
      </w:r>
    </w:p>
    <w:p w14:paraId="71D5E43F" w14:textId="77777777" w:rsidR="00743B21" w:rsidRDefault="00743B21" w:rsidP="00743B21">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r w:rsidRPr="0027674A">
        <w:rPr>
          <w:highlight w:val="green"/>
          <w:u w:val="single"/>
        </w:rPr>
        <w:t xml:space="preserve">the majority of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Of course at one point these places would also have been viewed as indigenous territories. While many nations have worked very hard to dispel the notion of nomadic Indian tribes, there is a history of movement among many of our peoples. Colonial forms such as reserves, reservations, nation-states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This insistence on indigenous people having to always be located on or closely connected to one particular area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Diné in order to bring the often disparate ideas of indigeneity and movement into closer proximity. Those we consider diasporic are often violently robbed of their indigeneity and those we consider indigenous are often on the move. The space NDN looks into the void and knows still who they are. Nanobah Becker shot the Mars scenes in The 6th World in Monument Valley, one of the sacred territories of the Diné.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Just because the Diné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Betonie,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r w:rsidRPr="0027674A">
        <w:rPr>
          <w:highlight w:val="green"/>
          <w:u w:val="single"/>
        </w:rPr>
        <w:t>genocide</w:t>
      </w:r>
      <w:r w:rsidRPr="0027674A">
        <w:rPr>
          <w:u w:val="single"/>
        </w:rPr>
        <w:t xml:space="preserve"> or violence. The space NDN seeks new models of interactio</w:t>
      </w:r>
      <w:r w:rsidRPr="0027674A">
        <w:rPr>
          <w:sz w:val="12"/>
        </w:rPr>
        <w:t>n. We do not travel to the distant reaches of space in order to plant our flags or act under the assumption that every planet in our sights is a terra nullius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anz outer space labor population that has shaped its society in remembrance of black slave resistance in North/South America and the Caribbean. The story follows Major Eaglefeather’s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Gangasuma, a hybrid term meaning “great lord” composed of the Angolan or Bandu word ganga and the Tupi word assu.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indigenous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narratives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Sydette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Blacktracking through Afrofuturism,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35A2373A" w14:textId="77777777" w:rsidR="00743B21" w:rsidRPr="00B1765C" w:rsidRDefault="00743B21" w:rsidP="00743B21">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2B2D8D1B" w14:textId="77777777" w:rsidR="00743B21" w:rsidRPr="0027674A" w:rsidRDefault="00743B21" w:rsidP="00743B21">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0D8B00E8" w14:textId="77777777" w:rsidR="00743B21" w:rsidRPr="0027674A" w:rsidRDefault="00743B21" w:rsidP="00743B21">
      <w:r w:rsidRPr="0027674A">
        <w:t>Audra Mitchell, “Is IR going extinct?” European Journal of International Relations,  Vol 23, Issue 1, 2017 // sam</w:t>
      </w:r>
    </w:p>
    <w:p w14:paraId="28AE6B52" w14:textId="77777777" w:rsidR="00743B21" w:rsidRPr="0027674A" w:rsidRDefault="00743B21" w:rsidP="00743B21">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geological and cosmological forces of the universe: </w:t>
      </w:r>
      <w:r w:rsidRPr="0027674A">
        <w:rPr>
          <w:highlight w:val="green"/>
          <w:u w:val="single"/>
        </w:rPr>
        <w:t>a cosmopolitics</w:t>
      </w:r>
      <w:r w:rsidRPr="0027674A">
        <w:rPr>
          <w:u w:val="single"/>
        </w:rPr>
        <w:t>.</w:t>
      </w:r>
      <w:r w:rsidRPr="0027674A">
        <w:rPr>
          <w:sz w:val="10"/>
        </w:rPr>
        <w:t xml:space="preserve"> According to Isabelle Stengers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w:t>
      </w:r>
      <w:r w:rsidRPr="0027674A">
        <w:rPr>
          <w:highlight w:val="green"/>
          <w:u w:val="single"/>
        </w:rPr>
        <w:t>Cosmopolitics is conflictual</w:t>
      </w:r>
      <w:r w:rsidRPr="0027674A">
        <w:rPr>
          <w:u w:val="single"/>
        </w:rPr>
        <w:t xml:space="preserve"> and agonistic: the insurgence of awkward subjects and the obstructions, disruptions and disjunctures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(Braidotti, 2013: 49–50). The same processes of defamiliarization, Colebrook (2014a: 58) suggests, would make possible a radical new form of feminism that, in embracing ‘a thought of life beyond the human’, would place neither man nor woman at its centre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Stoekl) puts it: </w:t>
      </w:r>
      <w:r w:rsidRPr="0027674A">
        <w:rPr>
          <w:highlight w:val="green"/>
          <w:u w:val="single"/>
        </w:rPr>
        <w:t>we</w:t>
      </w:r>
      <w:r w:rsidRPr="0027674A">
        <w:rPr>
          <w:u w:val="single"/>
        </w:rPr>
        <w:t xml:space="preserve"> might </w:t>
      </w:r>
      <w:r w:rsidRPr="0027674A">
        <w:rPr>
          <w:highlight w:val="green"/>
          <w:u w:val="single"/>
        </w:rPr>
        <w:t>have a better chance of prising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open up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ethico-political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4657F49E" w14:textId="77777777" w:rsidR="00743B21" w:rsidRPr="0027674A" w:rsidRDefault="00743B21" w:rsidP="00743B21">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37502458" w14:textId="77777777" w:rsidR="00743B21" w:rsidRPr="0027674A" w:rsidRDefault="00743B21" w:rsidP="00743B21">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188F20BC" w14:textId="77777777" w:rsidR="00743B21" w:rsidRPr="0027674A" w:rsidRDefault="00743B21" w:rsidP="00743B21">
      <w:r w:rsidRPr="0027674A">
        <w:t xml:space="preserve">Escauriza, Bettina “That which will become the earth: anarcho-indigenous speculative geographies” Journal des anthropologues 2018/1-2, </w:t>
      </w:r>
      <w:hyperlink r:id="rId10" w:history="1">
        <w:r w:rsidRPr="0027674A">
          <w:rPr>
            <w:rStyle w:val="Hyperlink"/>
          </w:rPr>
          <w:t>https://theanarchistlibrary.org/library/bettina-escauriza-that-which-will-become-the-earth //</w:t>
        </w:r>
      </w:hyperlink>
      <w:r w:rsidRPr="0027674A">
        <w:t xml:space="preserve"> sam</w:t>
      </w:r>
    </w:p>
    <w:p w14:paraId="45E77AD4" w14:textId="77777777" w:rsidR="00743B21" w:rsidRPr="0027674A" w:rsidRDefault="00743B21" w:rsidP="00743B21">
      <w:pPr>
        <w:rPr>
          <w:sz w:val="8"/>
        </w:rPr>
      </w:pPr>
      <w:r w:rsidRPr="0027674A">
        <w:rPr>
          <w:sz w:val="8"/>
        </w:rPr>
        <w:t>Ñ amand ú ,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Ñe’e , words/</w:t>
      </w:r>
      <w:r w:rsidRPr="0027674A">
        <w:rPr>
          <w:highlight w:val="green"/>
          <w:u w:val="single"/>
        </w:rPr>
        <w:t>speech, is the manifestation of</w:t>
      </w:r>
      <w:r w:rsidRPr="0027674A">
        <w:rPr>
          <w:u w:val="single"/>
        </w:rPr>
        <w:t xml:space="preserve"> ñe’a , </w:t>
      </w:r>
      <w:r w:rsidRPr="0027674A">
        <w:rPr>
          <w:highlight w:val="green"/>
          <w:u w:val="single"/>
        </w:rPr>
        <w:t>the soul.</w:t>
      </w:r>
      <w:r w:rsidRPr="0027674A">
        <w:rPr>
          <w:u w:val="single"/>
        </w:rPr>
        <w:t xml:space="preserve"> Speech is the means through which ñe’a is expressed and comes to be known. </w:t>
      </w:r>
      <w:r w:rsidRPr="0027674A">
        <w:rPr>
          <w:sz w:val="8"/>
        </w:rPr>
        <w:t>Ava ñe’e , the Indigenous language of the Guaraní people, is spoken by over eight million people throughout Paraguay, southern Brazil, southern Bolivia, northern Argentina, and in the Guaraní/ mestiz@ diaspora throughout the world. Guaraní philosophy is rooted in its language</w:t>
      </w:r>
      <w:r w:rsidRPr="0027674A">
        <w:rPr>
          <w:u w:val="single"/>
        </w:rPr>
        <w:t xml:space="preserve">. In ava ñe’e, </w:t>
      </w:r>
      <w:r w:rsidRPr="0027674A">
        <w:rPr>
          <w:highlight w:val="green"/>
          <w:u w:val="single"/>
        </w:rPr>
        <w:t>the meanings of words shift and expand</w:t>
      </w:r>
      <w:r w:rsidRPr="0027674A">
        <w:rPr>
          <w:u w:val="single"/>
        </w:rPr>
        <w:t xml:space="preserve"> as they are fused together with other words. For example, teko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yvyra . Yvy means “soil / earth / the world,” and ra means “it will become” or “it will be.” Yvyra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now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ngel Verón Gómez notes that “corporal and psychological punishments inflicted on the children for speaking in school the only language they knew included, among other things, slaps on the mouth, detention during recess, canings, insults, and name-calling” ( Gómez , 2013: 407–408). Verón Gómez further elucidates that the punishments doled out for speaking Guaraní had caused a “genuine social mutism, with serious effects on the collective self-confidence of the Paraguayan people” ( ibid. </w:t>
      </w:r>
      <w:r w:rsidRPr="0027674A">
        <w:rPr>
          <w:u w:val="single"/>
        </w:rPr>
        <w:t xml:space="preserve">). In ava ñe’e,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next .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despite the fact that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overcome . This is not a rare sentiment amongst upper-class mestiz@s and whites. Yet Paraguayan identity is defined by its Guaraní roots—so much so that calling someone “ Paraguayo ” or “ Paraguaya ” can function as a racial slur in the countries that border Paraguay. Similarly to how Colombian identity is linked to the drug trade in the international imagination ,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Mestiz@ identity, in the end, has little to do with biology or blood and more to do with a proximity to certain concepts. Mestiz@ identity, in the Paraguayan context, relates to the subject’s capacity to fit into the logic of colonization, the state, and capitalism—and thus ensure their ability to act in service of, and be governed by that logic (Cadena de la, op. cit. : 60). Mestiz@, then, is a political formulation born out of the centralized power’s need to categorize people in order to be able to rule over them. The concept of the mestiz@ as an identity that is separate from one’s Indigenous roots is one of the triumphs of colonization in Latin America. The success of the “ mestizaje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And, it is these learned values that manifest themselves as the denial of the material expression of Indigenous philosophies in our shared world.</w:t>
      </w:r>
    </w:p>
    <w:p w14:paraId="5C5FE923" w14:textId="77777777" w:rsidR="00743B21" w:rsidRPr="00492AAF" w:rsidRDefault="00743B21" w:rsidP="00743B21">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667FC08D" w14:textId="77777777" w:rsidR="00743B21" w:rsidRPr="0027674A" w:rsidRDefault="00743B21" w:rsidP="00743B21">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4E0ABD16" w14:textId="77777777" w:rsidR="00743B21" w:rsidRPr="0027674A" w:rsidRDefault="00743B21" w:rsidP="00743B21">
      <w:r w:rsidRPr="0027674A">
        <w:t xml:space="preserve">Escauriza, Bettina “That which will become the earth: anarcho-indigenous speculative geographies” Journal des anthropologues 2018/1-2, </w:t>
      </w:r>
      <w:hyperlink r:id="rId11" w:history="1">
        <w:r w:rsidRPr="0027674A">
          <w:rPr>
            <w:rStyle w:val="Hyperlink"/>
          </w:rPr>
          <w:t>https://theanarchistlibrary.org/library/bettina-escauriza-that-which-will-become-the-earth //</w:t>
        </w:r>
      </w:hyperlink>
      <w:r w:rsidRPr="0027674A">
        <w:t xml:space="preserve"> sam</w:t>
      </w:r>
    </w:p>
    <w:p w14:paraId="0D04C2FF" w14:textId="77777777" w:rsidR="00743B21" w:rsidRDefault="00743B21" w:rsidP="00743B21">
      <w:pPr>
        <w:rPr>
          <w:u w:val="single"/>
        </w:rPr>
      </w:pPr>
      <w:r w:rsidRPr="0027674A">
        <w:rPr>
          <w:sz w:val="10"/>
        </w:rPr>
        <w:t>Ava ñe’ẽ is a rebellious language. It moves. It mutates. It refuses to die. It’s always speaking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ñe’ẽ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and also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in which we collectively seek to transform our conditions and create a way of being that strives towards tekojoja − “ justice, ” or “the state in which things are equal / reciprocal</w:t>
      </w:r>
      <w:r w:rsidRPr="0027674A">
        <w:rPr>
          <w:highlight w:val="green"/>
          <w:u w:val="single"/>
        </w:rPr>
        <w:t>.” It is time to make way for new ontologies</w:t>
      </w:r>
      <w:r w:rsidRPr="0027674A">
        <w:rPr>
          <w:u w:val="single"/>
        </w:rPr>
        <w:t xml:space="preserve"> − for futures and becomings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make the lives of some people unlivable</w:t>
      </w:r>
      <w:r w:rsidRPr="0027674A">
        <w:rPr>
          <w:u w:val="single"/>
        </w:rPr>
        <w:t xml:space="preserve"> ,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Diné solutions to the problematics of access to water, the Mbororo Fulani vision on the issue of property, the Kurdish answer to the complexities of selfgovernment,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horizon ;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ones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1F318863" w14:textId="77777777" w:rsidR="00E42E4C" w:rsidRPr="00743B21" w:rsidRDefault="00E42E4C" w:rsidP="00743B21"/>
    <w:sectPr w:rsidR="00E42E4C" w:rsidRPr="00743B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3B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B2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56594"/>
  <w14:defaultImageDpi w14:val="300"/>
  <w15:docId w15:val="{4ED20591-DA35-0848-8561-6FBB5D61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B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3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B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3B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743B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3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B21"/>
  </w:style>
  <w:style w:type="character" w:customStyle="1" w:styleId="Heading1Char">
    <w:name w:val="Heading 1 Char"/>
    <w:aliases w:val="Pocket Char"/>
    <w:basedOn w:val="DefaultParagraphFont"/>
    <w:link w:val="Heading1"/>
    <w:uiPriority w:val="9"/>
    <w:rsid w:val="00743B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3B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3B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743B2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43B21"/>
    <w:rPr>
      <w:b/>
      <w:sz w:val="26"/>
      <w:u w:val="none"/>
    </w:rPr>
  </w:style>
  <w:style w:type="character" w:customStyle="1" w:styleId="StyleUnderline">
    <w:name w:val="Style Underline"/>
    <w:aliases w:val="Underline"/>
    <w:basedOn w:val="DefaultParagraphFont"/>
    <w:uiPriority w:val="1"/>
    <w:qFormat/>
    <w:rsid w:val="00743B21"/>
    <w:rPr>
      <w:b w:val="0"/>
      <w:sz w:val="22"/>
      <w:u w:val="single"/>
    </w:rPr>
  </w:style>
  <w:style w:type="character" w:styleId="Emphasis">
    <w:name w:val="Emphasis"/>
    <w:basedOn w:val="DefaultParagraphFont"/>
    <w:uiPriority w:val="20"/>
    <w:qFormat/>
    <w:rsid w:val="00743B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3B2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43B21"/>
    <w:rPr>
      <w:color w:val="auto"/>
      <w:u w:val="none"/>
    </w:rPr>
  </w:style>
  <w:style w:type="paragraph" w:styleId="DocumentMap">
    <w:name w:val="Document Map"/>
    <w:basedOn w:val="Normal"/>
    <w:link w:val="DocumentMapChar"/>
    <w:uiPriority w:val="99"/>
    <w:semiHidden/>
    <w:unhideWhenUsed/>
    <w:rsid w:val="00743B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B2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43B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10334</Words>
  <Characters>58905</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1</cp:revision>
  <dcterms:created xsi:type="dcterms:W3CDTF">2022-01-22T20:03:00Z</dcterms:created>
  <dcterms:modified xsi:type="dcterms:W3CDTF">2022-01-22T20:04:00Z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