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sz w:val="24"/>
          <w:szCs w:val="24"/>
          <w:rtl w:val="0"/>
        </w:rPr>
        <w:t xml:space="preserve">I affirm the resolution</w:t>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4"/>
          <w:szCs w:val="24"/>
          <w:rtl w:val="0"/>
        </w:rPr>
        <w:t xml:space="preserve">“Injustice anywhere is a threat to justice everywhere.” This famous quote from the Reverend Dr. Martin Luther King Junior applies in new and interesting ways to today’s resolution, which I affirm: Resolved: The appropriation of outer space by private entities is unjust.</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rtl w:val="0"/>
        </w:rPr>
      </w:r>
    </w:p>
    <w:p w:rsidR="00000000" w:rsidDel="00000000" w:rsidP="00000000" w:rsidRDefault="00000000" w:rsidRPr="00000000" w14:paraId="00000005">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7">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rtl w:val="0"/>
        </w:rPr>
      </w:r>
    </w:p>
    <w:p w:rsidR="00000000" w:rsidDel="00000000" w:rsidP="00000000" w:rsidRDefault="00000000" w:rsidRPr="00000000" w14:paraId="00000009">
      <w:pPr>
        <w:spacing w:after="40" w:before="240" w:line="240" w:lineRule="auto"/>
        <w:rPr>
          <w:b w:val="1"/>
          <w:sz w:val="24"/>
          <w:szCs w:val="24"/>
        </w:rPr>
      </w:pPr>
      <w:r w:rsidDel="00000000" w:rsidR="00000000" w:rsidRPr="00000000">
        <w:rPr>
          <w:b w:val="1"/>
          <w:color w:val="000000"/>
          <w:sz w:val="24"/>
          <w:szCs w:val="24"/>
          <w:rtl w:val="0"/>
        </w:rPr>
        <w:t xml:space="preserve">“Appropriation of outer space” by private entities refers to the exercise of exclusive control of space. </w:t>
      </w:r>
      <w:r w:rsidDel="00000000" w:rsidR="00000000" w:rsidRPr="00000000">
        <w:rPr>
          <w:b w:val="1"/>
          <w:sz w:val="24"/>
          <w:szCs w:val="24"/>
          <w:rtl w:val="0"/>
        </w:rPr>
        <w:t xml:space="preserve">Trapp:</w:t>
      </w:r>
    </w:p>
    <w:p w:rsidR="00000000" w:rsidDel="00000000" w:rsidP="00000000" w:rsidRDefault="00000000" w:rsidRPr="00000000" w14:paraId="0000000A">
      <w:pPr>
        <w:spacing w:after="240" w:before="240" w:line="240" w:lineRule="auto"/>
        <w:rPr>
          <w:sz w:val="20"/>
          <w:szCs w:val="20"/>
        </w:rPr>
      </w:pPr>
      <w:r w:rsidDel="00000000" w:rsidR="00000000" w:rsidRPr="00000000">
        <w:rPr>
          <w:color w:val="000000"/>
          <w:sz w:val="20"/>
          <w:szCs w:val="20"/>
          <w:rtl w:val="0"/>
        </w:rPr>
        <w:t xml:space="preserve">TIMOTHY JUSTIN </w:t>
      </w:r>
      <w:r w:rsidDel="00000000" w:rsidR="00000000" w:rsidRPr="00000000">
        <w:rPr>
          <w:b w:val="1"/>
          <w:color w:val="000000"/>
          <w:sz w:val="20"/>
          <w:szCs w:val="20"/>
          <w:rtl w:val="0"/>
        </w:rPr>
        <w:t xml:space="preserve">TRAPP</w:t>
      </w:r>
      <w:r w:rsidDel="00000000" w:rsidR="00000000" w:rsidRPr="00000000">
        <w:rPr>
          <w:color w:val="000000"/>
          <w:sz w:val="20"/>
          <w:szCs w:val="20"/>
          <w:rtl w:val="0"/>
        </w:rPr>
        <w:t xml:space="preserve">, JD Candidate @ UIUC Law, ’13, TAKING UP SPACE BY ANY OTHER MEANS: COMING TO TERMS WITH THE NONAPPROPRIATION ARTICLE OF THE OUTER SPACE TREATY UNIVERSITY OF ILLINOIS LAW REVIEW [Vol. 2013 No. 4]</w:t>
      </w:r>
      <w:r w:rsidDel="00000000" w:rsidR="00000000" w:rsidRPr="00000000">
        <w:rPr>
          <w:rtl w:val="0"/>
        </w:rPr>
      </w:r>
    </w:p>
    <w:p w:rsidR="00000000" w:rsidDel="00000000" w:rsidP="00000000" w:rsidRDefault="00000000" w:rsidRPr="00000000" w14:paraId="0000000B">
      <w:pPr>
        <w:spacing w:after="240" w:before="240" w:line="240" w:lineRule="auto"/>
        <w:rPr>
          <w:sz w:val="24"/>
          <w:szCs w:val="24"/>
        </w:rPr>
      </w:pPr>
      <w:r w:rsidDel="00000000" w:rsidR="00000000" w:rsidRPr="00000000">
        <w:rPr>
          <w:color w:val="000000"/>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color w:val="000000"/>
          <w:sz w:val="24"/>
          <w:szCs w:val="24"/>
          <w:rtl w:val="0"/>
        </w:rPr>
        <w:t xml:space="preserve">(“</w:t>
      </w:r>
      <w:r w:rsidDel="00000000" w:rsidR="00000000" w:rsidRPr="00000000">
        <w:rPr>
          <w:b w:val="1"/>
          <w:color w:val="000000"/>
          <w:sz w:val="24"/>
          <w:szCs w:val="24"/>
          <w:highlight w:val="yellow"/>
          <w:u w:val="single"/>
          <w:rtl w:val="0"/>
        </w:rPr>
        <w:t xml:space="preserve">Appropriation of outer space</w:t>
      </w:r>
      <w:r w:rsidDel="00000000" w:rsidR="00000000" w:rsidRPr="00000000">
        <w:rPr>
          <w:color w:val="000000"/>
          <w:sz w:val="24"/>
          <w:szCs w:val="24"/>
          <w:rtl w:val="0"/>
        </w:rPr>
        <w:t xml:space="preserve">, </w:t>
      </w:r>
      <w:r w:rsidDel="00000000" w:rsidR="00000000" w:rsidRPr="00000000">
        <w:rPr>
          <w:color w:val="000000"/>
          <w:rtl w:val="0"/>
        </w:rPr>
        <w:t xml:space="preserve">therefore,</w:t>
      </w:r>
      <w:r w:rsidDel="00000000" w:rsidR="00000000" w:rsidRPr="00000000">
        <w:rPr>
          <w:b w:val="1"/>
          <w:color w:val="000000"/>
          <w:highlight w:val="yellow"/>
          <w:u w:val="single"/>
          <w:rtl w:val="0"/>
        </w:rPr>
        <w:t xml:space="preserve"> </w:t>
      </w:r>
      <w:r w:rsidDel="00000000" w:rsidR="00000000" w:rsidRPr="00000000">
        <w:rPr>
          <w:b w:val="1"/>
          <w:color w:val="000000"/>
          <w:sz w:val="24"/>
          <w:szCs w:val="24"/>
          <w:highlight w:val="yellow"/>
          <w:u w:val="single"/>
          <w:rtl w:val="0"/>
        </w:rPr>
        <w:t xml:space="preserve">is ‘the exercise of exclusive control </w:t>
      </w:r>
      <w:r w:rsidDel="00000000" w:rsidR="00000000" w:rsidRPr="00000000">
        <w:rPr>
          <w:color w:val="000000"/>
          <w:rtl w:val="0"/>
        </w:rPr>
        <w:t xml:space="preserve">or exclusive use’</w:t>
      </w:r>
      <w:r w:rsidDel="00000000" w:rsidR="00000000" w:rsidRPr="00000000">
        <w:rPr>
          <w:b w:val="1"/>
          <w:color w:val="000000"/>
          <w:u w:val="single"/>
          <w:rtl w:val="0"/>
        </w:rPr>
        <w:t xml:space="preserve"> </w:t>
      </w:r>
      <w:r w:rsidDel="00000000" w:rsidR="00000000" w:rsidRPr="00000000">
        <w:rPr>
          <w:b w:val="1"/>
          <w:color w:val="000000"/>
          <w:sz w:val="24"/>
          <w:szCs w:val="24"/>
          <w:highlight w:val="yellow"/>
          <w:u w:val="single"/>
          <w:rtl w:val="0"/>
        </w:rPr>
        <w:t xml:space="preserve">with a sense of permanence, which limits other nations’ access</w:t>
      </w:r>
      <w:r w:rsidDel="00000000" w:rsidR="00000000" w:rsidRPr="00000000">
        <w:rPr>
          <w:color w:val="000000"/>
          <w:rtl w:val="0"/>
        </w:rPr>
        <w:t xml:space="preserve"> </w:t>
      </w:r>
      <w:r w:rsidDel="00000000" w:rsidR="00000000" w:rsidRPr="00000000">
        <w:rPr>
          <w:color w:val="000000"/>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22">
      <w:pPr>
        <w:spacing w:after="240" w:line="240" w:lineRule="auto"/>
        <w:rPr>
          <w:sz w:val="24"/>
          <w:szCs w:val="24"/>
        </w:rPr>
      </w:pP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color w:val="000000"/>
          <w:sz w:val="24"/>
          <w:szCs w:val="24"/>
          <w:rtl w:val="0"/>
        </w:rPr>
        <w:t xml:space="preserve">I will defend this thesis through the following CONTENTION:</w:t>
      </w: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26">
      <w:pPr>
        <w:spacing w:after="0" w:line="240" w:lineRule="auto"/>
        <w:rPr>
          <w:sz w:val="24"/>
          <w:szCs w:val="24"/>
        </w:rPr>
      </w:pP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28">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29">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2A">
      <w:pPr>
        <w:spacing w:after="0" w:line="240" w:lineRule="auto"/>
        <w:rPr>
          <w:sz w:val="24"/>
          <w:szCs w:val="24"/>
        </w:rPr>
      </w:pPr>
      <w:r w:rsidDel="00000000" w:rsidR="00000000" w:rsidRPr="00000000">
        <w:rPr>
          <w:rtl w:val="0"/>
        </w:rPr>
      </w:r>
    </w:p>
    <w:p w:rsidR="00000000" w:rsidDel="00000000" w:rsidP="00000000" w:rsidRDefault="00000000" w:rsidRPr="00000000" w14:paraId="0000002B">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2C">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2D">
      <w:pPr>
        <w:spacing w:after="0" w:line="240" w:lineRule="auto"/>
        <w:rPr>
          <w:sz w:val="24"/>
          <w:szCs w:val="24"/>
        </w:rPr>
      </w:pPr>
      <w:r w:rsidDel="00000000" w:rsidR="00000000" w:rsidRPr="00000000">
        <w:rPr>
          <w:rtl w:val="0"/>
        </w:rPr>
      </w:r>
    </w:p>
    <w:p w:rsidR="00000000" w:rsidDel="00000000" w:rsidP="00000000" w:rsidRDefault="00000000" w:rsidRPr="00000000" w14:paraId="0000002E">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2F">
      <w:pPr>
        <w:spacing w:after="0" w:line="240" w:lineRule="auto"/>
        <w:rPr>
          <w:sz w:val="24"/>
          <w:szCs w:val="24"/>
        </w:rPr>
      </w:pPr>
      <w:r w:rsidDel="00000000" w:rsidR="00000000" w:rsidRPr="00000000">
        <w:rPr>
          <w:b w:val="1"/>
          <w:sz w:val="24"/>
          <w:szCs w:val="24"/>
          <w:rtl w:val="0"/>
        </w:rPr>
        <w:t xml:space="preserve">Stilz 2</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30">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31">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32">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33">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34">
      <w:pPr>
        <w:spacing w:after="0" w:line="240" w:lineRule="auto"/>
        <w:rPr>
          <w:sz w:val="24"/>
          <w:szCs w:val="24"/>
        </w:rPr>
      </w:pPr>
      <w:r w:rsidDel="00000000" w:rsidR="00000000" w:rsidRPr="00000000">
        <w:rPr>
          <w:rtl w:val="0"/>
        </w:rPr>
      </w:r>
    </w:p>
    <w:p w:rsidR="00000000" w:rsidDel="00000000" w:rsidP="00000000" w:rsidRDefault="00000000" w:rsidRPr="00000000" w14:paraId="00000035">
      <w:pPr>
        <w:spacing w:after="0" w:line="240" w:lineRule="auto"/>
        <w:rPr>
          <w:sz w:val="24"/>
          <w:szCs w:val="24"/>
        </w:rPr>
      </w:pPr>
      <w:r w:rsidDel="00000000" w:rsidR="00000000" w:rsidRPr="00000000">
        <w:rPr>
          <w:rtl w:val="0"/>
        </w:rPr>
      </w:r>
    </w:p>
    <w:p w:rsidR="00000000" w:rsidDel="00000000" w:rsidP="00000000" w:rsidRDefault="00000000" w:rsidRPr="00000000" w14:paraId="00000036">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