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BC5FB1" w14:textId="08829C8D" w:rsidR="00533E28" w:rsidRDefault="00533E28" w:rsidP="00533E28">
      <w:pPr>
        <w:pStyle w:val="Heading1"/>
      </w:pPr>
      <w:r>
        <w:t>1AC vs. RatCha VJ</w:t>
      </w:r>
    </w:p>
    <w:p w14:paraId="01AFBB22" w14:textId="77777777" w:rsidR="00533E28" w:rsidRPr="0007420E" w:rsidRDefault="00533E28" w:rsidP="00533E28">
      <w:pPr>
        <w:pStyle w:val="Heading2"/>
        <w:rPr>
          <w:rFonts w:cs="Calibri"/>
        </w:rPr>
      </w:pPr>
      <w:r w:rsidRPr="0007420E">
        <w:rPr>
          <w:rFonts w:cs="Calibri"/>
        </w:rPr>
        <w:t>1ac</w:t>
      </w:r>
    </w:p>
    <w:p w14:paraId="4DAAB2CF" w14:textId="77777777" w:rsidR="00533E28" w:rsidRPr="0007420E" w:rsidRDefault="00533E28" w:rsidP="00533E28">
      <w:pPr>
        <w:pStyle w:val="Heading3"/>
        <w:rPr>
          <w:rFonts w:cs="Calibri"/>
        </w:rPr>
      </w:pPr>
      <w:r w:rsidRPr="0007420E">
        <w:rPr>
          <w:rFonts w:cs="Calibri"/>
        </w:rPr>
        <w:t>Framework</w:t>
      </w:r>
    </w:p>
    <w:p w14:paraId="289A9688" w14:textId="77777777" w:rsidR="00533E28" w:rsidRPr="0007420E" w:rsidRDefault="00533E28" w:rsidP="00533E28">
      <w:pPr>
        <w:pStyle w:val="Heading4"/>
        <w:rPr>
          <w:rFonts w:cs="Calibri"/>
        </w:rPr>
      </w:pPr>
      <w:r w:rsidRPr="0007420E">
        <w:rPr>
          <w:rFonts w:cs="Calibri"/>
        </w:rPr>
        <w:t>Freedom is a primary ethical good –</w:t>
      </w:r>
    </w:p>
    <w:p w14:paraId="4D8D9607" w14:textId="77777777" w:rsidR="00533E28" w:rsidRPr="0007420E" w:rsidRDefault="00533E28" w:rsidP="00533E28">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bracketed for grammar and gendered language </w:t>
      </w:r>
    </w:p>
    <w:p w14:paraId="4BC17457" w14:textId="77777777" w:rsidR="00533E28" w:rsidRPr="0007420E" w:rsidRDefault="00533E28" w:rsidP="00533E28">
      <w:pPr>
        <w:rPr>
          <w:sz w:val="16"/>
          <w:szCs w:val="16"/>
        </w:rPr>
      </w:pPr>
      <w:r w:rsidRPr="0007420E">
        <w:rPr>
          <w:sz w:val="16"/>
          <w:szCs w:val="16"/>
        </w:rPr>
        <w:t>[Alan Gewirth, () "The Ontological Basis of Natural Law: A Critique and an Alternative" American Journal Of Jurisprudence: Vol. 29: Iss. 1 Article 5, 1984, https://scholarship.law.nd.edu/ajj/vol29/iss1/5/, DOA:9-10-2018 // WWBW Recut LHP AV]</w:t>
      </w:r>
    </w:p>
    <w:p w14:paraId="579919BA" w14:textId="77777777" w:rsidR="00533E28" w:rsidRPr="0007420E" w:rsidRDefault="00533E28" w:rsidP="00533E28">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277CD288" w14:textId="77777777" w:rsidR="00533E28" w:rsidRPr="0007420E" w:rsidRDefault="00533E28" w:rsidP="00533E28">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7AA57CB3" w14:textId="77777777" w:rsidR="00533E28" w:rsidRPr="0007420E" w:rsidRDefault="00533E28" w:rsidP="00533E28">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39ADE24D" w14:textId="77777777" w:rsidR="00533E28" w:rsidRPr="0007420E" w:rsidRDefault="00533E28" w:rsidP="00533E28">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5ECF86CD" w14:textId="77777777" w:rsidR="00533E28" w:rsidRPr="00F60A9D" w:rsidRDefault="00533E28" w:rsidP="00533E28">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5A7356B7" w14:textId="77777777" w:rsidR="00533E28" w:rsidRPr="00BA7908" w:rsidRDefault="00533E28" w:rsidP="00533E28">
      <w:pPr>
        <w:rPr>
          <w:sz w:val="16"/>
          <w:szCs w:val="16"/>
        </w:rPr>
      </w:pPr>
      <w:r w:rsidRPr="00BA7908">
        <w:rPr>
          <w:sz w:val="16"/>
          <w:szCs w:val="16"/>
        </w:rPr>
        <w:t>Philip Pettit, “Legitimacy and Justice in Republican Perspective” Current Legal Problems, 2012 RE Recut LHP AV</w:t>
      </w:r>
    </w:p>
    <w:p w14:paraId="15D28812" w14:textId="77777777" w:rsidR="00533E28" w:rsidRPr="00F60A9D" w:rsidRDefault="00533E28" w:rsidP="00533E28">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Indeed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’s will; they have to depend on the state of the master’s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r w:rsidRPr="00707B98">
        <w:rPr>
          <w:b/>
          <w:bCs/>
          <w:highlight w:val="yellow"/>
          <w:u w:val="single"/>
        </w:rPr>
        <w:t>so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48BAC8FF" w14:textId="77777777" w:rsidR="00533E28" w:rsidRPr="007C26D7" w:rsidRDefault="00533E28" w:rsidP="00533E28">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40BDA9CA" w14:textId="77777777" w:rsidR="00533E28" w:rsidRDefault="00533E28" w:rsidP="00533E28">
      <w:pPr>
        <w:pStyle w:val="Heading4"/>
      </w:pPr>
      <w:r w:rsidRPr="0007420E">
        <w:t>Impact calc</w:t>
      </w:r>
      <w:r>
        <w:t xml:space="preserve"> – power can be exercised non-arbitrarily insofar as those interfered with have control over domination, Pettit 2:</w:t>
      </w:r>
    </w:p>
    <w:p w14:paraId="47278B57" w14:textId="77777777" w:rsidR="00533E28" w:rsidRPr="00DA77C9" w:rsidRDefault="00533E28" w:rsidP="00533E28">
      <w:r>
        <w:t>Pettit P. Freedom in the market. Politics, Philosophy &amp; Economics. 2006;5(2):131-149. doi:10.1177/1470594X06064218 //LHP AV Accessed 7/4/21</w:t>
      </w:r>
    </w:p>
    <w:p w14:paraId="53196418" w14:textId="77777777" w:rsidR="00533E28" w:rsidRPr="00E80A12" w:rsidRDefault="00533E28" w:rsidP="00533E28">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interfere: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with: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justified, or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1021BE3E" w14:textId="77777777" w:rsidR="00533E28" w:rsidRPr="0007420E" w:rsidRDefault="00533E28" w:rsidP="00533E28">
      <w:pPr>
        <w:pStyle w:val="Heading4"/>
      </w:pPr>
      <w:r w:rsidRPr="0007420E">
        <w:t>Prefer –</w:t>
      </w:r>
    </w:p>
    <w:p w14:paraId="798C1BF9" w14:textId="77777777" w:rsidR="00533E28" w:rsidRPr="00F60A9D" w:rsidRDefault="00533E28" w:rsidP="00533E28">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glang:</w:t>
      </w:r>
    </w:p>
    <w:p w14:paraId="0F1A1C4A" w14:textId="77777777" w:rsidR="00533E28" w:rsidRPr="00BA7908" w:rsidRDefault="00533E28" w:rsidP="00533E28">
      <w:pPr>
        <w:rPr>
          <w:sz w:val="16"/>
          <w:szCs w:val="16"/>
        </w:rPr>
      </w:pPr>
      <w:r w:rsidRPr="00BA7908">
        <w:rPr>
          <w:sz w:val="16"/>
          <w:szCs w:val="16"/>
        </w:rPr>
        <w:t>PETTIT, PHILIP. “THE DOMINATION COMPLAINT.” Nomos, vol. 46, 2005, pp. 87–117. JSTOR, www.jstor.org/stable/24220143. Accessed 19 Aug. 2020.</w:t>
      </w:r>
    </w:p>
    <w:p w14:paraId="77BC0E08" w14:textId="77777777" w:rsidR="00533E28" w:rsidRPr="00F60A9D" w:rsidRDefault="00533E28" w:rsidP="00533E28">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Thus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inter act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0473503B" w14:textId="77777777" w:rsidR="00533E28" w:rsidRPr="00F60A9D" w:rsidRDefault="00533E28" w:rsidP="00533E28">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56D99CB5" w14:textId="77777777" w:rsidR="00533E28" w:rsidRPr="00BA7908" w:rsidRDefault="00533E28" w:rsidP="00533E28">
      <w:pPr>
        <w:rPr>
          <w:sz w:val="16"/>
          <w:szCs w:val="16"/>
        </w:rPr>
      </w:pPr>
      <w:r w:rsidRPr="00BA7908">
        <w:rPr>
          <w:sz w:val="16"/>
          <w:szCs w:val="16"/>
        </w:rPr>
        <w:t>PETTIT, PHILIP. “THE DOMINATION COMPLAINT.” Nomos, vol. 46, 2005, pp. 87–117. JSTOR, www.jstor.org/stable/24220143. Accessed 19 Aug. 2020.</w:t>
      </w:r>
    </w:p>
    <w:p w14:paraId="755DAB36" w14:textId="77777777" w:rsidR="00533E28" w:rsidRPr="00F60A9D" w:rsidRDefault="00533E28" w:rsidP="00533E28">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He will no longer have the sort of voice that can be reliably forthright, or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257E2031" w14:textId="77777777" w:rsidR="00533E28" w:rsidRPr="00EF4D9C" w:rsidRDefault="00533E28" w:rsidP="00533E28">
      <w:pPr>
        <w:pStyle w:val="Heading4"/>
      </w:pPr>
      <w:r w:rsidRPr="00EF4D9C">
        <w:t xml:space="preserve">3] Sociality – </w:t>
      </w:r>
      <w:r>
        <w:t xml:space="preserve">Agents are constructed by recognition through the other. </w:t>
      </w:r>
      <w:r w:rsidRPr="00EF4D9C">
        <w:t xml:space="preserve">However, that leaves agents vulnerable to denial by the not-I. </w:t>
      </w:r>
      <w:r>
        <w:t xml:space="preserve">This </w:t>
      </w:r>
      <w:r w:rsidRPr="00EF4D9C">
        <w:t>commits agents to mutual recognition. Wood</w:t>
      </w:r>
      <w:r>
        <w:t>:</w:t>
      </w:r>
    </w:p>
    <w:p w14:paraId="72A5CF17" w14:textId="77777777" w:rsidR="00533E28" w:rsidRPr="00A070CE" w:rsidRDefault="00533E28" w:rsidP="00533E28">
      <w:r w:rsidRPr="00A070CE">
        <w:t>Allen W. Wood, "Fichte's Philosophy of Right and Ethics," forthcoming in Günter Zöller (ed). The Cambridge Companion to Fichte. New York: Cambridge University Press.</w:t>
      </w:r>
    </w:p>
    <w:p w14:paraId="5E0696A5" w14:textId="77777777" w:rsidR="00533E28" w:rsidRPr="00EF4D9C" w:rsidRDefault="00533E28" w:rsidP="00533E28">
      <w:pPr>
        <w:rPr>
          <w:b/>
          <w:bCs/>
          <w:u w:val="single"/>
        </w:rPr>
      </w:pPr>
      <w:r w:rsidRPr="000E4979">
        <w:rPr>
          <w:sz w:val="10"/>
        </w:rPr>
        <w:t xml:space="preserve">To understand another as a rational being making such a demand, and to display such understanding in action is to "recognize" (anerkennen) the other (GA I/3:353).  </w:t>
      </w:r>
      <w:r w:rsidRPr="008742FE">
        <w:rPr>
          <w:b/>
          <w:bCs/>
          <w:highlight w:val="yellow"/>
          <w:u w:val="single"/>
        </w:rPr>
        <w:t>Since every free being necessarily wills</w:t>
      </w:r>
      <w:r w:rsidRPr="006620DC">
        <w:rPr>
          <w:b/>
          <w:bCs/>
          <w:u w:val="single"/>
        </w:rPr>
        <w:t xml:space="preserve"> to make use of </w:t>
      </w:r>
      <w:r w:rsidRPr="008742FE">
        <w:rPr>
          <w:b/>
          <w:bCs/>
          <w:highlight w:val="yellow"/>
          <w:u w:val="single"/>
        </w:rPr>
        <w:t>its freedom, the basic demand I necessarily make</w:t>
      </w:r>
      <w:r w:rsidRPr="006620DC">
        <w:rPr>
          <w:b/>
          <w:bCs/>
          <w:u w:val="single"/>
        </w:rPr>
        <w:t xml:space="preserve"> on every other free being </w:t>
      </w:r>
      <w:r w:rsidRPr="008742FE">
        <w:rPr>
          <w:b/>
          <w:bCs/>
          <w:highlight w:val="yellow"/>
          <w:u w:val="single"/>
        </w:rPr>
        <w:t xml:space="preserve">is that it should </w:t>
      </w:r>
      <w:r w:rsidRPr="006620DC">
        <w:rPr>
          <w:b/>
          <w:bCs/>
          <w:u w:val="single"/>
        </w:rPr>
        <w:t xml:space="preserve">limit its action in such a way that I am </w:t>
      </w:r>
      <w:r w:rsidRPr="008742FE">
        <w:rPr>
          <w:b/>
          <w:bCs/>
          <w:highlight w:val="yellow"/>
          <w:u w:val="single"/>
        </w:rPr>
        <w:t>allow</w:t>
      </w:r>
      <w:r w:rsidRPr="006620DC">
        <w:rPr>
          <w:b/>
          <w:bCs/>
          <w:u w:val="single"/>
        </w:rPr>
        <w:t xml:space="preserve">ed a sphere for </w:t>
      </w:r>
      <w:r w:rsidRPr="008742FE">
        <w:rPr>
          <w:b/>
          <w:bCs/>
          <w:highlight w:val="yellow"/>
          <w:u w:val="single"/>
        </w:rPr>
        <w:t>the exercise of my freedom</w:t>
      </w:r>
      <w:r w:rsidRPr="008742FE">
        <w:rPr>
          <w:sz w:val="10"/>
          <w:highlight w:val="yellow"/>
        </w:rPr>
        <w:t xml:space="preserve"> </w:t>
      </w:r>
      <w:r w:rsidRPr="000E4979">
        <w:rPr>
          <w:sz w:val="10"/>
        </w:rPr>
        <w:t>(GA I/3:357-358).  Fichte argues that for this reason</w:t>
      </w:r>
      <w:r w:rsidRPr="006620DC">
        <w:rPr>
          <w:b/>
          <w:bCs/>
          <w:u w:val="single"/>
        </w:rPr>
        <w:t xml:space="preserve"> </w:t>
      </w:r>
      <w:r w:rsidRPr="008742FE">
        <w:rPr>
          <w:b/>
          <w:bCs/>
          <w:highlight w:val="yellow"/>
          <w:u w:val="single"/>
        </w:rPr>
        <w:t>I must assume that others will recognize me</w:t>
      </w:r>
      <w:r w:rsidRPr="000E4979">
        <w:rPr>
          <w:sz w:val="10"/>
        </w:rPr>
        <w:t xml:space="preserve">, but </w:t>
      </w:r>
      <w:r w:rsidRPr="008742FE">
        <w:rPr>
          <w:b/>
          <w:bCs/>
          <w:highlight w:val="yellow"/>
          <w:u w:val="single"/>
        </w:rPr>
        <w:t xml:space="preserve">since I cannot expect others to do so unless I treat them as rational </w:t>
      </w:r>
      <w:r w:rsidRPr="006620DC">
        <w:rPr>
          <w:b/>
          <w:bCs/>
          <w:u w:val="single"/>
        </w:rPr>
        <w:t xml:space="preserve">beings, </w:t>
      </w:r>
      <w:r w:rsidRPr="008742FE">
        <w:rPr>
          <w:b/>
          <w:bCs/>
          <w:highlight w:val="yellow"/>
          <w:u w:val="single"/>
        </w:rPr>
        <w:t xml:space="preserve">I am bound </w:t>
      </w:r>
      <w:r w:rsidRPr="006620DC">
        <w:rPr>
          <w:b/>
          <w:bCs/>
          <w:u w:val="single"/>
        </w:rPr>
        <w:t>by mere logical consistency</w:t>
      </w:r>
      <w:r w:rsidRPr="000E4979">
        <w:rPr>
          <w:sz w:val="10"/>
        </w:rPr>
        <w:t xml:space="preserve"> (and prior to any moral requirement) </w:t>
      </w:r>
      <w:r w:rsidRPr="008742FE">
        <w:rPr>
          <w:b/>
          <w:bCs/>
          <w:highlight w:val="yellow"/>
          <w:u w:val="single"/>
        </w:rPr>
        <w:t xml:space="preserve">to recognize all others </w:t>
      </w:r>
      <w:r w:rsidRPr="006620DC">
        <w:rPr>
          <w:b/>
          <w:bCs/>
          <w:u w:val="single"/>
        </w:rPr>
        <w:t>and treat them accordingly</w:t>
      </w:r>
      <w:r w:rsidRPr="000E4979">
        <w:rPr>
          <w:sz w:val="10"/>
        </w:rPr>
        <w:t xml:space="preserve"> (GA I/3:349-356). </w:t>
      </w:r>
      <w:r w:rsidRPr="006620DC">
        <w:rPr>
          <w:b/>
          <w:bCs/>
          <w:u w:val="single"/>
        </w:rPr>
        <w:t xml:space="preserve">Recognition must be presupposed as the condition of all interactions between free beings, and it must be presupposed </w:t>
      </w:r>
      <w:r w:rsidRPr="008742FE">
        <w:rPr>
          <w:b/>
          <w:bCs/>
          <w:highlight w:val="yellow"/>
          <w:u w:val="single"/>
        </w:rPr>
        <w:t>as a reciprocal relation</w:t>
      </w:r>
      <w:r w:rsidRPr="000E4979">
        <w:rPr>
          <w:sz w:val="10"/>
        </w:rPr>
        <w:t xml:space="preserve">, which Fichte calls the "relation of right". It grounds the "principle of right": "I must in all cases recognize the free being outside me as such, i.e.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t>
      </w:r>
      <w:r w:rsidRPr="006620DC">
        <w:rPr>
          <w:b/>
          <w:bCs/>
          <w:u w:val="single"/>
        </w:rPr>
        <w:t xml:space="preserve">We have seen that </w:t>
      </w:r>
      <w:r w:rsidRPr="00EF4D9C">
        <w:rPr>
          <w:b/>
          <w:bCs/>
          <w:highlight w:val="yellow"/>
          <w:u w:val="single"/>
        </w:rPr>
        <w:t>the I must be limited by a not-I</w:t>
      </w:r>
      <w:r w:rsidRPr="006620DC">
        <w:rPr>
          <w:b/>
          <w:bCs/>
          <w:u w:val="single"/>
        </w:rPr>
        <w:t>.</w:t>
      </w:r>
      <w:r w:rsidRPr="000E4979">
        <w:rPr>
          <w:sz w:val="10"/>
        </w:rPr>
        <w:t xml:space="preserve"> Fichte interprets as saying that </w:t>
      </w:r>
      <w:r w:rsidRPr="006620DC">
        <w:rPr>
          <w:b/>
          <w:bCs/>
          <w:u w:val="single"/>
        </w:rPr>
        <w:t>the I and an external, material world must exercise a mutual causal influence on one another</w:t>
      </w:r>
      <w:r w:rsidRPr="000E4979">
        <w:rPr>
          <w:sz w:val="10"/>
        </w:rPr>
        <w:t xml:space="preserve">.  But </w:t>
      </w:r>
      <w:r w:rsidRPr="006620DC">
        <w:rPr>
          <w:b/>
          <w:bCs/>
          <w:u w:val="single"/>
        </w:rPr>
        <w:t xml:space="preserve">since only matter can act on matter, the I too must be matter – or at least it must have a material vehicle for its relations of activity and passivity to the not-I. To be an I therefore, one must be embodied, and the starting point of the external sphere recognized by others must be its body </w:t>
      </w:r>
    </w:p>
    <w:p w14:paraId="3DCE2A5B" w14:textId="77777777" w:rsidR="00533E28" w:rsidRPr="0007420E" w:rsidRDefault="00533E28" w:rsidP="00533E28">
      <w:pPr>
        <w:pStyle w:val="Heading3"/>
        <w:rPr>
          <w:rFonts w:cs="Calibri"/>
        </w:rPr>
      </w:pPr>
      <w:r w:rsidRPr="0007420E">
        <w:rPr>
          <w:rFonts w:cs="Calibri"/>
        </w:rPr>
        <w:t>Contention</w:t>
      </w:r>
    </w:p>
    <w:p w14:paraId="293BCCE9" w14:textId="77777777" w:rsidR="00533E28" w:rsidRPr="00F36497" w:rsidRDefault="00533E28" w:rsidP="00533E28">
      <w:pPr>
        <w:pStyle w:val="Heading4"/>
      </w:pPr>
      <w:r w:rsidRPr="0007420E">
        <w:t xml:space="preserve">Absent a right to strike, </w:t>
      </w:r>
      <w:r>
        <w:t>workers are dominated –</w:t>
      </w:r>
    </w:p>
    <w:p w14:paraId="7630D70A" w14:textId="77777777" w:rsidR="00533E28" w:rsidRDefault="00533E28" w:rsidP="00533E28">
      <w:pPr>
        <w:pStyle w:val="Heading4"/>
      </w:pPr>
      <w:r w:rsidRPr="0007420E">
        <w:t>1] Structural</w:t>
      </w:r>
      <w:r>
        <w:t xml:space="preserve"> Domination – a labor market structurally requires exploitation and domination – workers need an alternative, Gourevitch 16:</w:t>
      </w:r>
    </w:p>
    <w:p w14:paraId="4AB69703" w14:textId="77777777" w:rsidR="00533E28" w:rsidRDefault="00533E28" w:rsidP="00533E28">
      <w:r w:rsidRPr="007D4300">
        <w:t>Gourevitch, A.. “Quitting Work but Not the Job: Liberty and the Right to Strike.” Perspectives on Politics 14 (2016): 307 - 323.</w:t>
      </w:r>
      <w:r>
        <w:t xml:space="preserve"> //LHP AV Accessed 7/4/21</w:t>
      </w:r>
    </w:p>
    <w:p w14:paraId="59CC3C02" w14:textId="77777777" w:rsidR="00533E28" w:rsidRPr="00DC007D" w:rsidRDefault="00533E28" w:rsidP="00533E28">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exchange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E42EAC">
        <w:rPr>
          <w:b/>
          <w:bCs/>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0B27047A" w14:textId="77777777" w:rsidR="00533E28" w:rsidRDefault="00533E28" w:rsidP="00533E28">
      <w:pPr>
        <w:pStyle w:val="Heading4"/>
      </w:pPr>
      <w:r w:rsidRPr="0007420E">
        <w:t>2] Workplace</w:t>
      </w:r>
      <w:r>
        <w:t xml:space="preserve"> Domination – authority within the workplace arbitrarily resides in the hands of employers, which alienates and dominates workers, Gourevitch 2:</w:t>
      </w:r>
    </w:p>
    <w:p w14:paraId="72E37770" w14:textId="77777777" w:rsidR="00533E28" w:rsidRDefault="00533E28" w:rsidP="00533E28">
      <w:r w:rsidRPr="007D4300">
        <w:t>Gourevitch, A.. “Quitting Work but Not the Job: Liberty and the Right to Strike.” Perspectives on Politics 14 (2016): 307 - 323.</w:t>
      </w:r>
      <w:r>
        <w:t xml:space="preserve"> //LHP AV Accessed 7/4/21</w:t>
      </w:r>
    </w:p>
    <w:p w14:paraId="1B69E998" w14:textId="77777777" w:rsidR="00533E28" w:rsidRPr="00450D02" w:rsidRDefault="00533E28" w:rsidP="00533E28">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E42EAC">
        <w:rPr>
          <w:b/>
          <w:bCs/>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493320E5" w14:textId="77777777" w:rsidR="00533E28" w:rsidRDefault="00533E28" w:rsidP="00533E28">
      <w:pPr>
        <w:pStyle w:val="Heading4"/>
      </w:pPr>
      <w:r w:rsidRPr="0007420E">
        <w:t>Thus, the plan:</w:t>
      </w:r>
      <w:r>
        <w:t xml:space="preserve"> A just government ought to recognize an unconditional right of workers to strike. Gourevitch 3:</w:t>
      </w:r>
    </w:p>
    <w:p w14:paraId="4981BF44" w14:textId="77777777" w:rsidR="00533E28" w:rsidRPr="007D4300" w:rsidRDefault="00533E28" w:rsidP="00533E28">
      <w:r w:rsidRPr="007D4300">
        <w:t>Gourevitch, A.. “Quitting Work but Not the Job: Liberty and the Right to Strike.” Perspectives on Politics 14 (2016): 307 - 323.</w:t>
      </w:r>
      <w:r>
        <w:t xml:space="preserve"> //LHP AV Accessed 7/4/21</w:t>
      </w:r>
    </w:p>
    <w:p w14:paraId="119377E3" w14:textId="77777777" w:rsidR="00533E28" w:rsidRPr="00444C7A" w:rsidRDefault="00533E28" w:rsidP="00533E28">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616AED52" w14:textId="77777777" w:rsidR="00533E28" w:rsidRDefault="00533E28" w:rsidP="00533E28">
      <w:pPr>
        <w:pStyle w:val="Heading4"/>
      </w:pPr>
      <w:r>
        <w:t>The plan solves –</w:t>
      </w:r>
    </w:p>
    <w:p w14:paraId="5E1F42EC" w14:textId="77777777" w:rsidR="00533E28" w:rsidRDefault="00533E28" w:rsidP="00533E28">
      <w:pPr>
        <w:pStyle w:val="Heading4"/>
      </w:pPr>
      <w:r>
        <w:t>1] Power – it reverses power relationships and challenges the structure of economic control itself – that alleviates domination, Gourevitch 4:</w:t>
      </w:r>
    </w:p>
    <w:p w14:paraId="7057334B" w14:textId="77777777" w:rsidR="00533E28" w:rsidRPr="005D1088" w:rsidRDefault="00533E28" w:rsidP="00533E28">
      <w:r w:rsidRPr="007D4300">
        <w:t>Gourevitch, A.. “Quitting Work but Not the Job: Liberty and the Right to Strike.” Perspectives on Politics 14 (2016): 307 - 323.</w:t>
      </w:r>
      <w:r>
        <w:t xml:space="preserve"> //LHP AV Accessed 7/4/21</w:t>
      </w:r>
    </w:p>
    <w:p w14:paraId="5C57C319" w14:textId="77777777" w:rsidR="00533E28" w:rsidRPr="005D1088" w:rsidRDefault="00533E28" w:rsidP="00533E28">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2DE483DA" w14:textId="77777777" w:rsidR="00533E28" w:rsidRDefault="00533E28" w:rsidP="00533E28">
      <w:pPr>
        <w:pStyle w:val="Heading4"/>
      </w:pPr>
      <w:r>
        <w:t>2</w:t>
      </w:r>
      <w:r w:rsidRPr="0007420E">
        <w:t xml:space="preserve">] </w:t>
      </w:r>
      <w:r>
        <w:t>Decommodification – strikes challenge the notion of labor as a mere commodity – that empowers workers and resists arbitrary managerial authority, Gourevitch 5:</w:t>
      </w:r>
    </w:p>
    <w:p w14:paraId="32A32002" w14:textId="77777777" w:rsidR="00533E28" w:rsidRDefault="00533E28" w:rsidP="00533E28">
      <w:r w:rsidRPr="007D4300">
        <w:t>Gourevitch, A.. “Quitting Work but Not the Job: Liberty and the Right to Strike.” Perspectives on Politics 14 (2016): 307 - 323.</w:t>
      </w:r>
      <w:r>
        <w:t xml:space="preserve"> //LHP AV Accessed 7/4/21</w:t>
      </w:r>
    </w:p>
    <w:p w14:paraId="370FB017" w14:textId="77777777" w:rsidR="00533E28" w:rsidRPr="00204CD8" w:rsidRDefault="00533E28" w:rsidP="00533E28">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6FE32125" w14:textId="77777777" w:rsidR="00533E28" w:rsidRPr="00F60A9D" w:rsidRDefault="00533E28" w:rsidP="00533E28">
      <w:pPr>
        <w:pStyle w:val="Heading3"/>
        <w:rPr>
          <w:rFonts w:cs="Calibri"/>
        </w:rPr>
      </w:pPr>
      <w:r w:rsidRPr="00F60A9D">
        <w:rPr>
          <w:rFonts w:cs="Calibri"/>
        </w:rPr>
        <w:t>Theory</w:t>
      </w:r>
    </w:p>
    <w:p w14:paraId="777B6A85" w14:textId="77777777" w:rsidR="00533E28" w:rsidRDefault="00533E28" w:rsidP="00533E28">
      <w:pPr>
        <w:pStyle w:val="Heading4"/>
        <w:rPr>
          <w:rFonts w:cs="Calibri"/>
        </w:rPr>
      </w:pPr>
      <w:r w:rsidRPr="00F60A9D">
        <w:rPr>
          <w:rFonts w:cs="Calibri"/>
        </w:rPr>
        <w:t>1ar theory</w:t>
      </w:r>
      <w:r>
        <w:rPr>
          <w:rFonts w:cs="Calibri"/>
        </w:rPr>
        <w:t xml:space="preserve"> </w:t>
      </w:r>
      <w:r w:rsidRPr="00F60A9D">
        <w:rPr>
          <w:rFonts w:cs="Calibri"/>
        </w:rPr>
        <w:t xml:space="preserve">– </w:t>
      </w:r>
    </w:p>
    <w:p w14:paraId="54B267AD" w14:textId="77777777" w:rsidR="00533E28" w:rsidRDefault="00533E28" w:rsidP="00533E28">
      <w:pPr>
        <w:pStyle w:val="Heading4"/>
        <w:rPr>
          <w:rFonts w:cs="Calibri"/>
        </w:rPr>
      </w:pPr>
      <w:r w:rsidRPr="00F60A9D">
        <w:rPr>
          <w:rFonts w:cs="Calibri"/>
        </w:rPr>
        <w:t>A] the aff gets it – otherwise the neg can engage in infinite abuse, making debate impossible</w:t>
      </w:r>
    </w:p>
    <w:p w14:paraId="5B403F53" w14:textId="77777777" w:rsidR="00533E28" w:rsidRDefault="00533E28" w:rsidP="00533E28">
      <w:pPr>
        <w:pStyle w:val="Heading4"/>
        <w:rPr>
          <w:rFonts w:cs="Calibri"/>
        </w:rPr>
      </w:pPr>
      <w:r w:rsidRPr="00F60A9D">
        <w:rPr>
          <w:rFonts w:cs="Calibri"/>
        </w:rPr>
        <w:t>B] drop the debater because the 1ar is too short to win theory and substance</w:t>
      </w:r>
    </w:p>
    <w:p w14:paraId="4ACA2712" w14:textId="77777777" w:rsidR="00533E28" w:rsidRDefault="00533E28" w:rsidP="00533E28">
      <w:pPr>
        <w:pStyle w:val="Heading4"/>
        <w:rPr>
          <w:rFonts w:cs="Calibri"/>
        </w:rPr>
      </w:pPr>
      <w:r w:rsidRPr="00F60A9D">
        <w:rPr>
          <w:rFonts w:cs="Calibri"/>
        </w:rPr>
        <w:t>C] no RVIs – the 2nr has enough time and the 2ar needs strategic flexibility</w:t>
      </w:r>
    </w:p>
    <w:p w14:paraId="5190B8F1" w14:textId="77777777" w:rsidR="00533E28" w:rsidRDefault="00533E28" w:rsidP="00533E28">
      <w:pPr>
        <w:pStyle w:val="Heading3"/>
      </w:pPr>
      <w:r>
        <w:t>ROB</w:t>
      </w:r>
    </w:p>
    <w:p w14:paraId="3813CC8B" w14:textId="77777777" w:rsidR="00533E28" w:rsidRDefault="00533E28" w:rsidP="00533E28">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Prefer it –</w:t>
      </w:r>
    </w:p>
    <w:p w14:paraId="6A9AC5E9" w14:textId="77777777" w:rsidR="00533E28" w:rsidRDefault="00533E28" w:rsidP="00533E28">
      <w:pPr>
        <w:pStyle w:val="Heading4"/>
      </w:pPr>
      <w:r>
        <w:t xml:space="preserve">1] Reciprocity – normative frameworks provide a reciprocal burden of justifying an obligation with the ability to turn them – other frameworks are arbitrarily impact exclusive and don’t articulate a 1-1 burden </w:t>
      </w:r>
    </w:p>
    <w:p w14:paraId="4EA77E8B" w14:textId="77777777" w:rsidR="00533E28" w:rsidRDefault="00533E28" w:rsidP="00533E28">
      <w:pPr>
        <w:pStyle w:val="Heading4"/>
      </w:pPr>
      <w:r>
        <w:t>2] Philosophy – only our role of the ballot incentivizes nuanced discussions over the interactions of different ethical theories. That comes first – A] constitutivism – LD debate is a values debate which means the intrinsic purpose of the activity is philosophical discussion B] hijacks any voter – the question of why those are good relies on philosophical justification, ie constitutivism or something.</w:t>
      </w:r>
    </w:p>
    <w:p w14:paraId="6391E351" w14:textId="77777777" w:rsidR="00533E28" w:rsidRDefault="00533E28" w:rsidP="00533E28">
      <w:pPr>
        <w:pStyle w:val="Heading3"/>
      </w:pPr>
      <w:r>
        <w:t>Method</w:t>
      </w:r>
    </w:p>
    <w:p w14:paraId="6ECA7623" w14:textId="77777777" w:rsidR="00533E28" w:rsidRPr="00944A43" w:rsidRDefault="00533E28" w:rsidP="00533E28">
      <w:pPr>
        <w:pStyle w:val="Heading4"/>
      </w:pPr>
      <w:r>
        <w:t>The aff aligns itself with historical labor movements that challenged industrial capitalism and wage-slavery – that opens up the potentiality for cooperative control over the means of production, Gourevitch 6:</w:t>
      </w:r>
    </w:p>
    <w:p w14:paraId="68230324" w14:textId="77777777" w:rsidR="00533E28" w:rsidRPr="00944A43" w:rsidRDefault="00533E28" w:rsidP="00533E28">
      <w:r w:rsidRPr="00944A43">
        <w:t xml:space="preserve">Gourevitch, Alex. “Labor Republicanism and the Transformation of Work.” Political Theory, vol. 41, no. 4, 2013, pp. 591–617. JSTOR, </w:t>
      </w:r>
      <w:hyperlink r:id="rId9" w:history="1">
        <w:r w:rsidRPr="006C3630">
          <w:rPr>
            <w:rStyle w:val="Hyperlink"/>
          </w:rPr>
          <w:t>www.jstor.org/stable/23484596. Accessed 6 July 2021</w:t>
        </w:r>
      </w:hyperlink>
      <w:r w:rsidRPr="00944A43">
        <w:t>.</w:t>
      </w:r>
      <w:r>
        <w:t xml:space="preserve"> //LHP AV</w:t>
      </w:r>
    </w:p>
    <w:p w14:paraId="223C619C" w14:textId="77777777" w:rsidR="00533E28" w:rsidRPr="00944A43" w:rsidRDefault="00533E28" w:rsidP="00533E28">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pro-prietors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labour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elsewhere.I8 The relevant histori-cal point here is that, </w:t>
      </w:r>
      <w:r w:rsidRPr="00944A43">
        <w:rPr>
          <w:b/>
          <w:bCs/>
          <w:u w:val="single"/>
        </w:rPr>
        <w:t>while some form of "agrarianism" rooted in the indi-vidualist,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concen-trated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Sylvis, a labor organizer; and Ira Steward, a famous eight hours cam-paigner. As a group, </w:t>
      </w:r>
      <w:r w:rsidRPr="00944A43">
        <w:rPr>
          <w:b/>
          <w:bCs/>
          <w:highlight w:val="yellow"/>
          <w:u w:val="single"/>
        </w:rPr>
        <w:t xml:space="preserve">they drew attention to the contradiction between repub-lican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particu-lar,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the condition of wage-laborers called for "a republicanization of labor, as well as a republicaniza-tion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indus-trial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xml:space="preserve">. There were at least two features to this economic domination or "wage-slavery." Inside the workplace, they found their choices about the work activity to be subject to the arbitrary interference of new masters—bosses and owners. This sub-jection expressed itself not only in individual cases of harassment and abuse, though that mattered, but also through organization of the workplace accord-ing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responsibil-ity of one artisan among teams of workers,"28 meaning work had become an integrated social process, unlike the autarkic autonomy of the idealized farmer or artisan of the early radical agrarians.29 </w:t>
      </w:r>
      <w:r w:rsidRPr="00944A43">
        <w:rPr>
          <w:b/>
          <w:bCs/>
          <w:u w:val="single"/>
        </w:rPr>
        <w:t xml:space="preserve">These conditions drove fig-ures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—that freedom which they claim 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Labor republicans were proudly aware of their formal, legal freedom and saw it as a constituent fea-ture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employ-ers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pub-lished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pro-ductive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inde-pendence labor republicans attempted to grasp this new form of domina-tion.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It was not just their identification of structural domination and its connec-tion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charac-ter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r w:rsidRPr="00944A43">
        <w:rPr>
          <w:b/>
          <w:bCs/>
          <w:u w:val="single"/>
        </w:rPr>
        <w:t xml:space="preserve">transporta-tion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com-plete organization of production and distribution for the benefit of the whole body of those concerned in the production . . . the members of which employ-ing their own labor and consuming their own products would be self-sustain-ing,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enter-prises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xml:space="preserve">;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pro-prietor or earlier agrarianism. Rather, the cooperative ideal secured indepen-dence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iuris but instead to be sub potestate, under the power or subject to the will of some-one else."39 Servitude is a legal status that "consists in rightlessness and sub-jection to dominion."40 Too quick a reading of the Roman law of slavery can make servitude appear merely as a dyadic relation between a particular mas-ter and a particular slave. As we shall see, something like that narrow inter-pretation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This structural dimension of dom-ination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017955DF" w14:textId="77777777" w:rsidR="00533E28" w:rsidRDefault="00533E28" w:rsidP="00533E28">
      <w:pPr>
        <w:pStyle w:val="Heading4"/>
      </w:pPr>
      <w:r>
        <w:t xml:space="preserve">Any resistance to systemic injustice must be based on a comprehensive normative theory which determines what the best response to specific injustices are – 4 warrants – Laurence, </w:t>
      </w:r>
    </w:p>
    <w:p w14:paraId="26E00855" w14:textId="77777777" w:rsidR="00533E28" w:rsidRPr="00BE6663" w:rsidRDefault="00533E28" w:rsidP="00533E28">
      <w:r>
        <w:t>Laurence, Ben. “The Priority of Ideal Theory.” PDF File. //LHPYA</w:t>
      </w:r>
    </w:p>
    <w:p w14:paraId="107F4251" w14:textId="57B0FABE" w:rsidR="00533E28" w:rsidRPr="00B30BD8" w:rsidRDefault="00533E28" w:rsidP="00533E28">
      <w:pPr>
        <w:rPr>
          <w:u w:val="singl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These arguments bring to light the common ground underlying the judgments of injustice of a variety of kinds, unifying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on the basis of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achieve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.58 It also allows us to situate our comparative judgments of injustice in their context, by recognizing that shortterm gains to justice are not always worth long-term 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could be a profoundly democratic act even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This has to do with the idea of moral costs, and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40477A4F" w14:textId="77777777" w:rsidR="00533E28" w:rsidRPr="00F601E6" w:rsidRDefault="00533E28" w:rsidP="00533E28"/>
    <w:p w14:paraId="51AD54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3E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4A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015"/>
    <w:rsid w:val="0047482C"/>
    <w:rsid w:val="00475436"/>
    <w:rsid w:val="0048047E"/>
    <w:rsid w:val="0048185F"/>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E2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0BD8"/>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600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46C93"/>
  <w14:defaultImageDpi w14:val="300"/>
  <w15:docId w15:val="{1A02E961-4FDC-B242-BCFC-B02302A4F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60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60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60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560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F560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60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002"/>
  </w:style>
  <w:style w:type="character" w:customStyle="1" w:styleId="Heading1Char">
    <w:name w:val="Heading 1 Char"/>
    <w:aliases w:val="Pocket Char"/>
    <w:basedOn w:val="DefaultParagraphFont"/>
    <w:link w:val="Heading1"/>
    <w:uiPriority w:val="9"/>
    <w:rsid w:val="00F560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600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5600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F560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6002"/>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F56002"/>
    <w:rPr>
      <w:b w:val="0"/>
      <w:sz w:val="22"/>
      <w:u w:val="single"/>
    </w:rPr>
  </w:style>
  <w:style w:type="character" w:styleId="Emphasis">
    <w:name w:val="Emphasis"/>
    <w:basedOn w:val="DefaultParagraphFont"/>
    <w:uiPriority w:val="20"/>
    <w:qFormat/>
    <w:rsid w:val="00F56002"/>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560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F56002"/>
    <w:rPr>
      <w:color w:val="auto"/>
      <w:u w:val="none"/>
    </w:rPr>
  </w:style>
  <w:style w:type="paragraph" w:styleId="DocumentMap">
    <w:name w:val="Document Map"/>
    <w:basedOn w:val="Normal"/>
    <w:link w:val="DocumentMapChar"/>
    <w:uiPriority w:val="99"/>
    <w:semiHidden/>
    <w:unhideWhenUsed/>
    <w:rsid w:val="00F560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002"/>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No Spacing11,No Spacing111,No Spacing1121"/>
    <w:basedOn w:val="Heading1"/>
    <w:link w:val="Hyperlink"/>
    <w:autoRedefine/>
    <w:uiPriority w:val="99"/>
    <w:qFormat/>
    <w:rsid w:val="00533E28"/>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533E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484596.%20Accessed%206%20July%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12310</Words>
  <Characters>70172</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6</cp:revision>
  <dcterms:created xsi:type="dcterms:W3CDTF">2021-07-07T21:22:00Z</dcterms:created>
  <dcterms:modified xsi:type="dcterms:W3CDTF">2021-07-08T00:27:00Z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