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44EE0" w14:textId="43D5E5F7" w:rsidR="00E42E4C" w:rsidRDefault="009A4449" w:rsidP="009A4449">
      <w:pPr>
        <w:pStyle w:val="Heading2"/>
      </w:pPr>
      <w:r>
        <w:t>1</w:t>
      </w:r>
    </w:p>
    <w:p w14:paraId="3E6E15E7" w14:textId="77777777" w:rsidR="005338E3" w:rsidRDefault="005338E3" w:rsidP="005338E3">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204B12D7" w14:textId="77777777" w:rsidR="005338E3" w:rsidRDefault="005338E3" w:rsidP="005338E3">
      <w:pPr>
        <w:pStyle w:val="Heading4"/>
      </w:pPr>
      <w:r>
        <w:t xml:space="preserve">Violation: </w:t>
      </w:r>
    </w:p>
    <w:p w14:paraId="7B1E865D" w14:textId="77777777" w:rsidR="005338E3" w:rsidRDefault="005338E3" w:rsidP="005338E3">
      <w:pPr>
        <w:pStyle w:val="Heading4"/>
      </w:pPr>
      <w:r>
        <w:t xml:space="preserve">Standards – </w:t>
      </w:r>
    </w:p>
    <w:p w14:paraId="5D1589D5" w14:textId="77777777" w:rsidR="005338E3" w:rsidRPr="00AB2C97" w:rsidRDefault="005338E3" w:rsidP="005338E3">
      <w:pPr>
        <w:pStyle w:val="Heading4"/>
      </w:pPr>
      <w:r>
        <w:t>1] Topic lit – strikes are the core question of the topic and there’s no consensus on normal means so you must spec.</w:t>
      </w:r>
    </w:p>
    <w:p w14:paraId="1E558786" w14:textId="77777777" w:rsidR="005338E3" w:rsidRDefault="005338E3" w:rsidP="005338E3">
      <w:pPr>
        <w:rPr>
          <w:rStyle w:val="Style13ptBold"/>
        </w:rPr>
      </w:pPr>
      <w:r>
        <w:rPr>
          <w:rStyle w:val="Style13ptBold"/>
        </w:rPr>
        <w:t>Law Library</w:t>
      </w:r>
    </w:p>
    <w:p w14:paraId="523CDCAC" w14:textId="77777777" w:rsidR="005338E3" w:rsidRPr="00EC05A0" w:rsidRDefault="005338E3" w:rsidP="005338E3">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xml:space="preserve">, Law Library, </w:t>
      </w:r>
      <w:proofErr w:type="gramStart"/>
      <w:r w:rsidRPr="00EC05A0">
        <w:rPr>
          <w:sz w:val="16"/>
          <w:szCs w:val="16"/>
        </w:rPr>
        <w:t>This</w:t>
      </w:r>
      <w:proofErr w:type="gramEnd"/>
      <w:r w:rsidRPr="00EC05A0">
        <w:rPr>
          <w:sz w:val="16"/>
          <w:szCs w:val="16"/>
        </w:rPr>
        <w:t xml:space="preserve">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0" w:anchor="ixzz6yOIvCHj7" w:history="1">
        <w:r w:rsidRPr="00EC05A0">
          <w:rPr>
            <w:sz w:val="16"/>
            <w:szCs w:val="16"/>
          </w:rPr>
          <w:t>https://law.jrank.org/#ixzz6yOIvCHj7</w:t>
        </w:r>
      </w:hyperlink>
      <w:r w:rsidRPr="00EC05A0">
        <w:rPr>
          <w:sz w:val="16"/>
          <w:szCs w:val="16"/>
        </w:rPr>
        <w:t>] [SS]</w:t>
      </w:r>
    </w:p>
    <w:p w14:paraId="03EA86C8" w14:textId="77777777" w:rsidR="005338E3" w:rsidRPr="00D96A9A" w:rsidRDefault="005338E3" w:rsidP="005338E3">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planned in advance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57416765" w14:textId="77777777" w:rsidR="005338E3" w:rsidRPr="00F85AB5" w:rsidRDefault="005338E3" w:rsidP="005338E3"/>
    <w:p w14:paraId="03286523" w14:textId="77777777" w:rsidR="005338E3" w:rsidRPr="00CB59CF" w:rsidRDefault="005338E3" w:rsidP="005338E3">
      <w:pPr>
        <w:pStyle w:val="Heading4"/>
        <w:rPr>
          <w:rFonts w:cs="Calibri"/>
        </w:rPr>
      </w:pPr>
      <w:r w:rsidRPr="003C4FD4">
        <w:rPr>
          <w:rStyle w:val="Style13ptBold"/>
          <w:rFonts w:cs="Calibri"/>
          <w:b/>
        </w:rPr>
        <w:t>This acts as a resolvability standard. Debate has to make sense and be comparable for the judge to make a decision which means it’s an independent voter and outweighs.</w:t>
      </w:r>
    </w:p>
    <w:p w14:paraId="3FBCA238" w14:textId="77777777" w:rsidR="005338E3" w:rsidRPr="003C4FD4" w:rsidRDefault="005338E3" w:rsidP="005338E3">
      <w:pPr>
        <w:pStyle w:val="Heading4"/>
        <w:rPr>
          <w:rFonts w:cs="Calibri"/>
        </w:rPr>
      </w:pPr>
      <w:r w:rsidRPr="003C4FD4">
        <w:rPr>
          <w:rFonts w:cs="Calibri"/>
        </w:rPr>
        <w:t>Implications:</w:t>
      </w:r>
    </w:p>
    <w:p w14:paraId="42A80228" w14:textId="77777777" w:rsidR="005338E3" w:rsidRPr="003C4FD4" w:rsidRDefault="005338E3" w:rsidP="005338E3">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p>
    <w:p w14:paraId="426791C5" w14:textId="77777777" w:rsidR="005338E3" w:rsidRDefault="005338E3" w:rsidP="005338E3">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funding</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1A501939" w14:textId="77777777" w:rsidR="005338E3" w:rsidRPr="003C4FD4" w:rsidRDefault="005338E3" w:rsidP="005338E3">
      <w:pPr>
        <w:pStyle w:val="Heading4"/>
        <w:rPr>
          <w:rFonts w:cs="Calibri"/>
        </w:rPr>
      </w:pPr>
      <w:r w:rsidRPr="003C4FD4">
        <w:rPr>
          <w:rFonts w:cs="Calibri"/>
        </w:rPr>
        <w:t>D. Voter</w:t>
      </w:r>
    </w:p>
    <w:p w14:paraId="0DE44D57" w14:textId="77777777" w:rsidR="005338E3" w:rsidRPr="003C4FD4" w:rsidRDefault="005338E3" w:rsidP="005338E3">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w:t>
      </w:r>
      <w:proofErr w:type="spellStart"/>
      <w:r w:rsidRPr="003C4FD4">
        <w:rPr>
          <w:rFonts w:eastAsiaTheme="majorEastAsia"/>
          <w:b/>
          <w:bCs/>
          <w:sz w:val="26"/>
        </w:rPr>
        <w:t>aff</w:t>
      </w:r>
      <w:proofErr w:type="spellEnd"/>
      <w:r w:rsidRPr="003C4FD4">
        <w:rPr>
          <w:rFonts w:eastAsiaTheme="majorEastAsia"/>
          <w:b/>
          <w:bCs/>
          <w:sz w:val="26"/>
        </w:rPr>
        <w:t xml:space="preserve">—justifies severance which skews my </w:t>
      </w:r>
      <w:proofErr w:type="spellStart"/>
      <w:r w:rsidRPr="003C4FD4">
        <w:rPr>
          <w:rFonts w:eastAsiaTheme="majorEastAsia"/>
          <w:b/>
          <w:bCs/>
          <w:sz w:val="26"/>
        </w:rPr>
        <w:t>strat</w:t>
      </w:r>
      <w:proofErr w:type="spellEnd"/>
      <w:r w:rsidRPr="003C4FD4">
        <w:rPr>
          <w:rFonts w:eastAsiaTheme="majorEastAsia"/>
          <w:b/>
          <w:bCs/>
          <w:sz w:val="26"/>
        </w:rPr>
        <w:t xml:space="preserve">. Use competing </w:t>
      </w:r>
      <w:proofErr w:type="spellStart"/>
      <w:r w:rsidRPr="003C4FD4">
        <w:rPr>
          <w:rFonts w:eastAsiaTheme="majorEastAsia"/>
          <w:b/>
          <w:bCs/>
          <w:sz w:val="26"/>
        </w:rPr>
        <w:t>interps</w:t>
      </w:r>
      <w:proofErr w:type="spellEnd"/>
      <w:r w:rsidRPr="003C4FD4">
        <w:rPr>
          <w:rFonts w:eastAsiaTheme="majorEastAsia"/>
          <w:b/>
          <w:bCs/>
          <w:sz w:val="26"/>
        </w:rPr>
        <w:t xml:space="preserve">—leads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0A77CDD6" w14:textId="77777777" w:rsidR="005338E3" w:rsidRPr="003C4FD4" w:rsidRDefault="005338E3" w:rsidP="005338E3">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31204C4E" w14:textId="77777777" w:rsidR="005338E3" w:rsidRPr="00CB59CF" w:rsidRDefault="005338E3" w:rsidP="005338E3">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 xml:space="preserve">especially on T debate where definitions are objective while your </w:t>
      </w:r>
      <w:proofErr w:type="spellStart"/>
      <w:r w:rsidRPr="003C4FD4">
        <w:rPr>
          <w:b/>
          <w:sz w:val="26"/>
        </w:rPr>
        <w:t>interp</w:t>
      </w:r>
      <w:proofErr w:type="spellEnd"/>
      <w:r w:rsidRPr="003C4FD4">
        <w:rPr>
          <w:b/>
          <w:sz w:val="26"/>
        </w:rPr>
        <w:t xml:space="preserve"> is subjective. Logic is a meta constraint on all </w:t>
      </w:r>
      <w:proofErr w:type="spellStart"/>
      <w:r w:rsidRPr="003C4FD4">
        <w:rPr>
          <w:b/>
          <w:sz w:val="26"/>
        </w:rPr>
        <w:t>args</w:t>
      </w:r>
      <w:proofErr w:type="spellEnd"/>
      <w:r w:rsidRPr="003C4FD4">
        <w:rPr>
          <w:b/>
          <w:sz w:val="26"/>
        </w:rPr>
        <w:t xml:space="preserve"> because it definitionally determines whether an argument is valid.</w:t>
      </w:r>
    </w:p>
    <w:p w14:paraId="7FE4031A" w14:textId="77777777" w:rsidR="005338E3" w:rsidRPr="005338E3" w:rsidRDefault="005338E3" w:rsidP="005338E3"/>
    <w:p w14:paraId="1B2B99FC" w14:textId="5ADA63A0" w:rsidR="009A4449" w:rsidRDefault="00CD3F57" w:rsidP="00CD3F57">
      <w:pPr>
        <w:pStyle w:val="Heading2"/>
      </w:pPr>
      <w:r>
        <w:t>2</w:t>
      </w:r>
    </w:p>
    <w:p w14:paraId="5BB2D06C" w14:textId="14CAD18E" w:rsidR="00CD3F57" w:rsidRPr="003B504D" w:rsidRDefault="00CD3F57" w:rsidP="00CD3F57">
      <w:pPr>
        <w:pStyle w:val="Heading4"/>
        <w:rPr>
          <w:rFonts w:cs="Calibri"/>
        </w:rPr>
      </w:pPr>
      <w:r w:rsidRPr="003B504D">
        <w:rPr>
          <w:rFonts w:cs="Calibri"/>
        </w:rPr>
        <w:t xml:space="preserve">The role of the ballot is to vote for who best centers indigenous scholarship and resistance-- Any ethical commitment requires that the </w:t>
      </w:r>
      <w:proofErr w:type="spellStart"/>
      <w:r w:rsidRPr="003B504D">
        <w:rPr>
          <w:rFonts w:cs="Calibri"/>
        </w:rPr>
        <w:t>aff</w:t>
      </w:r>
      <w:proofErr w:type="spellEnd"/>
      <w:r w:rsidRPr="003B504D">
        <w:rPr>
          <w:rFonts w:cs="Calibri"/>
        </w:rPr>
        <w:t xml:space="preserve"> place themselves in the center of Native scholarship and demands. </w:t>
      </w:r>
    </w:p>
    <w:p w14:paraId="75F294F3" w14:textId="77777777" w:rsidR="00CD3F57" w:rsidRPr="003B504D" w:rsidRDefault="00CD3F57" w:rsidP="00CD3F57">
      <w:pPr>
        <w:rPr>
          <w:b/>
        </w:rPr>
      </w:pPr>
      <w:r w:rsidRPr="003B504D">
        <w:rPr>
          <w:rStyle w:val="Style13ptBold"/>
        </w:rPr>
        <w:t xml:space="preserve">Carlson 16 </w:t>
      </w:r>
      <w:r w:rsidRPr="003B504D">
        <w:rPr>
          <w:rStyle w:val="Style13ptBold"/>
          <w:b w:val="0"/>
          <w:sz w:val="16"/>
          <w:szCs w:val="16"/>
        </w:rPr>
        <w:t xml:space="preserve">(Elizabeth Carlson, PhD, is an </w:t>
      </w:r>
      <w:proofErr w:type="spellStart"/>
      <w:r w:rsidRPr="003B504D">
        <w:rPr>
          <w:rStyle w:val="Style13ptBold"/>
          <w:b w:val="0"/>
          <w:sz w:val="16"/>
          <w:szCs w:val="16"/>
        </w:rPr>
        <w:t>Aamitigoozhi</w:t>
      </w:r>
      <w:proofErr w:type="spellEnd"/>
      <w:r w:rsidRPr="003B504D">
        <w:rPr>
          <w:rStyle w:val="Style13ptBold"/>
          <w:b w:val="0"/>
          <w:sz w:val="16"/>
          <w:szCs w:val="16"/>
        </w:rPr>
        <w:t xml:space="preserve">, </w:t>
      </w:r>
      <w:proofErr w:type="spellStart"/>
      <w:r w:rsidRPr="003B504D">
        <w:rPr>
          <w:rStyle w:val="Style13ptBold"/>
          <w:b w:val="0"/>
          <w:sz w:val="16"/>
          <w:szCs w:val="16"/>
        </w:rPr>
        <w:t>Wemistigosi</w:t>
      </w:r>
      <w:proofErr w:type="spellEnd"/>
      <w:r w:rsidRPr="003B504D">
        <w:rPr>
          <w:rStyle w:val="Style13ptBold"/>
          <w:b w:val="0"/>
          <w:sz w:val="16"/>
          <w:szCs w:val="16"/>
        </w:rPr>
        <w:t xml:space="preserve">, and </w:t>
      </w:r>
      <w:proofErr w:type="spellStart"/>
      <w:r w:rsidRPr="003B504D">
        <w:rPr>
          <w:rStyle w:val="Style13ptBold"/>
          <w:b w:val="0"/>
          <w:sz w:val="16"/>
          <w:szCs w:val="16"/>
        </w:rPr>
        <w:t>Wasicu</w:t>
      </w:r>
      <w:proofErr w:type="spellEnd"/>
      <w:r w:rsidRPr="003B504D">
        <w:rPr>
          <w:rStyle w:val="Style13ptBold"/>
          <w:b w:val="0"/>
          <w:sz w:val="16"/>
          <w:szCs w:val="16"/>
        </w:rPr>
        <w:t xml:space="preserve"> (settler Canadian and American), </w:t>
      </w:r>
      <w:proofErr w:type="gramStart"/>
      <w:r w:rsidRPr="003B504D">
        <w:rPr>
          <w:rStyle w:val="Style13ptBold"/>
          <w:b w:val="0"/>
          <w:sz w:val="16"/>
          <w:szCs w:val="16"/>
        </w:rPr>
        <w:t>whose</w:t>
      </w:r>
      <w:proofErr w:type="gramEnd"/>
      <w:r w:rsidRPr="003B504D">
        <w:rPr>
          <w:rStyle w:val="Style13ptBold"/>
          <w:b w:val="0"/>
          <w:sz w:val="16"/>
          <w:szCs w:val="16"/>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3B504D">
        <w:rPr>
          <w:rStyle w:val="Style13ptBold"/>
          <w:b w:val="0"/>
          <w:sz w:val="16"/>
          <w:szCs w:val="16"/>
        </w:rPr>
        <w:t>Nehiyawak</w:t>
      </w:r>
      <w:proofErr w:type="spellEnd"/>
      <w:r w:rsidRPr="003B504D">
        <w:rPr>
          <w:rStyle w:val="Style13ptBold"/>
          <w:b w:val="0"/>
          <w:sz w:val="16"/>
          <w:szCs w:val="16"/>
        </w:rPr>
        <w:t xml:space="preserve">, Dakota, </w:t>
      </w:r>
      <w:proofErr w:type="spellStart"/>
      <w:r w:rsidRPr="003B504D">
        <w:rPr>
          <w:rStyle w:val="Style13ptBold"/>
          <w:b w:val="0"/>
          <w:sz w:val="16"/>
          <w:szCs w:val="16"/>
        </w:rPr>
        <w:t>Nakota</w:t>
      </w:r>
      <w:proofErr w:type="spellEnd"/>
      <w:r w:rsidRPr="003B504D">
        <w:rPr>
          <w:rStyle w:val="Style13ptBold"/>
          <w:b w:val="0"/>
          <w:sz w:val="16"/>
          <w:szCs w:val="16"/>
        </w:rPr>
        <w:t>, and Red River Metis peoples currently occupied by the city of Winnipeg, the province of Manitoba, (2016): Anti-colonial methodologies and practices for settler colonial studies, Settler Colonial Studies, DOI: 10.1080/2201473X.2016.1241213) // SJ DL</w:t>
      </w:r>
    </w:p>
    <w:p w14:paraId="764926AF" w14:textId="77777777" w:rsidR="00CD3F57" w:rsidRPr="004C497F" w:rsidRDefault="00CD3F57" w:rsidP="00CD3F57">
      <w:pPr>
        <w:rPr>
          <w:b/>
          <w:iCs/>
          <w:u w:val="single"/>
        </w:rPr>
      </w:pPr>
      <w:r w:rsidRPr="003B504D">
        <w:rPr>
          <w:sz w:val="12"/>
        </w:rPr>
        <w:t xml:space="preserve">Arlo </w:t>
      </w:r>
      <w:proofErr w:type="spellStart"/>
      <w:r w:rsidRPr="003B504D">
        <w:rPr>
          <w:sz w:val="12"/>
        </w:rPr>
        <w:t>Kempf</w:t>
      </w:r>
      <w:proofErr w:type="spellEnd"/>
      <w:r w:rsidRPr="003B504D">
        <w:rPr>
          <w:sz w:val="12"/>
        </w:rPr>
        <w:t xml:space="preserve"> says that ‘</w:t>
      </w:r>
      <w:r w:rsidRPr="003B504D">
        <w:rPr>
          <w:rStyle w:val="Emphasis"/>
        </w:rPr>
        <w:t>where anticolonialism is a tool used to invoke resistance for the colonized, it is a tool used to invoke accountability for the colonizer’.</w:t>
      </w:r>
      <w:r w:rsidRPr="003B504D">
        <w:rPr>
          <w:b/>
          <w:bCs/>
          <w:sz w:val="12"/>
        </w:rPr>
        <w:t xml:space="preserve">42 </w:t>
      </w:r>
      <w:r w:rsidRPr="003B504D">
        <w:rPr>
          <w:rStyle w:val="Emphasis"/>
        </w:rPr>
        <w:t>Relational accountability should be a cornerstone of settler colonial studies</w:t>
      </w:r>
      <w:r w:rsidRPr="003B504D">
        <w:rPr>
          <w:rStyle w:val="StyleUnderline"/>
          <w:b/>
          <w:bCs/>
        </w:rPr>
        <w:t>.</w:t>
      </w:r>
      <w:r w:rsidRPr="003B504D">
        <w:rPr>
          <w:b/>
          <w:bCs/>
          <w:sz w:val="12"/>
        </w:rPr>
        <w:t xml:space="preserve"> </w:t>
      </w:r>
      <w:r w:rsidRPr="003B504D">
        <w:rPr>
          <w:sz w:val="12"/>
        </w:rPr>
        <w:t xml:space="preserve">I believe </w:t>
      </w:r>
      <w:r w:rsidRPr="003B504D">
        <w:rPr>
          <w:rStyle w:val="Emphasis"/>
        </w:rPr>
        <w:t>settler colonial studies and scholars should ethically and overtly place themselves in relationship to the centuries of Indigenous oral,</w:t>
      </w:r>
      <w:r w:rsidRPr="003B504D">
        <w:rPr>
          <w:rStyle w:val="StyleUnderline"/>
          <w:b/>
          <w:bCs/>
        </w:rPr>
        <w:t xml:space="preserve"> </w:t>
      </w:r>
      <w:r w:rsidRPr="003B504D">
        <w:rPr>
          <w:sz w:val="12"/>
        </w:rPr>
        <w:t>and later academic</w:t>
      </w:r>
      <w:r w:rsidRPr="003B504D">
        <w:rPr>
          <w:rStyle w:val="StyleUnderline"/>
        </w:rPr>
        <w:t xml:space="preserve"> </w:t>
      </w:r>
      <w:r w:rsidRPr="003B504D">
        <w:rPr>
          <w:rStyle w:val="Emphasis"/>
        </w:rPr>
        <w:t>scholarship that</w:t>
      </w:r>
      <w:r w:rsidRPr="003B504D">
        <w:rPr>
          <w:rStyle w:val="StyleUnderline"/>
        </w:rPr>
        <w:t xml:space="preserve"> </w:t>
      </w:r>
      <w:r w:rsidRPr="003B504D">
        <w:rPr>
          <w:sz w:val="12"/>
        </w:rPr>
        <w:t xml:space="preserve">conceptualizes and </w:t>
      </w:r>
      <w:r w:rsidRPr="003B504D">
        <w:rPr>
          <w:rStyle w:val="Emphasis"/>
        </w:rPr>
        <w:t>resists settler colonialism</w:t>
      </w:r>
      <w:r w:rsidRPr="003B504D">
        <w:rPr>
          <w:rStyle w:val="StyleUnderline"/>
        </w:rPr>
        <w:t xml:space="preserve"> </w:t>
      </w:r>
      <w:r w:rsidRPr="003B504D">
        <w:rPr>
          <w:sz w:val="12"/>
        </w:rPr>
        <w:t xml:space="preserve">without necessarily using the term: SCT may be revelatory to many settler scholars, but </w:t>
      </w:r>
      <w:r w:rsidRPr="003B504D">
        <w:rPr>
          <w:rStyle w:val="Emphasis"/>
          <w:highlight w:val="green"/>
        </w:rPr>
        <w:t>Indigenous people have been speaking for a long time</w:t>
      </w:r>
      <w:r w:rsidRPr="003B504D">
        <w:rPr>
          <w:rStyle w:val="Emphasis"/>
        </w:rPr>
        <w:t xml:space="preserve"> about colonial continuities based on their lived experiences</w:t>
      </w:r>
      <w:r w:rsidRPr="003B504D">
        <w:rPr>
          <w:sz w:val="12"/>
        </w:rPr>
        <w:t xml:space="preserve">. Some SCTs have sought to connect with these discussions and to foreground Indigenous resistance, survival and agency. </w:t>
      </w:r>
      <w:r w:rsidRPr="003B504D">
        <w:rPr>
          <w:rStyle w:val="Emphasis"/>
        </w:rPr>
        <w:t>Others,</w:t>
      </w:r>
      <w:r w:rsidRPr="003B504D">
        <w:rPr>
          <w:rStyle w:val="StyleUnderline"/>
        </w:rPr>
        <w:t xml:space="preserve"> </w:t>
      </w:r>
      <w:r w:rsidRPr="003B504D">
        <w:rPr>
          <w:sz w:val="12"/>
        </w:rPr>
        <w:t xml:space="preserve">however, seem to </w:t>
      </w:r>
      <w:r w:rsidRPr="003B504D">
        <w:rPr>
          <w:rStyle w:val="Emphasis"/>
        </w:rPr>
        <w:t>use SCT as a pathway to explain the colonial encounter without engaging with Indigenous people and experiences</w:t>
      </w:r>
      <w:r w:rsidRPr="003B504D">
        <w:rPr>
          <w:sz w:val="12"/>
        </w:rPr>
        <w:t xml:space="preserve"> – either on the grounds that this structural analysis already conceptually explains Indigenous experience, or because </w:t>
      </w:r>
      <w:r w:rsidRPr="003B504D">
        <w:rPr>
          <w:rStyle w:val="Emphasis"/>
        </w:rPr>
        <w:t xml:space="preserve">Indigenous </w:t>
      </w:r>
      <w:r w:rsidRPr="003B504D">
        <w:rPr>
          <w:rStyle w:val="Emphasis"/>
          <w:highlight w:val="green"/>
        </w:rPr>
        <w:t xml:space="preserve">resistance </w:t>
      </w:r>
      <w:r w:rsidRPr="003B504D">
        <w:rPr>
          <w:rStyle w:val="Emphasis"/>
        </w:rPr>
        <w:t xml:space="preserve">is </w:t>
      </w:r>
      <w:r w:rsidRPr="003B504D">
        <w:rPr>
          <w:rStyle w:val="Emphasis"/>
          <w:highlight w:val="green"/>
        </w:rPr>
        <w:t>rendered invisible</w:t>
      </w:r>
      <w:r w:rsidRPr="003B504D">
        <w:rPr>
          <w:rStyle w:val="Emphasis"/>
        </w:rPr>
        <w:t xml:space="preserve">.43 Ethical </w:t>
      </w:r>
      <w:r w:rsidRPr="003B504D">
        <w:rPr>
          <w:rStyle w:val="Emphasis"/>
          <w:highlight w:val="green"/>
        </w:rPr>
        <w:t>settler colonial theory</w:t>
      </w:r>
      <w:r w:rsidRPr="003B504D">
        <w:rPr>
          <w:rStyle w:val="Emphasis"/>
        </w:rPr>
        <w:t xml:space="preserve"> (SCT) </w:t>
      </w:r>
      <w:r w:rsidRPr="003B504D">
        <w:rPr>
          <w:rStyle w:val="Emphasis"/>
          <w:highlight w:val="green"/>
        </w:rPr>
        <w:t xml:space="preserve">would recognize </w:t>
      </w:r>
      <w:r w:rsidRPr="003B504D">
        <w:rPr>
          <w:rStyle w:val="Emphasis"/>
        </w:rPr>
        <w:t xml:space="preserve">the </w:t>
      </w:r>
      <w:r w:rsidRPr="003B504D">
        <w:rPr>
          <w:rStyle w:val="Emphasis"/>
          <w:highlight w:val="green"/>
        </w:rPr>
        <w:t>foundational role Indigenous scholarship has</w:t>
      </w:r>
      <w:r w:rsidRPr="003B504D">
        <w:rPr>
          <w:rStyle w:val="Emphasis"/>
        </w:rPr>
        <w:t xml:space="preserve"> in critiques of settler colonialism. It would acknowledge the limitations of settler scholars in articulating settler colonialism without dialogue with Indigenous peoples</w:t>
      </w:r>
      <w:r w:rsidRPr="003B504D">
        <w:rPr>
          <w:b/>
          <w:bCs/>
          <w:sz w:val="12"/>
        </w:rPr>
        <w:t xml:space="preserve"> </w:t>
      </w:r>
      <w:r w:rsidRPr="003B504D">
        <w:rPr>
          <w:sz w:val="12"/>
        </w:rPr>
        <w:t xml:space="preserve">and take as its norm making this dialogue evident. In my view, it is critical that we not view settler colonial studies as a new or unique field being established, which would enact a discovery narrative and contribute to Indigenous erasure, but rather take a longer and </w:t>
      </w:r>
      <w:proofErr w:type="spellStart"/>
      <w:r w:rsidRPr="003B504D">
        <w:rPr>
          <w:sz w:val="12"/>
        </w:rPr>
        <w:t>broade_r</w:t>
      </w:r>
      <w:proofErr w:type="spellEnd"/>
      <w:r w:rsidRPr="003B504D">
        <w:rPr>
          <w:sz w:val="12"/>
        </w:rPr>
        <w:t xml:space="preserve"> view. </w:t>
      </w:r>
      <w:r w:rsidRPr="003B504D">
        <w:rPr>
          <w:rStyle w:val="Emphasis"/>
        </w:rPr>
        <w:t>Indigenous oral and academic scholars are indeed the originators of this work. This space is not empty</w:t>
      </w:r>
      <w:r w:rsidRPr="003B504D">
        <w:rPr>
          <w:sz w:val="12"/>
        </w:rPr>
        <w:t xml:space="preserve">. Of course, powerful forces of socialization and discipline impact scholars in the academy. There is much pressure to claim unique space, to establish a name for </w:t>
      </w:r>
      <w:proofErr w:type="gramStart"/>
      <w:r w:rsidRPr="003B504D">
        <w:rPr>
          <w:sz w:val="12"/>
        </w:rPr>
        <w:t>ourselves</w:t>
      </w:r>
      <w:proofErr w:type="gramEnd"/>
      <w:r w:rsidRPr="003B504D">
        <w:rPr>
          <w:sz w:val="12"/>
        </w:rPr>
        <w:t xml:space="preserve">, and to make academic discoveries. I am suggesting that settler colonial studies and </w:t>
      </w:r>
      <w:r w:rsidRPr="003B504D">
        <w:rPr>
          <w:rStyle w:val="Emphasis"/>
        </w:rPr>
        <w:t>anti-colonial scholars resist these hegemonic pressures and maintain a higher anti-colonial ethic.</w:t>
      </w:r>
      <w:r w:rsidRPr="003B504D">
        <w:rPr>
          <w:sz w:val="12"/>
        </w:rPr>
        <w:t xml:space="preserve"> As has been argued, ‘</w:t>
      </w:r>
      <w:r w:rsidRPr="003B504D">
        <w:rPr>
          <w:rStyle w:val="Emphasis"/>
        </w:rPr>
        <w:t xml:space="preserve">the theory itself </w:t>
      </w:r>
      <w:r w:rsidRPr="003B504D">
        <w:rPr>
          <w:rStyle w:val="Emphasis"/>
          <w:highlight w:val="green"/>
        </w:rPr>
        <w:t xml:space="preserve">places ethical demands on us as settlers, including </w:t>
      </w:r>
      <w:r w:rsidRPr="003B504D">
        <w:rPr>
          <w:rStyle w:val="Emphasis"/>
        </w:rPr>
        <w:t xml:space="preserve">the demand that </w:t>
      </w:r>
      <w:r w:rsidRPr="003B504D">
        <w:rPr>
          <w:rStyle w:val="Emphasis"/>
          <w:highlight w:val="green"/>
        </w:rPr>
        <w:t xml:space="preserve">we </w:t>
      </w:r>
      <w:r w:rsidRPr="003B504D">
        <w:rPr>
          <w:rStyle w:val="Emphasis"/>
        </w:rPr>
        <w:t xml:space="preserve">actively </w:t>
      </w:r>
      <w:r w:rsidRPr="003B504D">
        <w:rPr>
          <w:rStyle w:val="Emphasis"/>
          <w:highlight w:val="green"/>
        </w:rPr>
        <w:t xml:space="preserve">refuse </w:t>
      </w:r>
      <w:r w:rsidRPr="003B504D">
        <w:rPr>
          <w:rStyle w:val="Emphasis"/>
        </w:rPr>
        <w:t xml:space="preserve">its </w:t>
      </w:r>
      <w:r w:rsidRPr="003B504D">
        <w:rPr>
          <w:rStyle w:val="Emphasis"/>
          <w:highlight w:val="green"/>
        </w:rPr>
        <w:t xml:space="preserve">potential to re-empower our </w:t>
      </w:r>
      <w:r w:rsidRPr="003B504D">
        <w:rPr>
          <w:rStyle w:val="Emphasis"/>
        </w:rPr>
        <w:t xml:space="preserve">own </w:t>
      </w:r>
      <w:r w:rsidRPr="003B504D">
        <w:rPr>
          <w:rStyle w:val="Emphasis"/>
          <w:highlight w:val="green"/>
        </w:rPr>
        <w:t>academic voices and</w:t>
      </w:r>
      <w:r w:rsidRPr="003B504D">
        <w:rPr>
          <w:rStyle w:val="Emphasis"/>
        </w:rPr>
        <w:t xml:space="preserve"> to </w:t>
      </w:r>
      <w:r w:rsidRPr="003B504D">
        <w:rPr>
          <w:rStyle w:val="Emphasis"/>
          <w:highlight w:val="green"/>
        </w:rPr>
        <w:t>marginalize Indigenous resistance’</w:t>
      </w:r>
      <w:r w:rsidRPr="003B504D">
        <w:rPr>
          <w:sz w:val="12"/>
        </w:rPr>
        <w:t xml:space="preserve">.44 As settler scholars, we can reposition our work relationally and contextually with </w:t>
      </w:r>
      <w:proofErr w:type="spellStart"/>
      <w:r w:rsidRPr="003B504D">
        <w:rPr>
          <w:sz w:val="12"/>
        </w:rPr>
        <w:t>humi</w:t>
      </w:r>
      <w:proofErr w:type="spellEnd"/>
      <w:r w:rsidRPr="003B504D">
        <w:rPr>
          <w:sz w:val="12"/>
        </w:rPr>
        <w:t xml:space="preserve">- </w:t>
      </w:r>
      <w:proofErr w:type="spellStart"/>
      <w:r w:rsidRPr="003B504D">
        <w:rPr>
          <w:sz w:val="12"/>
        </w:rPr>
        <w:t>lity</w:t>
      </w:r>
      <w:proofErr w:type="spellEnd"/>
      <w:r w:rsidRPr="003B504D">
        <w:rPr>
          <w:sz w:val="12"/>
        </w:rPr>
        <w:t xml:space="preserve"> and accountability. </w:t>
      </w:r>
      <w:r w:rsidRPr="003B504D">
        <w:rPr>
          <w:rStyle w:val="Emphasis"/>
          <w:highlight w:val="green"/>
        </w:rPr>
        <w:t xml:space="preserve">We can </w:t>
      </w:r>
      <w:proofErr w:type="spellStart"/>
      <w:r w:rsidRPr="003B504D">
        <w:rPr>
          <w:rStyle w:val="Emphasis"/>
          <w:highlight w:val="green"/>
        </w:rPr>
        <w:t>centre</w:t>
      </w:r>
      <w:proofErr w:type="spellEnd"/>
      <w:r w:rsidRPr="003B504D">
        <w:rPr>
          <w:rStyle w:val="Emphasis"/>
          <w:highlight w:val="green"/>
        </w:rPr>
        <w:t xml:space="preserve"> Indigenous resistance</w:t>
      </w:r>
      <w:r w:rsidRPr="003B504D">
        <w:rPr>
          <w:rStyle w:val="Emphasis"/>
        </w:rPr>
        <w:t xml:space="preserve">, knowledges, and scholarship </w:t>
      </w:r>
      <w:r w:rsidRPr="003B504D">
        <w:rPr>
          <w:rStyle w:val="Emphasis"/>
          <w:highlight w:val="green"/>
        </w:rPr>
        <w:t>in our work</w:t>
      </w:r>
      <w:r w:rsidRPr="003B504D">
        <w:rPr>
          <w:rStyle w:val="Emphasis"/>
        </w:rPr>
        <w:t xml:space="preserve">, and contextualize our work in Indigenous sovereignty. We can view oral Indigenous scholarship as legitimate scholarly sources. We can acknowledge explicitly and often the Indigenous traditions of resistance and scholarship that have taught us and pro- vided the foundations for our work. </w:t>
      </w:r>
      <w:r w:rsidRPr="003B504D">
        <w:rPr>
          <w:rStyle w:val="Emphasis"/>
          <w:highlight w:val="green"/>
        </w:rPr>
        <w:t>If our work has no foundation of Indigenous scholarship</w:t>
      </w:r>
      <w:r w:rsidRPr="003B504D">
        <w:rPr>
          <w:rStyle w:val="Emphasis"/>
        </w:rPr>
        <w:t xml:space="preserve"> </w:t>
      </w:r>
      <w:r w:rsidRPr="003B504D">
        <w:rPr>
          <w:sz w:val="12"/>
        </w:rPr>
        <w:t>and mentorship, I believe</w:t>
      </w:r>
      <w:r w:rsidRPr="003B504D">
        <w:rPr>
          <w:rStyle w:val="Emphasis"/>
        </w:rPr>
        <w:t xml:space="preserve"> our </w:t>
      </w:r>
      <w:r w:rsidRPr="003B504D">
        <w:rPr>
          <w:rStyle w:val="Emphasis"/>
          <w:highlight w:val="green"/>
        </w:rPr>
        <w:t>contributions to settler colonial studies are</w:t>
      </w:r>
      <w:r w:rsidRPr="003B504D">
        <w:rPr>
          <w:rStyle w:val="Emphasis"/>
        </w:rPr>
        <w:t xml:space="preserve"> even more deeply </w:t>
      </w:r>
      <w:r w:rsidRPr="003B504D">
        <w:rPr>
          <w:rStyle w:val="Emphasis"/>
          <w:highlight w:val="green"/>
        </w:rPr>
        <w:t>problematic.</w:t>
      </w:r>
    </w:p>
    <w:p w14:paraId="6F5E03E1" w14:textId="77777777" w:rsidR="00CD3F57" w:rsidRPr="00312C2B" w:rsidRDefault="00CD3F57" w:rsidP="00CD3F57">
      <w:pPr>
        <w:pStyle w:val="Heading4"/>
        <w:rPr>
          <w:rFonts w:cs="Calibri"/>
          <w:color w:val="000000" w:themeColor="text1"/>
        </w:rPr>
      </w:pPr>
      <w:r w:rsidRPr="00312C2B">
        <w:rPr>
          <w:rFonts w:cs="Calibri"/>
          <w:color w:val="000000" w:themeColor="text1"/>
        </w:rPr>
        <w:t>Settler colonialism is not a one-off occurrence – based in the logic of elimination, it requires the erasure of indigenous populations for the identity-making and nation-forming of the white settler that rewrites ontological identity and relationships.</w:t>
      </w:r>
    </w:p>
    <w:p w14:paraId="04C7B5C5" w14:textId="77777777" w:rsidR="00CD3F57" w:rsidRPr="00684174" w:rsidRDefault="00CD3F57" w:rsidP="00CD3F57">
      <w:pPr>
        <w:rPr>
          <w:color w:val="000000" w:themeColor="text1"/>
        </w:rPr>
      </w:pPr>
      <w:r w:rsidRPr="00312C2B">
        <w:rPr>
          <w:rStyle w:val="Style13ptBold"/>
          <w:color w:val="000000" w:themeColor="text1"/>
        </w:rPr>
        <w:t>Rifkin 13</w:t>
      </w:r>
      <w:r w:rsidRPr="00312C2B">
        <w:rPr>
          <w:color w:val="000000" w:themeColor="text1"/>
        </w:rPr>
        <w:t xml:space="preserve"> </w:t>
      </w:r>
      <w:r w:rsidRPr="00312C2B">
        <w:rPr>
          <w:color w:val="000000" w:themeColor="text1"/>
          <w:sz w:val="16"/>
          <w:szCs w:val="18"/>
        </w:rPr>
        <w:t xml:space="preserve">Mark Rifkin, 2013, “Settler Common Sense: Queerness and Everyday Colonialism in the American Renaissance,” University of Minnesota Press, </w:t>
      </w:r>
      <w:r>
        <w:rPr>
          <w:color w:val="000000" w:themeColor="text1"/>
          <w:sz w:val="16"/>
          <w:szCs w:val="18"/>
        </w:rPr>
        <w:t>SJKS</w:t>
      </w:r>
    </w:p>
    <w:p w14:paraId="7C94F0BF" w14:textId="6BA51716" w:rsidR="00CD3F57" w:rsidRDefault="00CD3F57" w:rsidP="00CD3F57">
      <w:pPr>
        <w:rPr>
          <w:sz w:val="16"/>
        </w:rPr>
      </w:pPr>
      <w:r w:rsidRPr="00396F7E">
        <w:rPr>
          <w:sz w:val="16"/>
        </w:rPr>
        <w:t>In Settler Colonialism and the Transformation of Anthropology, Patrick Wolfe argues, “</w:t>
      </w:r>
      <w:r w:rsidRPr="00FE746B">
        <w:rPr>
          <w:rStyle w:val="Emphasis"/>
          <w:highlight w:val="green"/>
        </w:rPr>
        <w:t>Settler coloni</w:t>
      </w:r>
      <w:r w:rsidRPr="00AD752D">
        <w:rPr>
          <w:rStyle w:val="Emphasis"/>
        </w:rPr>
        <w:t>es were (</w:t>
      </w:r>
      <w:r w:rsidRPr="00FE746B">
        <w:rPr>
          <w:rStyle w:val="Emphasis"/>
          <w:highlight w:val="green"/>
        </w:rPr>
        <w:t>are) premised on the elimination of native societies</w:t>
      </w:r>
      <w:r w:rsidRPr="00396F7E">
        <w:rPr>
          <w:sz w:val="16"/>
        </w:rPr>
        <w:t xml:space="preserve">. The split tensing reflects a determinate feature of settler colonization. </w:t>
      </w:r>
      <w:r w:rsidRPr="00AD752D">
        <w:rPr>
          <w:rStyle w:val="Emphasis"/>
        </w:rPr>
        <w:t>The colonizers come to stay—invasion is a structure not an event</w:t>
      </w:r>
      <w:r w:rsidRPr="00396F7E">
        <w:rPr>
          <w:sz w:val="16"/>
        </w:rPr>
        <w:t xml:space="preserve">” (2).6 He suggests that </w:t>
      </w:r>
      <w:r w:rsidRPr="00FE746B">
        <w:rPr>
          <w:rStyle w:val="Emphasis"/>
          <w:highlight w:val="green"/>
        </w:rPr>
        <w:t>a “logic of elimination” drives settler governance and sociality</w:t>
      </w:r>
      <w:r w:rsidRPr="00396F7E">
        <w:rPr>
          <w:sz w:val="16"/>
          <w:highlight w:val="green"/>
        </w:rPr>
        <w:t>,</w:t>
      </w:r>
      <w:r w:rsidRPr="00396F7E">
        <w:rPr>
          <w:sz w:val="16"/>
        </w:rPr>
        <w:t xml:space="preserve"> describing “the settler-colonial will” as “a historical force that ultimately derives from the primal drive to expansion that is generally glossed as capitalism” (167), and in “Settler Colonialism and the Elimination of the Native,” he observes that “elimination is an organizing principle of settler-colonial society rather than a one-off (and </w:t>
      </w:r>
      <w:proofErr w:type="spellStart"/>
      <w:r w:rsidRPr="00396F7E">
        <w:rPr>
          <w:sz w:val="16"/>
        </w:rPr>
        <w:t>superceded</w:t>
      </w:r>
      <w:proofErr w:type="spellEnd"/>
      <w:r w:rsidRPr="00396F7E">
        <w:rPr>
          <w:sz w:val="16"/>
        </w:rPr>
        <w:t xml:space="preserve">) occurrence” (388). Rather than being superseded after an initial moment/ period of conquest, </w:t>
      </w:r>
      <w:r w:rsidRPr="00FE746B">
        <w:rPr>
          <w:rStyle w:val="Emphasis"/>
          <w:highlight w:val="green"/>
        </w:rPr>
        <w:t>colonization persists since</w:t>
      </w:r>
      <w:r w:rsidRPr="00AD752D">
        <w:rPr>
          <w:rStyle w:val="Emphasis"/>
        </w:rPr>
        <w:t xml:space="preserve"> “the logic of </w:t>
      </w:r>
      <w:r w:rsidRPr="00FE746B">
        <w:rPr>
          <w:rStyle w:val="Emphasis"/>
          <w:highlight w:val="green"/>
        </w:rPr>
        <w:t>elimination</w:t>
      </w:r>
      <w:r w:rsidRPr="00AD752D">
        <w:rPr>
          <w:rStyle w:val="Emphasis"/>
        </w:rPr>
        <w:t xml:space="preserve"> marks a return </w:t>
      </w:r>
      <w:r w:rsidRPr="00FE746B">
        <w:rPr>
          <w:rStyle w:val="Emphasis"/>
          <w:highlight w:val="green"/>
        </w:rPr>
        <w:t xml:space="preserve">whereby the native repressed </w:t>
      </w:r>
      <w:r w:rsidRPr="00FE746B">
        <w:rPr>
          <w:rStyle w:val="Emphasis"/>
        </w:rPr>
        <w:t xml:space="preserve">continues </w:t>
      </w:r>
      <w:r w:rsidRPr="00FE746B">
        <w:rPr>
          <w:rStyle w:val="Emphasis"/>
          <w:highlight w:val="green"/>
        </w:rPr>
        <w:t>to structure settler- colonial society</w:t>
      </w:r>
      <w:r w:rsidRPr="00396F7E">
        <w:rPr>
          <w:sz w:val="16"/>
        </w:rPr>
        <w:t xml:space="preserve">” (390). In Aileen Moreton-Robinson’s work, whiteness </w:t>
      </w:r>
      <w:proofErr w:type="spellStart"/>
      <w:r w:rsidRPr="00396F7E">
        <w:rPr>
          <w:sz w:val="16"/>
        </w:rPr>
        <w:t>func</w:t>
      </w:r>
      <w:proofErr w:type="spellEnd"/>
      <w:r w:rsidRPr="00396F7E">
        <w:rPr>
          <w:sz w:val="16"/>
        </w:rPr>
        <w:t xml:space="preserve">- </w:t>
      </w:r>
      <w:proofErr w:type="spellStart"/>
      <w:r w:rsidRPr="00396F7E">
        <w:rPr>
          <w:sz w:val="16"/>
        </w:rPr>
        <w:t>tions</w:t>
      </w:r>
      <w:proofErr w:type="spellEnd"/>
      <w:r w:rsidRPr="00396F7E">
        <w:rPr>
          <w:sz w:val="16"/>
        </w:rPr>
        <w:t xml:space="preserve"> as the central way of understanding the domination and displacement of Indigenous peoples by nonnatives.7 In “Writing Off Indigenous </w:t>
      </w:r>
      <w:proofErr w:type="spellStart"/>
      <w:r w:rsidRPr="00396F7E">
        <w:rPr>
          <w:sz w:val="16"/>
        </w:rPr>
        <w:t>Sover</w:t>
      </w:r>
      <w:proofErr w:type="spellEnd"/>
      <w:r w:rsidRPr="00396F7E">
        <w:rPr>
          <w:sz w:val="16"/>
        </w:rPr>
        <w:t xml:space="preserve">- </w:t>
      </w:r>
      <w:proofErr w:type="spellStart"/>
      <w:r w:rsidRPr="00396F7E">
        <w:rPr>
          <w:sz w:val="16"/>
        </w:rPr>
        <w:t>eignty</w:t>
      </w:r>
      <w:proofErr w:type="spellEnd"/>
      <w:r w:rsidRPr="00396F7E">
        <w:rPr>
          <w:sz w:val="16"/>
        </w:rPr>
        <w:t>,” she argues, “</w:t>
      </w:r>
      <w:r w:rsidRPr="00AD752D">
        <w:rPr>
          <w:rStyle w:val="Emphasis"/>
        </w:rPr>
        <w:t xml:space="preserve">As a regime of power, </w:t>
      </w:r>
      <w:r w:rsidRPr="00FE746B">
        <w:rPr>
          <w:rStyle w:val="Emphasis"/>
          <w:highlight w:val="green"/>
        </w:rPr>
        <w:t xml:space="preserve">patriarchal white sovereignty operates ideologically, materially and discursively to reproduce and main </w:t>
      </w:r>
      <w:proofErr w:type="spellStart"/>
      <w:r w:rsidRPr="00FE746B">
        <w:rPr>
          <w:rStyle w:val="Emphasis"/>
          <w:highlight w:val="green"/>
        </w:rPr>
        <w:t>tain</w:t>
      </w:r>
      <w:proofErr w:type="spellEnd"/>
      <w:r w:rsidRPr="00AD752D">
        <w:rPr>
          <w:rStyle w:val="Emphasis"/>
        </w:rPr>
        <w:t xml:space="preserve"> its investment in </w:t>
      </w:r>
      <w:r w:rsidRPr="00FE746B">
        <w:rPr>
          <w:rStyle w:val="Emphasis"/>
          <w:highlight w:val="green"/>
        </w:rPr>
        <w:t>the nation as a white possession</w:t>
      </w:r>
      <w:r w:rsidRPr="00396F7E">
        <w:rPr>
          <w:sz w:val="16"/>
        </w:rPr>
        <w:t xml:space="preserve">” (88), and in “Writ- </w:t>
      </w:r>
      <w:proofErr w:type="spellStart"/>
      <w:r w:rsidRPr="00396F7E">
        <w:rPr>
          <w:sz w:val="16"/>
        </w:rPr>
        <w:t>ing</w:t>
      </w:r>
      <w:proofErr w:type="spellEnd"/>
      <w:r w:rsidRPr="00396F7E">
        <w:rPr>
          <w:sz w:val="16"/>
        </w:rPr>
        <w:t xml:space="preserve"> Off Treaties,” she suggests, “</w:t>
      </w:r>
      <w:r w:rsidRPr="00AD752D">
        <w:rPr>
          <w:rStyle w:val="Emphasis"/>
        </w:rPr>
        <w:t>At an ontological level the structure of subjective possession occurs through the imposition of one’s will-to-be on the thing which is perceived to lack will, thus it is open to being possessed,” such that “possession . . . forms part of the ontological structure of white subjectivity</w:t>
      </w:r>
      <w:r w:rsidRPr="00396F7E">
        <w:rPr>
          <w:sz w:val="16"/>
        </w:rPr>
        <w:t xml:space="preserve">” (83–84). 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 </w:t>
      </w:r>
      <w:proofErr w:type="spellStart"/>
      <w:r w:rsidRPr="00396F7E">
        <w:rPr>
          <w:sz w:val="16"/>
        </w:rPr>
        <w:t>tler</w:t>
      </w:r>
      <w:proofErr w:type="spellEnd"/>
      <w:r w:rsidRPr="00396F7E">
        <w:rPr>
          <w:sz w:val="16"/>
        </w:rPr>
        <w:t xml:space="preserve"> colonialism” (xxiii, xvii). </w:t>
      </w:r>
      <w:r w:rsidRPr="00AD752D">
        <w:rPr>
          <w:rStyle w:val="Emphasis"/>
        </w:rPr>
        <w:t xml:space="preserve">She argues that </w:t>
      </w:r>
      <w:r w:rsidRPr="00FE746B">
        <w:rPr>
          <w:rStyle w:val="Emphasis"/>
          <w:highlight w:val="green"/>
        </w:rPr>
        <w:t>settlement works through the translation of indigeneity as Indianness</w:t>
      </w:r>
      <w:r w:rsidRPr="00AD752D">
        <w:rPr>
          <w:rStyle w:val="Emphasis"/>
        </w:rPr>
        <w:t>, castin</w:t>
      </w:r>
      <w:r>
        <w:rPr>
          <w:rStyle w:val="Emphasis"/>
        </w:rPr>
        <w:t>3</w:t>
      </w:r>
      <w:r w:rsidRPr="00AD752D">
        <w:rPr>
          <w:rStyle w:val="Emphasis"/>
        </w:rPr>
        <w:t xml:space="preserve">g place-based political </w:t>
      </w:r>
      <w:proofErr w:type="spellStart"/>
      <w:r w:rsidRPr="00AD752D">
        <w:rPr>
          <w:rStyle w:val="Emphasis"/>
        </w:rPr>
        <w:t>collec</w:t>
      </w:r>
      <w:proofErr w:type="spellEnd"/>
      <w:r w:rsidRPr="00AD752D">
        <w:rPr>
          <w:rStyle w:val="Emphasis"/>
        </w:rPr>
        <w:t xml:space="preserve">- </w:t>
      </w:r>
      <w:proofErr w:type="spellStart"/>
      <w:r w:rsidRPr="00AD752D">
        <w:rPr>
          <w:rStyle w:val="Emphasis"/>
        </w:rPr>
        <w:t>tivities</w:t>
      </w:r>
      <w:proofErr w:type="spellEnd"/>
      <w:r w:rsidRPr="00AD752D">
        <w:rPr>
          <w:rStyle w:val="Emphasis"/>
        </w:rPr>
        <w:t xml:space="preserve"> as (racialized) populations subject to U.S. jurisdiction and manage- </w:t>
      </w:r>
      <w:proofErr w:type="spellStart"/>
      <w:r w:rsidRPr="00AD752D">
        <w:rPr>
          <w:rStyle w:val="Emphasis"/>
        </w:rPr>
        <w:t>ment</w:t>
      </w:r>
      <w:proofErr w:type="spellEnd"/>
      <w:r w:rsidRPr="00AD752D">
        <w:rPr>
          <w:rStyle w:val="Emphasis"/>
        </w:rPr>
        <w:t>: “</w:t>
      </w:r>
      <w:r w:rsidRPr="00FE746B">
        <w:rPr>
          <w:rStyle w:val="Emphasis"/>
          <w:highlight w:val="green"/>
        </w:rPr>
        <w:t>the Indian is left nowhere and everywhere within the ontological premises through which U.S. empire orients</w:t>
      </w:r>
      <w:r w:rsidRPr="00AD752D">
        <w:rPr>
          <w:rStyle w:val="Emphasis"/>
        </w:rPr>
        <w:t xml:space="preserve">, imagines, and critiques </w:t>
      </w:r>
      <w:proofErr w:type="gramStart"/>
      <w:r w:rsidRPr="00FE746B">
        <w:rPr>
          <w:rStyle w:val="Emphasis"/>
          <w:highlight w:val="green"/>
        </w:rPr>
        <w:t>itself</w:t>
      </w:r>
      <w:r w:rsidRPr="00AD752D">
        <w:rPr>
          <w:rStyle w:val="Emphasis"/>
        </w:rPr>
        <w:t xml:space="preserve"> ”</w:t>
      </w:r>
      <w:proofErr w:type="gramEnd"/>
      <w:r w:rsidRPr="00AD752D">
        <w:rPr>
          <w:rStyle w:val="Emphasis"/>
        </w:rPr>
        <w:t>; “</w:t>
      </w:r>
      <w:r w:rsidRPr="00FE746B">
        <w:rPr>
          <w:rStyle w:val="Emphasis"/>
          <w:highlight w:val="green"/>
        </w:rPr>
        <w:t>ideas of</w:t>
      </w:r>
      <w:r w:rsidRPr="00AD752D">
        <w:rPr>
          <w:rStyle w:val="Emphasis"/>
        </w:rPr>
        <w:t xml:space="preserve"> Indians and </w:t>
      </w:r>
      <w:r w:rsidRPr="00FE746B">
        <w:rPr>
          <w:rStyle w:val="Emphasis"/>
          <w:highlight w:val="green"/>
        </w:rPr>
        <w:t>Indianness have served as the ontological ground through which</w:t>
      </w:r>
      <w:r w:rsidRPr="00AD752D">
        <w:rPr>
          <w:rStyle w:val="Emphasis"/>
        </w:rPr>
        <w:t xml:space="preserve"> U.S. </w:t>
      </w:r>
      <w:r w:rsidRPr="00FE746B">
        <w:rPr>
          <w:rStyle w:val="Emphasis"/>
          <w:highlight w:val="green"/>
        </w:rPr>
        <w:t>settler colonialism enacts itself</w:t>
      </w:r>
      <w:r w:rsidRPr="00AD752D">
        <w:rPr>
          <w:rStyle w:val="Emphasis"/>
        </w:rPr>
        <w:t xml:space="preserve"> ”</w:t>
      </w:r>
      <w:r w:rsidRPr="00396F7E">
        <w:rPr>
          <w:sz w:val="16"/>
        </w:rPr>
        <w:t xml:space="preserve"> (xix). These accounts are differently configured, but in all of them, the contours of settlement appear analytically as clear and coherent from the start, as a virtual totality. What, though, might be lost in an analytical investment in tracing settlement as a structure or ontology—a somewhat self-generating, uniform whole? The ongoing processes by which settler dominance actively is reconstituted as an embodied set of actions, occupations, deferrals, and potentials can slide from view, deferring discussion of how the regularities of settler colonialism are materialized in and through quotidian nonnative sensations, dispositions, and lived trajectories. Holland notes of discussions of antiblack racism that “when we return to [racist] practice, we can only see something produced by the machinations of large systems like the </w:t>
      </w:r>
      <w:proofErr w:type="spellStart"/>
      <w:r w:rsidRPr="00396F7E">
        <w:rPr>
          <w:sz w:val="16"/>
        </w:rPr>
        <w:t>uni</w:t>
      </w:r>
      <w:proofErr w:type="spellEnd"/>
      <w:r w:rsidRPr="00396F7E">
        <w:rPr>
          <w:sz w:val="16"/>
        </w:rPr>
        <w:t xml:space="preserve">- </w:t>
      </w:r>
      <w:proofErr w:type="spellStart"/>
      <w:r w:rsidRPr="00396F7E">
        <w:rPr>
          <w:sz w:val="16"/>
        </w:rPr>
        <w:t>versity</w:t>
      </w:r>
      <w:proofErr w:type="spellEnd"/>
      <w:r w:rsidRPr="00396F7E">
        <w:rPr>
          <w:sz w:val="16"/>
        </w:rPr>
        <w:t xml:space="preserve"> or the state. We often only have eyes for the </w:t>
      </w:r>
      <w:proofErr w:type="spellStart"/>
      <w:r w:rsidRPr="00396F7E">
        <w:rPr>
          <w:sz w:val="16"/>
        </w:rPr>
        <w:t>spectacularity</w:t>
      </w:r>
      <w:proofErr w:type="spellEnd"/>
      <w:r w:rsidRPr="00396F7E">
        <w:rPr>
          <w:sz w:val="16"/>
        </w:rPr>
        <w:t xml:space="preserve"> of racist practice, not its everyday machinations” (27), later observing, “[W]e might come to think differently about the historical—we might find a grounding for racist practice that acknowledges both systemic practices and quotidian effects that far exceed our patterned understanding of how history has hap- </w:t>
      </w:r>
      <w:proofErr w:type="spellStart"/>
      <w:r w:rsidRPr="00396F7E">
        <w:rPr>
          <w:sz w:val="16"/>
        </w:rPr>
        <w:t>pened</w:t>
      </w:r>
      <w:proofErr w:type="spellEnd"/>
      <w:r w:rsidRPr="00396F7E">
        <w:rPr>
          <w:sz w:val="16"/>
        </w:rPr>
        <w:t xml:space="preserve"> to us” (52). When and how do projects of elimination, replacement, and possession become geographies of everyday nonnative occupancy that do not understand themselves as predicated on colonial occupation or on a history of settler–Indigenous relation (even though they are), and what are the contours and effects of such experiences of inhabitance and belong- </w:t>
      </w:r>
      <w:proofErr w:type="spellStart"/>
      <w:r w:rsidRPr="00396F7E">
        <w:rPr>
          <w:sz w:val="16"/>
        </w:rPr>
        <w:t>ing</w:t>
      </w:r>
      <w:proofErr w:type="spellEnd"/>
      <w:r w:rsidRPr="00396F7E">
        <w:rPr>
          <w:sz w:val="16"/>
        </w:rPr>
        <w:t xml:space="preserve">? Quotidian forms of sensation—processes of routine happening—fade from view in the move away from the “everyday” and toward the “systemic.” In Reassembling the Social, Bruno Latour argues against kinds of analysis in which “the social” functions as an explanatory tool that exceeds and pre- cedes the particular sets and sites of relations under discussion: “every </w:t>
      </w:r>
      <w:proofErr w:type="spellStart"/>
      <w:r w:rsidRPr="00396F7E">
        <w:rPr>
          <w:sz w:val="16"/>
        </w:rPr>
        <w:t>activ</w:t>
      </w:r>
      <w:proofErr w:type="spellEnd"/>
      <w:r w:rsidRPr="00396F7E">
        <w:rPr>
          <w:sz w:val="16"/>
        </w:rPr>
        <w:t xml:space="preserve">- </w:t>
      </w:r>
      <w:proofErr w:type="spellStart"/>
      <w:r w:rsidRPr="00396F7E">
        <w:rPr>
          <w:sz w:val="16"/>
        </w:rPr>
        <w:t>ity</w:t>
      </w:r>
      <w:proofErr w:type="spellEnd"/>
      <w:r w:rsidRPr="00396F7E">
        <w:rPr>
          <w:sz w:val="16"/>
        </w:rPr>
        <w:t xml:space="preserve">—law, science, technology, religion, organization, politics, management, etc.—could be related to and explained by the same social aggregates behind all of them” (8).8 Doing so short-circuits the investigation by a priori posit- </w:t>
      </w:r>
      <w:proofErr w:type="spellStart"/>
      <w:r w:rsidRPr="00396F7E">
        <w:rPr>
          <w:sz w:val="16"/>
        </w:rPr>
        <w:t>ing</w:t>
      </w:r>
      <w:proofErr w:type="spellEnd"/>
      <w:r w:rsidRPr="00396F7E">
        <w:rPr>
          <w:sz w:val="16"/>
        </w:rPr>
        <w:t xml:space="preserve"> an integrated set of connections that is then treated as a sufficient cause for the “activity” in question, which itself functions in the analysis as merely a bearer of that self-same “social aggregate”—not doing anything on its own. </w:t>
      </w:r>
      <w:r w:rsidRPr="00AD752D">
        <w:rPr>
          <w:rStyle w:val="Emphasis"/>
        </w:rPr>
        <w:t xml:space="preserve">The dynamics by which </w:t>
      </w:r>
      <w:r w:rsidRPr="00D62E56">
        <w:rPr>
          <w:rStyle w:val="Emphasis"/>
          <w:highlight w:val="green"/>
        </w:rPr>
        <w:t>legislative and administrative agendas</w:t>
      </w:r>
      <w:r w:rsidRPr="00AD752D">
        <w:rPr>
          <w:rStyle w:val="Emphasis"/>
        </w:rPr>
        <w:t xml:space="preserve"> come to </w:t>
      </w:r>
      <w:r w:rsidRPr="00D62E56">
        <w:rPr>
          <w:rStyle w:val="Emphasis"/>
          <w:highlight w:val="green"/>
        </w:rPr>
        <w:t>function as</w:t>
      </w:r>
      <w:r w:rsidRPr="00AD752D">
        <w:rPr>
          <w:rStyle w:val="Emphasis"/>
        </w:rPr>
        <w:t xml:space="preserve"> an animating </w:t>
      </w:r>
      <w:r w:rsidRPr="00D62E56">
        <w:rPr>
          <w:rStyle w:val="Emphasis"/>
          <w:highlight w:val="green"/>
        </w:rPr>
        <w:t>part of daily life</w:t>
      </w:r>
      <w:r w:rsidRPr="00AD752D">
        <w:rPr>
          <w:rStyle w:val="Emphasis"/>
        </w:rPr>
        <w:t xml:space="preserve">, the differences such realization and localization make in the terms and trajectories of those explicit </w:t>
      </w:r>
      <w:proofErr w:type="spellStart"/>
      <w:r w:rsidRPr="00AD752D">
        <w:rPr>
          <w:rStyle w:val="Emphasis"/>
        </w:rPr>
        <w:t>proj</w:t>
      </w:r>
      <w:proofErr w:type="spellEnd"/>
      <w:r w:rsidRPr="00AD752D">
        <w:rPr>
          <w:rStyle w:val="Emphasis"/>
        </w:rPr>
        <w:t xml:space="preserve">- </w:t>
      </w:r>
      <w:proofErr w:type="spellStart"/>
      <w:r w:rsidRPr="00AD752D">
        <w:rPr>
          <w:rStyle w:val="Emphasis"/>
        </w:rPr>
        <w:t>ects</w:t>
      </w:r>
      <w:proofErr w:type="spellEnd"/>
      <w:r w:rsidRPr="00AD752D">
        <w:rPr>
          <w:rStyle w:val="Emphasis"/>
        </w:rPr>
        <w:t xml:space="preserve">, and the possibilities for forms of disjuncture between the state </w:t>
      </w:r>
      <w:proofErr w:type="spellStart"/>
      <w:r w:rsidRPr="00AD752D">
        <w:rPr>
          <w:rStyle w:val="Emphasis"/>
        </w:rPr>
        <w:t>appara</w:t>
      </w:r>
      <w:proofErr w:type="spellEnd"/>
      <w:r w:rsidRPr="00AD752D">
        <w:rPr>
          <w:rStyle w:val="Emphasis"/>
        </w:rPr>
        <w:t xml:space="preserve">- </w:t>
      </w:r>
      <w:proofErr w:type="spellStart"/>
      <w:r w:rsidRPr="00AD752D">
        <w:rPr>
          <w:rStyle w:val="Emphasis"/>
        </w:rPr>
        <w:t>tus</w:t>
      </w:r>
      <w:proofErr w:type="spellEnd"/>
      <w:r w:rsidRPr="00AD752D">
        <w:rPr>
          <w:rStyle w:val="Emphasis"/>
        </w:rPr>
        <w:t xml:space="preserve"> and everyday experience are bracketed by the positing of a clear, direct, and inevitable relation characterized as “ontological.” Raymond Williams observes, “</w:t>
      </w:r>
      <w:r w:rsidRPr="00D62E56">
        <w:rPr>
          <w:rStyle w:val="Emphasis"/>
          <w:highlight w:val="green"/>
        </w:rPr>
        <w:t>A</w:t>
      </w:r>
      <w:r w:rsidRPr="00AD752D">
        <w:rPr>
          <w:rStyle w:val="Emphasis"/>
        </w:rPr>
        <w:t xml:space="preserve"> lived </w:t>
      </w:r>
      <w:r w:rsidRPr="00D62E56">
        <w:rPr>
          <w:rStyle w:val="Emphasis"/>
          <w:highlight w:val="green"/>
        </w:rPr>
        <w:t>hegemony is</w:t>
      </w:r>
      <w:r w:rsidRPr="00AD752D">
        <w:rPr>
          <w:rStyle w:val="Emphasis"/>
        </w:rPr>
        <w:t xml:space="preserve"> always </w:t>
      </w:r>
      <w:r w:rsidRPr="00D62E56">
        <w:rPr>
          <w:rStyle w:val="Emphasis"/>
          <w:highlight w:val="green"/>
        </w:rPr>
        <w:t>a process</w:t>
      </w:r>
      <w:r w:rsidRPr="00AD752D">
        <w:rPr>
          <w:rStyle w:val="Emphasis"/>
        </w:rPr>
        <w:t>. It is not, except analytically, a system or a structure</w:t>
      </w:r>
      <w:proofErr w:type="gramStart"/>
      <w:r w:rsidRPr="00AD752D">
        <w:rPr>
          <w:rStyle w:val="Emphasis"/>
        </w:rPr>
        <w:t>. . . .</w:t>
      </w:r>
      <w:proofErr w:type="gramEnd"/>
      <w:r w:rsidRPr="00AD752D">
        <w:rPr>
          <w:rStyle w:val="Emphasis"/>
        </w:rPr>
        <w:t xml:space="preserve"> In practice, that is, hegemony can never be sin- gular,” instead </w:t>
      </w:r>
      <w:r w:rsidRPr="00D62E56">
        <w:rPr>
          <w:rStyle w:val="Emphasis"/>
          <w:highlight w:val="green"/>
        </w:rPr>
        <w:t>needing “continually to be renewed, recreated, defended, and modified</w:t>
      </w:r>
      <w:r w:rsidRPr="00AD752D">
        <w:rPr>
          <w:rStyle w:val="Emphasis"/>
        </w:rPr>
        <w:t>”</w:t>
      </w:r>
      <w:r w:rsidRPr="00396F7E">
        <w:rPr>
          <w:sz w:val="16"/>
        </w:rPr>
        <w:t xml:space="preserve"> (112), and he describes the tendency to speak and think in terms of systems as a “procedural mode” that emphasizes “formed wholes rather than forming and formative processes” (128). </w:t>
      </w:r>
      <w:r w:rsidRPr="00AD752D">
        <w:rPr>
          <w:rStyle w:val="Emphasis"/>
        </w:rPr>
        <w:t xml:space="preserve">Following this line of thought, accounts of settlement as always-already a “formed whole” leave aside the ways the </w:t>
      </w:r>
      <w:r w:rsidRPr="00D62E56">
        <w:rPr>
          <w:rStyle w:val="Emphasis"/>
          <w:highlight w:val="green"/>
        </w:rPr>
        <w:t>institutions of the settler-state become “actively involved” in the daily life of nonnatives</w:t>
      </w:r>
      <w:r w:rsidRPr="00AD752D">
        <w:rPr>
          <w:rStyle w:val="Emphasis"/>
        </w:rPr>
        <w:t>, serving as “formative” but in ways that cannot be understood as always taking the same shape and thus known beforehand.</w:t>
      </w:r>
      <w:r w:rsidRPr="00396F7E">
        <w:rPr>
          <w:sz w:val="16"/>
        </w:rPr>
        <w:t xml:space="preserve"> Moreover, this processual approach leans away from the tendency to look to a limited set of federal laws, cases, and policy determinations as the means of defining the legal terms (the structure) of settlement, particularly given the unevenness of the application of federal norms generally, the develop- </w:t>
      </w:r>
      <w:proofErr w:type="spellStart"/>
      <w:r w:rsidRPr="00396F7E">
        <w:rPr>
          <w:sz w:val="16"/>
        </w:rPr>
        <w:t>ment</w:t>
      </w:r>
      <w:proofErr w:type="spellEnd"/>
      <w:r w:rsidRPr="00396F7E">
        <w:rPr>
          <w:sz w:val="16"/>
        </w:rPr>
        <w:t xml:space="preserve"> of divergent patterns in states and territories, and the fact that states in the Northeast sought to present themselves as not bound by the terms of federal Indian affairs.9 </w:t>
      </w:r>
      <w:r w:rsidRPr="00766055">
        <w:rPr>
          <w:rStyle w:val="Emphasis"/>
        </w:rPr>
        <w:t xml:space="preserve">The notion of settler common sense seeks to address how </w:t>
      </w:r>
      <w:r w:rsidRPr="00D62E56">
        <w:rPr>
          <w:rStyle w:val="Emphasis"/>
          <w:highlight w:val="green"/>
        </w:rPr>
        <w:t>the varied legalities</w:t>
      </w:r>
      <w:r w:rsidRPr="00766055">
        <w:rPr>
          <w:rStyle w:val="Emphasis"/>
        </w:rPr>
        <w:t xml:space="preserve">, administrative </w:t>
      </w:r>
      <w:r w:rsidRPr="00D62E56">
        <w:rPr>
          <w:rStyle w:val="Emphasis"/>
          <w:highlight w:val="green"/>
        </w:rPr>
        <w:t>structures, and</w:t>
      </w:r>
      <w:r w:rsidRPr="00766055">
        <w:rPr>
          <w:rStyle w:val="Emphasis"/>
        </w:rPr>
        <w:t xml:space="preserve"> concrete effects </w:t>
      </w:r>
      <w:r w:rsidRPr="00D62E56">
        <w:rPr>
          <w:rStyle w:val="Emphasis"/>
          <w:highlight w:val="green"/>
        </w:rPr>
        <w:t>of settler governance get “renewed” and “recreated</w:t>
      </w:r>
      <w:r w:rsidRPr="00766055">
        <w:rPr>
          <w:rStyle w:val="Emphasis"/>
        </w:rPr>
        <w:t xml:space="preserve">” in ordinary phenomena by nonnative, nonstate actors, </w:t>
      </w:r>
      <w:r w:rsidRPr="00D62E56">
        <w:rPr>
          <w:rStyle w:val="Emphasis"/>
          <w:highlight w:val="green"/>
        </w:rPr>
        <w:t>in ways that do not necessarily affirm settlement</w:t>
      </w:r>
      <w:r w:rsidRPr="00766055">
        <w:rPr>
          <w:rStyle w:val="Emphasis"/>
        </w:rPr>
        <w:t xml:space="preserve"> as an </w:t>
      </w:r>
      <w:r w:rsidRPr="00D62E56">
        <w:rPr>
          <w:rStyle w:val="Emphasis"/>
          <w:highlight w:val="green"/>
        </w:rPr>
        <w:t>explicit</w:t>
      </w:r>
      <w:r w:rsidRPr="00766055">
        <w:rPr>
          <w:rStyle w:val="Emphasis"/>
        </w:rPr>
        <w:t>, conscious set of imperatives/initiatives or coordinate with each other as a self-identical program</w:t>
      </w:r>
      <w:r w:rsidRPr="00396F7E">
        <w:rPr>
          <w:sz w:val="16"/>
        </w:rPr>
        <w:t xml:space="preserve">. As a project of reading, then, it looks for the textual traces of quotidian ways of (re)producing the givenness of settler jurisdiction, placemaking, and personhood, attending to the means by which writings that feature neither Indians nor the expropriation of Native lands register the impression of everyday modes of colonial occupation. </w:t>
      </w:r>
    </w:p>
    <w:p w14:paraId="6686AD16" w14:textId="77777777" w:rsidR="005338E3" w:rsidRPr="00596832" w:rsidRDefault="005338E3" w:rsidP="005338E3">
      <w:pPr>
        <w:pStyle w:val="Heading4"/>
        <w:rPr>
          <w:lang w:bidi="he-IL"/>
        </w:rPr>
      </w:pPr>
      <w:r>
        <w:rPr>
          <w:lang w:bidi="he-IL"/>
        </w:rPr>
        <w:t>Settler workers are still settlers – the 1ac grounds their politics in a defense of indigenous dispossession and necessitates settler expansion.</w:t>
      </w:r>
    </w:p>
    <w:p w14:paraId="57AB1F6D" w14:textId="77777777" w:rsidR="005338E3" w:rsidRPr="0078403A" w:rsidRDefault="005338E3" w:rsidP="005338E3">
      <w:r w:rsidRPr="0078403A">
        <w:rPr>
          <w:rStyle w:val="Style13ptBold"/>
        </w:rPr>
        <w:t>Englert 20</w:t>
      </w:r>
      <w:r>
        <w:t xml:space="preserve"> </w:t>
      </w:r>
      <w:r w:rsidRPr="0078403A">
        <w:rPr>
          <w:sz w:val="18"/>
          <w:szCs w:val="20"/>
        </w:rPr>
        <w:t xml:space="preserve">Sai Englert (lecturer @ Universiteit Leiden), 2020, “Settlers, Workers, and the Logic of Accumulation by Dispossession,” Antipode, Vol. 0, No. 0, doi:10.1111/anti.12659     </w:t>
      </w:r>
    </w:p>
    <w:p w14:paraId="5AE16ACB" w14:textId="77777777" w:rsidR="005338E3" w:rsidRPr="0059747E" w:rsidRDefault="005338E3" w:rsidP="005338E3">
      <w:pPr>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In fact, more often than not, </w:t>
      </w:r>
      <w:r w:rsidRPr="0059747E">
        <w:rPr>
          <w:rStyle w:val="Emphasis"/>
          <w:highlight w:val="green"/>
        </w:rPr>
        <w:t xml:space="preserve">settler </w:t>
      </w:r>
      <w:proofErr w:type="spellStart"/>
      <w:r w:rsidRPr="0059747E">
        <w:rPr>
          <w:rStyle w:val="Emphasis"/>
          <w:highlight w:val="green"/>
        </w:rPr>
        <w:t>labour</w:t>
      </w:r>
      <w:proofErr w:type="spellEnd"/>
      <w:r w:rsidRPr="0059747E">
        <w:rPr>
          <w:rStyle w:val="Emphasis"/>
          <w:highlight w:val="green"/>
        </w:rPr>
        <w:t xml:space="preserve"> movements fought for the intensification of settler expansion</w:t>
      </w:r>
      <w:r w:rsidRPr="001630A4">
        <w:rPr>
          <w:rStyle w:val="Emphasis"/>
        </w:rPr>
        <w:t xml:space="preserve"> and racial segregation (see “An Alternative Reading: Settler Colonies and the Exploitation of the Native” above), through </w:t>
      </w:r>
      <w:proofErr w:type="spellStart"/>
      <w:r w:rsidRPr="001630A4">
        <w:rPr>
          <w:rStyle w:val="Emphasis"/>
        </w:rPr>
        <w:t>colour</w:t>
      </w:r>
      <w:proofErr w:type="spellEnd"/>
      <w:r w:rsidRPr="001630A4">
        <w:rPr>
          <w:rStyle w:val="Emphasis"/>
        </w:rPr>
        <w:t xml:space="preserve"> bars, boycott campaigns and demands for expulsion</w:t>
      </w:r>
      <w:r w:rsidRPr="0059747E">
        <w:rPr>
          <w:sz w:val="14"/>
        </w:rPr>
        <w:t xml:space="preserve">. In the process, bitter confrontations emerged between settler </w:t>
      </w:r>
      <w:proofErr w:type="spellStart"/>
      <w:r w:rsidRPr="0059747E">
        <w:rPr>
          <w:sz w:val="14"/>
        </w:rPr>
        <w:t>labour</w:t>
      </w:r>
      <w:proofErr w:type="spellEnd"/>
      <w:r w:rsidRPr="0059747E">
        <w:rPr>
          <w:sz w:val="14"/>
        </w:rPr>
        <w:t xml:space="preserve"> and capital, when the latter attempted to increase its profit margins through the exploitation of indigenous </w:t>
      </w:r>
      <w:proofErr w:type="spellStart"/>
      <w:r w:rsidRPr="0059747E">
        <w:rPr>
          <w:sz w:val="14"/>
        </w:rPr>
        <w:t>labour</w:t>
      </w:r>
      <w:proofErr w:type="spellEnd"/>
      <w:r w:rsidRPr="0059747E">
        <w:rPr>
          <w:sz w:val="14"/>
        </w:rPr>
        <w:t xml:space="preserve">—for example in the context of the white </w:t>
      </w:r>
      <w:proofErr w:type="spellStart"/>
      <w:r w:rsidRPr="0059747E">
        <w:rPr>
          <w:sz w:val="14"/>
        </w:rPr>
        <w:t>labour</w:t>
      </w:r>
      <w:proofErr w:type="spellEnd"/>
      <w:r w:rsidRPr="0059747E">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59747E">
        <w:rPr>
          <w:rStyle w:val="Emphasis"/>
          <w:highlight w:val="green"/>
        </w:rPr>
        <w:t>If settler workers are exploited as workers</w:t>
      </w:r>
      <w:r w:rsidRPr="001630A4">
        <w:rPr>
          <w:rStyle w:val="Emphasis"/>
        </w:rPr>
        <w:t xml:space="preserve"> within the settler colony, </w:t>
      </w:r>
      <w:r w:rsidRPr="0059747E">
        <w:rPr>
          <w:rStyle w:val="Emphasis"/>
          <w:highlight w:val="green"/>
        </w:rPr>
        <w:t>they remain settlers</w:t>
      </w:r>
      <w:r w:rsidRPr="001630A4">
        <w:rPr>
          <w:rStyle w:val="Emphasis"/>
        </w:rPr>
        <w:t xml:space="preserve">. As such </w:t>
      </w:r>
      <w:r w:rsidRPr="0059747E">
        <w:rPr>
          <w:rStyle w:val="Emphasis"/>
          <w:highlight w:val="green"/>
        </w:rPr>
        <w:t>they participate in</w:t>
      </w:r>
      <w:r w:rsidRPr="001630A4">
        <w:rPr>
          <w:rStyle w:val="Emphasis"/>
        </w:rPr>
        <w:t xml:space="preserve"> the processes of </w:t>
      </w:r>
      <w:r w:rsidRPr="0059747E">
        <w:rPr>
          <w:rStyle w:val="Emphasis"/>
          <w:highlight w:val="green"/>
        </w:rPr>
        <w:t>accumulation by dispossession</w:t>
      </w:r>
      <w:r w:rsidRPr="001630A4">
        <w:rPr>
          <w:rStyle w:val="Emphasis"/>
        </w:rPr>
        <w:t xml:space="preserve"> through the occupation of lands, the elimination or exploitation of indigenous peoples, and the extraction of expropriated resources</w:t>
      </w:r>
      <w:r w:rsidRPr="0059747E">
        <w:rPr>
          <w:sz w:val="14"/>
        </w:rPr>
        <w:t xml:space="preserve">. For example, at a very basic level, their houses, workplaces, and basic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came to the conclusion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as many anti-colonial thinkers and activists, not least among them Fanon (2001) in the Wretched of the Earth, have argued that </w:t>
      </w:r>
      <w:r w:rsidRPr="0059747E">
        <w:rPr>
          <w:rStyle w:val="Emphasis"/>
          <w:highlight w:val="green"/>
        </w:rPr>
        <w:t>indigenous people face the settler population as a whole in</w:t>
      </w:r>
      <w:r w:rsidRPr="00C568EB">
        <w:rPr>
          <w:rStyle w:val="Emphasis"/>
        </w:rPr>
        <w:t xml:space="preserve"> their struggle for </w:t>
      </w:r>
      <w:r w:rsidRPr="0059747E">
        <w:rPr>
          <w:rStyle w:val="Emphasis"/>
          <w:highlight w:val="green"/>
        </w:rPr>
        <w:t>de-</w:t>
      </w:r>
      <w:proofErr w:type="spellStart"/>
      <w:r w:rsidRPr="0059747E">
        <w:rPr>
          <w:rStyle w:val="Emphasis"/>
          <w:highlight w:val="green"/>
        </w:rPr>
        <w:t>colonisation</w:t>
      </w:r>
      <w:proofErr w:type="spellEnd"/>
      <w:r w:rsidRPr="00C568EB">
        <w:rPr>
          <w:rStyle w:val="Emphasis"/>
        </w:rPr>
        <w:t>.</w:t>
      </w:r>
      <w:r w:rsidRPr="0059747E">
        <w:rPr>
          <w:sz w:val="14"/>
        </w:rPr>
        <w:t xml:space="preserve"> This is not to say that individual settlers or specific settler </w:t>
      </w:r>
      <w:proofErr w:type="spellStart"/>
      <w:r w:rsidRPr="0059747E">
        <w:rPr>
          <w:sz w:val="14"/>
        </w:rPr>
        <w:t>organisations</w:t>
      </w:r>
      <w:proofErr w:type="spellEnd"/>
      <w:r w:rsidRPr="0059747E">
        <w:rPr>
          <w:sz w:val="14"/>
        </w:rPr>
        <w:t xml:space="preserve"> cannot or have not supported struggles for </w:t>
      </w:r>
      <w:proofErr w:type="spellStart"/>
      <w:r w:rsidRPr="0059747E">
        <w:rPr>
          <w:sz w:val="14"/>
        </w:rPr>
        <w:t>decolonisation</w:t>
      </w:r>
      <w:proofErr w:type="spellEnd"/>
      <w:r w:rsidRPr="0059747E">
        <w:rPr>
          <w:sz w:val="14"/>
        </w:rPr>
        <w:t xml:space="preserve">. It is however to point out that this is not the case for the majority of the settler working class, while it continues to depend on the continued dispossession of the natives for the quality of its living standards. </w:t>
      </w:r>
      <w:r w:rsidRPr="00C568EB">
        <w:rPr>
          <w:rStyle w:val="Emphasis"/>
        </w:rPr>
        <w:t xml:space="preserve">Whether the settler colony is </w:t>
      </w:r>
      <w:proofErr w:type="spellStart"/>
      <w:r w:rsidRPr="00C568EB">
        <w:rPr>
          <w:rStyle w:val="Emphasis"/>
        </w:rPr>
        <w:t>organised</w:t>
      </w:r>
      <w:proofErr w:type="spellEnd"/>
      <w:r w:rsidRPr="00C568EB">
        <w:rPr>
          <w:rStyle w:val="Emphasis"/>
        </w:rPr>
        <w:t xml:space="preserve">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59747E">
        <w:rPr>
          <w:sz w:val="14"/>
        </w:rPr>
        <w:t xml:space="preserve">More than that, the specific structural forms of settler rule over the indigenous population </w:t>
      </w:r>
      <w:proofErr w:type="gramStart"/>
      <w:r w:rsidRPr="0059747E">
        <w:rPr>
          <w:sz w:val="14"/>
        </w:rPr>
        <w:t>is</w:t>
      </w:r>
      <w:proofErr w:type="gramEnd"/>
      <w:r w:rsidRPr="0059747E">
        <w:rPr>
          <w:sz w:val="14"/>
        </w:rPr>
        <w:t xml:space="preserve"> best understood as the outcome of struggle, both between settler classes and between settlers and indigenous populations. This paper now turns to two brief case studies demonstrating this process in the context of Zionism in Palestine.</w:t>
      </w:r>
    </w:p>
    <w:p w14:paraId="37738A20" w14:textId="77777777" w:rsidR="005338E3" w:rsidRPr="00396F7E" w:rsidRDefault="005338E3" w:rsidP="00CD3F57">
      <w:pPr>
        <w:rPr>
          <w:sz w:val="16"/>
        </w:rPr>
      </w:pPr>
    </w:p>
    <w:p w14:paraId="66190609" w14:textId="77777777" w:rsidR="00CD3F57" w:rsidRPr="003B504D" w:rsidRDefault="00CD3F57" w:rsidP="00CD3F57">
      <w:pPr>
        <w:pStyle w:val="Heading4"/>
        <w:rPr>
          <w:rFonts w:cs="Calibri"/>
        </w:rPr>
      </w:pPr>
      <w:r w:rsidRPr="003B504D">
        <w:rPr>
          <w:rFonts w:cs="Calibri"/>
        </w:rPr>
        <w:t xml:space="preserve">Western epistemology is deeply engrained in settler colonialism. Rationalist thought </w:t>
      </w:r>
      <w:proofErr w:type="spellStart"/>
      <w:r w:rsidRPr="003B504D">
        <w:rPr>
          <w:rFonts w:cs="Calibri"/>
        </w:rPr>
        <w:t>centres</w:t>
      </w:r>
      <w:proofErr w:type="spellEnd"/>
      <w:r w:rsidRPr="003B504D">
        <w:rPr>
          <w:rFonts w:cs="Calibri"/>
        </w:rPr>
        <w:t xml:space="preserve"> itself as the almighty while pushing others down and is what created the conditions that were used to justify genocide. The 1AC outsources agency to a “neutral point” where they look down at Indigenous people, classify them, and eliminate them.</w:t>
      </w:r>
    </w:p>
    <w:p w14:paraId="6909770F" w14:textId="77777777" w:rsidR="00CD3F57" w:rsidRPr="003B504D" w:rsidRDefault="00CD3F57" w:rsidP="00CD3F57">
      <w:pPr>
        <w:rPr>
          <w:i/>
        </w:rPr>
      </w:pPr>
      <w:r w:rsidRPr="003B504D">
        <w:rPr>
          <w:b/>
        </w:rPr>
        <w:t xml:space="preserve">Kerr 14 </w:t>
      </w:r>
      <w:r w:rsidRPr="003B504D">
        <w:rPr>
          <w:sz w:val="16"/>
          <w:szCs w:val="16"/>
        </w:rPr>
        <w:t xml:space="preserve">(Jeannie Kerr is an assistant professor of education at the University of Winnipeg, former professor at the University of British Columbia, teaches courses in Indigenous Education, Knowledge and Society, Knowledge and Curriculum, Decolonial thought. “Western epistemic dominance and colonial structures: Considerations for thought and practice in programs of teacher education,” </w:t>
      </w:r>
      <w:r w:rsidRPr="003B504D">
        <w:rPr>
          <w:i/>
          <w:sz w:val="16"/>
          <w:szCs w:val="16"/>
        </w:rPr>
        <w:t>Decolonization: Indigeneity, Education &amp; Society</w:t>
      </w:r>
      <w:r w:rsidRPr="003B504D">
        <w:rPr>
          <w:sz w:val="16"/>
          <w:szCs w:val="16"/>
        </w:rPr>
        <w:t>, Vol. 3, No. 2, 2014. Pages 88-91) // SJ DL</w:t>
      </w:r>
    </w:p>
    <w:p w14:paraId="2B297AF4" w14:textId="77777777" w:rsidR="00CD3F57" w:rsidRPr="003B504D" w:rsidRDefault="00CD3F57" w:rsidP="00CD3F57">
      <w:pPr>
        <w:rPr>
          <w:rStyle w:val="Emphasis"/>
        </w:rPr>
      </w:pPr>
      <w:r w:rsidRPr="003B504D">
        <w:rPr>
          <w:rStyle w:val="Emphasis"/>
        </w:rPr>
        <w:t>Coloniality scholars provide a distinct interpretation and critique of modernist thought as related to colonial violence</w:t>
      </w:r>
      <w:r w:rsidRPr="003B504D">
        <w:rPr>
          <w:sz w:val="12"/>
        </w:rPr>
        <w:t xml:space="preserve">. The rise of modernist thought leading to the 17th century Western Enlightenment has been critiqued through various lenses in post-modern scholarship. In general, </w:t>
      </w:r>
      <w:r w:rsidRPr="003B504D">
        <w:rPr>
          <w:rStyle w:val="Emphasis"/>
          <w:highlight w:val="green"/>
        </w:rPr>
        <w:t xml:space="preserve">the Enlightenment is seen as </w:t>
      </w:r>
      <w:r w:rsidRPr="003B504D">
        <w:rPr>
          <w:rStyle w:val="Emphasis"/>
        </w:rPr>
        <w:t xml:space="preserve">the project of establishing objective </w:t>
      </w:r>
      <w:r w:rsidRPr="003B504D">
        <w:rPr>
          <w:rStyle w:val="Emphasis"/>
          <w:highlight w:val="green"/>
        </w:rPr>
        <w:t>foundations for knowledge</w:t>
      </w:r>
      <w:r w:rsidRPr="003B504D">
        <w:rPr>
          <w:rStyle w:val="Emphasis"/>
        </w:rPr>
        <w:t xml:space="preserve"> that was taken up by such thinkers as Descartes, Locke and, later, Kant. </w:t>
      </w:r>
      <w:r w:rsidRPr="003B504D">
        <w:rPr>
          <w:rStyle w:val="Emphasis"/>
          <w:b w:val="0"/>
          <w:bCs/>
          <w:sz w:val="12"/>
          <w:u w:val="none"/>
        </w:rPr>
        <w:t>These Enlightenment scholars sought to establish reason as a methodology that exists abstractly and as the basis for the justification of knowledge</w:t>
      </w:r>
      <w:r w:rsidRPr="003B504D">
        <w:rPr>
          <w:sz w:val="12"/>
        </w:rPr>
        <w:t xml:space="preserve"> (Bernstein, 1983, pp. 115-117). Thus, in the modern era </w:t>
      </w:r>
      <w:r w:rsidRPr="003B504D">
        <w:rPr>
          <w:rStyle w:val="Emphasis"/>
        </w:rPr>
        <w:t>there was a marginalization of the idea that knowledge could be understood as oral, particular, local, and timely</w:t>
      </w:r>
      <w:r w:rsidRPr="003B504D">
        <w:rPr>
          <w:sz w:val="12"/>
        </w:rPr>
        <w:t xml:space="preserve">, in </w:t>
      </w:r>
      <w:proofErr w:type="spellStart"/>
      <w:r w:rsidRPr="003B504D">
        <w:rPr>
          <w:sz w:val="12"/>
        </w:rPr>
        <w:t>favour</w:t>
      </w:r>
      <w:proofErr w:type="spellEnd"/>
      <w:r w:rsidRPr="003B504D">
        <w:rPr>
          <w:sz w:val="12"/>
        </w:rPr>
        <w:t xml:space="preserve"> of an </w:t>
      </w:r>
      <w:r w:rsidRPr="003B504D">
        <w:rPr>
          <w:rStyle w:val="Emphasis"/>
        </w:rPr>
        <w:t>understanding of knowledge as written, abstract, universal and timeless</w:t>
      </w:r>
      <w:r w:rsidRPr="003B504D">
        <w:rPr>
          <w:sz w:val="12"/>
        </w:rPr>
        <w:t xml:space="preserve"> (Toulmin, 1990, p. 34). Daniel Carey and Lynn Festa (2009) argue that </w:t>
      </w:r>
      <w:r w:rsidRPr="003B504D">
        <w:rPr>
          <w:rStyle w:val="Emphasis"/>
        </w:rPr>
        <w:t xml:space="preserve">this sort of rationalist foundationalism at the heart of Enlightenment epistemology simultaneously </w:t>
      </w:r>
      <w:proofErr w:type="spellStart"/>
      <w:r w:rsidRPr="003B504D">
        <w:rPr>
          <w:rStyle w:val="Emphasis"/>
          <w:highlight w:val="green"/>
        </w:rPr>
        <w:t>centres</w:t>
      </w:r>
      <w:proofErr w:type="spellEnd"/>
      <w:r w:rsidRPr="003B504D">
        <w:rPr>
          <w:rStyle w:val="Emphasis"/>
          <w:highlight w:val="green"/>
        </w:rPr>
        <w:t xml:space="preserve"> its own perspective</w:t>
      </w:r>
      <w:r w:rsidRPr="003B504D">
        <w:rPr>
          <w:rStyle w:val="Emphasis"/>
        </w:rPr>
        <w:t xml:space="preserve">, while </w:t>
      </w:r>
      <w:r w:rsidRPr="003B504D">
        <w:rPr>
          <w:rStyle w:val="Emphasis"/>
          <w:highlight w:val="green"/>
        </w:rPr>
        <w:t>positioning</w:t>
      </w:r>
      <w:r w:rsidRPr="003B504D">
        <w:rPr>
          <w:rStyle w:val="Emphasis"/>
        </w:rPr>
        <w:t xml:space="preserve"> any </w:t>
      </w:r>
      <w:r w:rsidRPr="003B504D">
        <w:rPr>
          <w:rStyle w:val="Emphasis"/>
          <w:highlight w:val="green"/>
        </w:rPr>
        <w:t xml:space="preserve">other </w:t>
      </w:r>
      <w:r w:rsidRPr="003B504D">
        <w:rPr>
          <w:rStyle w:val="Emphasis"/>
        </w:rPr>
        <w:t xml:space="preserve">epistemological orientation </w:t>
      </w:r>
      <w:r w:rsidRPr="003B504D">
        <w:rPr>
          <w:rStyle w:val="Emphasis"/>
          <w:highlight w:val="green"/>
        </w:rPr>
        <w:t>as uncivilized</w:t>
      </w:r>
      <w:r w:rsidRPr="003B504D">
        <w:rPr>
          <w:rStyle w:val="Emphasis"/>
        </w:rPr>
        <w:t xml:space="preserve">, irrational, or superstitious </w:t>
      </w:r>
      <w:r w:rsidRPr="003B504D">
        <w:rPr>
          <w:sz w:val="12"/>
        </w:rPr>
        <w:t xml:space="preserve">(p. 8); </w:t>
      </w:r>
      <w:r w:rsidRPr="003B504D">
        <w:rPr>
          <w:rStyle w:val="Emphasis"/>
        </w:rPr>
        <w:t>thus, making a strong connection between modernist epistemology and colonial dominance.</w:t>
      </w:r>
      <w:r w:rsidRPr="003B504D">
        <w:rPr>
          <w:sz w:val="12"/>
        </w:rPr>
        <w:t xml:space="preserve"> </w:t>
      </w:r>
      <w:proofErr w:type="spellStart"/>
      <w:r w:rsidRPr="003B504D">
        <w:rPr>
          <w:sz w:val="12"/>
        </w:rPr>
        <w:t>Mignolo</w:t>
      </w:r>
      <w:proofErr w:type="spellEnd"/>
      <w:r w:rsidRPr="003B504D">
        <w:rPr>
          <w:sz w:val="12"/>
        </w:rPr>
        <w:t xml:space="preserve"> takes this post-modern critique a step further and argues that modernity has a flip side that is relatively ignored in Western based scholarship. He argues that </w:t>
      </w:r>
      <w:r w:rsidRPr="003B504D">
        <w:rPr>
          <w:rStyle w:val="Emphasis"/>
        </w:rPr>
        <w:t>Western European modernity created an image of itself, in the Renaissance and Enlightenment eras, as Western Civilization, and presumed itself as the arrival point of human existence and as the point of reference of global history</w:t>
      </w:r>
      <w:r w:rsidRPr="003B504D">
        <w:rPr>
          <w:sz w:val="12"/>
        </w:rPr>
        <w:t xml:space="preserve"> (</w:t>
      </w:r>
      <w:proofErr w:type="spellStart"/>
      <w:r w:rsidRPr="003B504D">
        <w:rPr>
          <w:sz w:val="12"/>
        </w:rPr>
        <w:t>Mignolo</w:t>
      </w:r>
      <w:proofErr w:type="spellEnd"/>
      <w:r w:rsidRPr="003B504D">
        <w:rPr>
          <w:sz w:val="12"/>
        </w:rPr>
        <w:t xml:space="preserve">, 2011, p. xiv). He argues that </w:t>
      </w:r>
      <w:r w:rsidRPr="003B504D">
        <w:rPr>
          <w:rStyle w:val="Emphasis"/>
        </w:rPr>
        <w:t>through these beliefs a problematic side of modernity materialized in an imperial structure of coloniality</w:t>
      </w:r>
      <w:r w:rsidRPr="003B504D">
        <w:rPr>
          <w:sz w:val="12"/>
        </w:rPr>
        <w:t xml:space="preserve">. He refers to </w:t>
      </w:r>
      <w:r w:rsidRPr="003B504D">
        <w:rPr>
          <w:rStyle w:val="Emphasis"/>
        </w:rPr>
        <w:t>this</w:t>
      </w:r>
      <w:r w:rsidRPr="003B504D">
        <w:rPr>
          <w:sz w:val="12"/>
        </w:rPr>
        <w:t xml:space="preserve"> as the </w:t>
      </w:r>
      <w:r w:rsidRPr="003B504D">
        <w:rPr>
          <w:rStyle w:val="Emphasis"/>
        </w:rPr>
        <w:t>coloniality-modernity relationship</w:t>
      </w:r>
      <w:r w:rsidRPr="003B504D">
        <w:rPr>
          <w:sz w:val="12"/>
        </w:rPr>
        <w:t xml:space="preserve"> which formed together in the mid 15th </w:t>
      </w:r>
      <w:proofErr w:type="gramStart"/>
      <w:r w:rsidRPr="003B504D">
        <w:rPr>
          <w:sz w:val="12"/>
        </w:rPr>
        <w:t>century, and</w:t>
      </w:r>
      <w:proofErr w:type="gramEnd"/>
      <w:r w:rsidRPr="003B504D">
        <w:rPr>
          <w:sz w:val="12"/>
        </w:rPr>
        <w:t xml:space="preserve"> </w:t>
      </w:r>
      <w:r w:rsidRPr="003B504D">
        <w:rPr>
          <w:rStyle w:val="Emphasis"/>
        </w:rPr>
        <w:t>established</w:t>
      </w:r>
      <w:r w:rsidRPr="003B504D">
        <w:rPr>
          <w:sz w:val="12"/>
        </w:rPr>
        <w:t xml:space="preserve"> in space and time </w:t>
      </w:r>
      <w:r w:rsidRPr="003B504D">
        <w:rPr>
          <w:rStyle w:val="Emphasis"/>
        </w:rPr>
        <w:t>a perpetuating structure of racism and patriarchy</w:t>
      </w:r>
      <w:r w:rsidRPr="003B504D">
        <w:rPr>
          <w:sz w:val="12"/>
        </w:rPr>
        <w:t>, “</w:t>
      </w:r>
      <w:r w:rsidRPr="003B504D">
        <w:rPr>
          <w:rStyle w:val="Emphasis"/>
        </w:rPr>
        <w:t>t</w:t>
      </w:r>
      <w:r w:rsidRPr="003B504D">
        <w:rPr>
          <w:rStyle w:val="Emphasis"/>
          <w:highlight w:val="green"/>
        </w:rPr>
        <w:t xml:space="preserve">hat created </w:t>
      </w:r>
      <w:r w:rsidRPr="003B504D">
        <w:rPr>
          <w:rStyle w:val="Emphasis"/>
        </w:rPr>
        <w:t xml:space="preserve">the </w:t>
      </w:r>
      <w:r w:rsidRPr="003B504D">
        <w:rPr>
          <w:rStyle w:val="Emphasis"/>
          <w:highlight w:val="green"/>
        </w:rPr>
        <w:t xml:space="preserve">conditions to build and control </w:t>
      </w:r>
      <w:r w:rsidRPr="003B504D">
        <w:rPr>
          <w:rStyle w:val="Emphasis"/>
        </w:rPr>
        <w:t>a structure of</w:t>
      </w:r>
      <w:r w:rsidRPr="003B504D">
        <w:rPr>
          <w:rStyle w:val="Emphasis"/>
          <w:highlight w:val="green"/>
        </w:rPr>
        <w:t xml:space="preserve"> knowledge</w:t>
      </w:r>
      <w:r w:rsidRPr="003B504D">
        <w:rPr>
          <w:rStyle w:val="Emphasis"/>
        </w:rPr>
        <w:t>, either grounded on the word of God or the word of Reason and Truth</w:t>
      </w:r>
      <w:r w:rsidRPr="003B504D">
        <w:rPr>
          <w:sz w:val="12"/>
        </w:rPr>
        <w:t>” (</w:t>
      </w:r>
      <w:proofErr w:type="spellStart"/>
      <w:r w:rsidRPr="003B504D">
        <w:rPr>
          <w:sz w:val="12"/>
        </w:rPr>
        <w:t>Mignolo</w:t>
      </w:r>
      <w:proofErr w:type="spellEnd"/>
      <w:r w:rsidRPr="003B504D">
        <w:rPr>
          <w:sz w:val="12"/>
        </w:rPr>
        <w:t xml:space="preserve">, 2011, p. xv; see also, Deloria, 1973, pp. 275-281 for a more detailed discussion of European colonial imperialism intersecting with Christianity). Ramon </w:t>
      </w:r>
      <w:proofErr w:type="spellStart"/>
      <w:r w:rsidRPr="003B504D">
        <w:rPr>
          <w:sz w:val="12"/>
        </w:rPr>
        <w:t>Grosfoguel</w:t>
      </w:r>
      <w:proofErr w:type="spellEnd"/>
      <w:r w:rsidRPr="003B504D">
        <w:rPr>
          <w:sz w:val="12"/>
        </w:rPr>
        <w:t xml:space="preserve"> captures the idea of coloniality in an illuminating way when he states that what arrived in sovereign, non-European territories was not just a selection of representatives of a colonizing nation, nor just an economic system of </w:t>
      </w:r>
      <w:proofErr w:type="spellStart"/>
      <w:r w:rsidRPr="003B504D">
        <w:rPr>
          <w:sz w:val="12"/>
        </w:rPr>
        <w:t>labour</w:t>
      </w:r>
      <w:proofErr w:type="spellEnd"/>
      <w:r w:rsidRPr="003B504D">
        <w:rPr>
          <w:sz w:val="12"/>
        </w:rPr>
        <w:t xml:space="preserve"> and capital; </w:t>
      </w:r>
      <w:r w:rsidRPr="003B504D">
        <w:rPr>
          <w:rStyle w:val="Emphasis"/>
          <w:highlight w:val="green"/>
        </w:rPr>
        <w:t>what arrived was a complex world system embodied in</w:t>
      </w:r>
      <w:r w:rsidRPr="003B504D">
        <w:rPr>
          <w:rStyle w:val="Emphasis"/>
        </w:rPr>
        <w:t xml:space="preserve"> the “</w:t>
      </w:r>
      <w:r w:rsidRPr="003B504D">
        <w:rPr>
          <w:rStyle w:val="Emphasis"/>
          <w:highlight w:val="green"/>
        </w:rPr>
        <w:t>European</w:t>
      </w:r>
      <w:r w:rsidRPr="003B504D">
        <w:rPr>
          <w:rStyle w:val="Emphasis"/>
        </w:rPr>
        <w:t xml:space="preserve">, capitalist, military, Christian, </w:t>
      </w:r>
      <w:r w:rsidRPr="003B504D">
        <w:rPr>
          <w:rStyle w:val="Emphasis"/>
          <w:highlight w:val="green"/>
        </w:rPr>
        <w:t>patriarchal, white, heterosexual, male,” who “established</w:t>
      </w:r>
      <w:r w:rsidRPr="003B504D">
        <w:rPr>
          <w:rStyle w:val="Emphasis"/>
        </w:rPr>
        <w:t xml:space="preserve"> in time and space several entangled </w:t>
      </w:r>
      <w:r w:rsidRPr="003B504D">
        <w:rPr>
          <w:rStyle w:val="Emphasis"/>
          <w:highlight w:val="green"/>
        </w:rPr>
        <w:t>global hierarchies”</w:t>
      </w:r>
      <w:r w:rsidRPr="003B504D">
        <w:rPr>
          <w:rStyle w:val="Emphasis"/>
        </w:rPr>
        <w:t xml:space="preserve"> </w:t>
      </w:r>
      <w:r w:rsidRPr="003B504D">
        <w:rPr>
          <w:sz w:val="12"/>
        </w:rPr>
        <w:t>(</w:t>
      </w:r>
      <w:proofErr w:type="spellStart"/>
      <w:r w:rsidRPr="003B504D">
        <w:rPr>
          <w:sz w:val="12"/>
        </w:rPr>
        <w:t>Grosfoguel</w:t>
      </w:r>
      <w:proofErr w:type="spellEnd"/>
      <w:r w:rsidRPr="003B504D">
        <w:rPr>
          <w:sz w:val="12"/>
        </w:rPr>
        <w:t xml:space="preserve">, 2008, p. 5). Understood in this way, </w:t>
      </w:r>
      <w:r w:rsidRPr="003B504D">
        <w:rPr>
          <w:rStyle w:val="Emphasis"/>
          <w:b w:val="0"/>
          <w:bCs/>
          <w:sz w:val="12"/>
          <w:u w:val="none"/>
        </w:rPr>
        <w:t xml:space="preserve">coloniality is a perpetuating </w:t>
      </w:r>
      <w:proofErr w:type="spellStart"/>
      <w:r w:rsidRPr="003B504D">
        <w:rPr>
          <w:rStyle w:val="Emphasis"/>
          <w:b w:val="0"/>
          <w:bCs/>
          <w:sz w:val="12"/>
          <w:u w:val="none"/>
        </w:rPr>
        <w:t>spatio</w:t>
      </w:r>
      <w:proofErr w:type="spellEnd"/>
      <w:r w:rsidRPr="003B504D">
        <w:rPr>
          <w:rStyle w:val="Emphasis"/>
          <w:b w:val="0"/>
          <w:bCs/>
          <w:sz w:val="12"/>
          <w:u w:val="none"/>
        </w:rPr>
        <w:t>-temporal structure that imposes intersecting global hierarchies in terms of race, class, gender, sexuality, spirituality, economic system, and geography, that organizes bodies into complex hierarchal social organizations</w:t>
      </w:r>
      <w:r w:rsidRPr="003B504D">
        <w:rPr>
          <w:rStyle w:val="Emphasis"/>
        </w:rPr>
        <w:t>.</w:t>
      </w:r>
      <w:r w:rsidRPr="003B504D">
        <w:rPr>
          <w:sz w:val="12"/>
        </w:rPr>
        <w:t xml:space="preserve"> It is a system of inequity and privilege that moves through time, claims geographic spaces, and is </w:t>
      </w:r>
      <w:r w:rsidRPr="003B504D">
        <w:rPr>
          <w:rStyle w:val="Emphasis"/>
          <w:b w:val="0"/>
          <w:bCs/>
          <w:sz w:val="12"/>
          <w:u w:val="none"/>
        </w:rPr>
        <w:t xml:space="preserve">perpetuated through material and discursive epistemic practices in social and institutional spaces. </w:t>
      </w:r>
      <w:r w:rsidRPr="003B504D">
        <w:rPr>
          <w:sz w:val="12"/>
        </w:rPr>
        <w:t xml:space="preserve">As </w:t>
      </w:r>
      <w:proofErr w:type="spellStart"/>
      <w:r w:rsidRPr="003B504D">
        <w:rPr>
          <w:sz w:val="12"/>
        </w:rPr>
        <w:t>Grosfoguel</w:t>
      </w:r>
      <w:proofErr w:type="spellEnd"/>
      <w:r w:rsidRPr="003B504D">
        <w:rPr>
          <w:sz w:val="12"/>
        </w:rPr>
        <w:t xml:space="preserve"> (2008) argues: “</w:t>
      </w:r>
      <w:r w:rsidRPr="003B504D">
        <w:rPr>
          <w:rStyle w:val="Emphasis"/>
          <w:b w:val="0"/>
          <w:bCs/>
          <w:sz w:val="12"/>
          <w:u w:val="none"/>
        </w:rPr>
        <w:t>Coloniality allows us to understand the continuity of colonial forms of domination after the end of colonial administrations, produced by colonial cultures and structures in the modern/colonial capitalist world−system</w:t>
      </w:r>
      <w:r w:rsidRPr="003B504D">
        <w:rPr>
          <w:sz w:val="12"/>
        </w:rPr>
        <w:t xml:space="preserve">” (p. 8). Western epistemic dominance </w:t>
      </w:r>
      <w:proofErr w:type="spellStart"/>
      <w:r w:rsidRPr="003B504D">
        <w:rPr>
          <w:sz w:val="12"/>
        </w:rPr>
        <w:t>Anabal</w:t>
      </w:r>
      <w:proofErr w:type="spellEnd"/>
      <w:r w:rsidRPr="003B504D">
        <w:rPr>
          <w:sz w:val="12"/>
        </w:rPr>
        <w:t xml:space="preserve"> Quijano further extends the concept of coloniality and the global hierarchies to theorize a colonial power matrix organized around the socially constructed notion of race. Quijano argues that race is the key element of the social classification of colonized and colonizers. Unlike previous instances of colonization, “the superiority of the dominant under European colonialism became related to biological superiority, pro</w:t>
      </w:r>
      <w:r w:rsidRPr="003B504D">
        <w:rPr>
          <w:rStyle w:val="Emphasis"/>
          <w:b w:val="0"/>
          <w:bCs/>
          <w:sz w:val="12"/>
          <w:u w:val="none"/>
        </w:rPr>
        <w:t>ducing new social identities using physiognomic traits as external manifestations of their 'racial nature'</w:t>
      </w:r>
      <w:r w:rsidRPr="003B504D">
        <w:rPr>
          <w:sz w:val="12"/>
        </w:rPr>
        <w:t xml:space="preserve">” (Quijano, 2007, p. 171). Quijano goes on to argue that the produced </w:t>
      </w:r>
      <w:proofErr w:type="spellStart"/>
      <w:r w:rsidRPr="003B504D">
        <w:rPr>
          <w:sz w:val="12"/>
        </w:rPr>
        <w:t>geocultural</w:t>
      </w:r>
      <w:proofErr w:type="spellEnd"/>
      <w:r w:rsidRPr="003B504D">
        <w:rPr>
          <w:sz w:val="12"/>
        </w:rPr>
        <w:t xml:space="preserve"> identities form the basis of distribution of work around the globe: The system of “salaried, independent peasants, independent merchants, and slave and serfs, was organized basically following the same ‘racial’ lines of global-social classification” and organized under a euro-</w:t>
      </w:r>
      <w:proofErr w:type="spellStart"/>
      <w:r w:rsidRPr="003B504D">
        <w:rPr>
          <w:sz w:val="12"/>
        </w:rPr>
        <w:t>centred</w:t>
      </w:r>
      <w:proofErr w:type="spellEnd"/>
      <w:r w:rsidRPr="003B504D">
        <w:rPr>
          <w:sz w:val="12"/>
        </w:rPr>
        <w:t xml:space="preserve"> world power (p. 171). </w:t>
      </w:r>
      <w:r w:rsidRPr="003B504D">
        <w:rPr>
          <w:rStyle w:val="Emphasis"/>
          <w:b w:val="0"/>
          <w:bCs/>
          <w:sz w:val="12"/>
          <w:u w:val="none"/>
        </w:rPr>
        <w:t>Thus, colonialism produced an economic power structure that effectively classified the world's peoples into a hierarchy of superior normalized bodies and inferior racialized bodies that was used as justification for the both the benevolent and violent domination of non-white bodies by white Western European bodies</w:t>
      </w:r>
      <w:r w:rsidRPr="003B504D">
        <w:rPr>
          <w:sz w:val="12"/>
        </w:rPr>
        <w:t xml:space="preserve">. Quijano’s ideas on race are an important element in coloniality theorizing and are significantly engaged in settler colonialism scholarship. Settler colonialism scholarship similarly positions colonialism as a structural phenomenon – rather than a historical event (Wolfe, 2006, p. 388) – but also engages a more detailed consideration of the notion of race. Patrick Wolfe (2006) points out that racialization is not all of one </w:t>
      </w:r>
      <w:proofErr w:type="gramStart"/>
      <w:r w:rsidRPr="003B504D">
        <w:rPr>
          <w:sz w:val="12"/>
        </w:rPr>
        <w:t>kind, but</w:t>
      </w:r>
      <w:proofErr w:type="gramEnd"/>
      <w:r w:rsidRPr="003B504D">
        <w:rPr>
          <w:sz w:val="12"/>
        </w:rPr>
        <w:t xml:space="preserve"> relates to colonial desires that manifest in specific ways. Wolfe contrasts the antithetical racialization of Indigenous and African descendants in the United States, where legal frameworks supported the elimination of Indigenous peoples while simultaneously expanding African descendant groups, so as to ensure access to Indigenous peoples’ land simultaneously with access to African descendant peoples’ </w:t>
      </w:r>
      <w:proofErr w:type="spellStart"/>
      <w:r w:rsidRPr="003B504D">
        <w:rPr>
          <w:sz w:val="12"/>
        </w:rPr>
        <w:t>labour</w:t>
      </w:r>
      <w:proofErr w:type="spellEnd"/>
      <w:r w:rsidRPr="003B504D">
        <w:rPr>
          <w:sz w:val="12"/>
        </w:rPr>
        <w:t xml:space="preserve"> (p. 387). Lorenzo Veracini (2010) makes a related analytic distinction by considering positionalities within colonial dynamics in terms of Indigenous, Settler and Exogenous Other – noting the distinctions between those who migrate to Indigenous </w:t>
      </w:r>
      <w:proofErr w:type="gramStart"/>
      <w:r w:rsidRPr="003B504D">
        <w:rPr>
          <w:sz w:val="12"/>
        </w:rPr>
        <w:t>territory, but</w:t>
      </w:r>
      <w:proofErr w:type="gramEnd"/>
      <w:r w:rsidRPr="003B504D">
        <w:rPr>
          <w:sz w:val="12"/>
        </w:rPr>
        <w:t xml:space="preserve"> do or do not manifest a colonial sovereign capacity in relation to being racialized (p. 3). The focus on race in these discussions </w:t>
      </w:r>
      <w:proofErr w:type="spellStart"/>
      <w:r w:rsidRPr="003B504D">
        <w:rPr>
          <w:sz w:val="12"/>
        </w:rPr>
        <w:t>centres</w:t>
      </w:r>
      <w:proofErr w:type="spellEnd"/>
      <w:r w:rsidRPr="003B504D">
        <w:rPr>
          <w:sz w:val="12"/>
        </w:rPr>
        <w:t xml:space="preserve">, instead of elides, the distinctive experiences and perspectives of peoples coming to Indigenous territories to settle. This also complicates the identity of “settler”, and views those peoples migrating to Indigenous territories not as a singular monolith, but as peoples with complex diasporic and </w:t>
      </w:r>
      <w:proofErr w:type="spellStart"/>
      <w:r w:rsidRPr="003B504D">
        <w:rPr>
          <w:sz w:val="12"/>
        </w:rPr>
        <w:t>migrational</w:t>
      </w:r>
      <w:proofErr w:type="spellEnd"/>
      <w:r w:rsidRPr="003B504D">
        <w:rPr>
          <w:sz w:val="12"/>
        </w:rPr>
        <w:t xml:space="preserve"> histories that position them differently within colonial encounters related to privilege, power and racialization processes. Important to the coloniality paradigm, and the central point of this article, is </w:t>
      </w:r>
      <w:r w:rsidRPr="003B504D">
        <w:rPr>
          <w:rStyle w:val="Emphasis"/>
          <w:b w:val="0"/>
          <w:bCs/>
          <w:sz w:val="12"/>
          <w:u w:val="none"/>
        </w:rPr>
        <w:t xml:space="preserve">the notion that intersecting hierarchies and processes of racialization are supported by modernist epistemology and the </w:t>
      </w:r>
      <w:proofErr w:type="spellStart"/>
      <w:r w:rsidRPr="003B504D">
        <w:rPr>
          <w:rStyle w:val="Emphasis"/>
          <w:b w:val="0"/>
          <w:bCs/>
          <w:sz w:val="12"/>
          <w:u w:val="none"/>
        </w:rPr>
        <w:t>centring</w:t>
      </w:r>
      <w:proofErr w:type="spellEnd"/>
      <w:r w:rsidRPr="003B504D">
        <w:rPr>
          <w:rStyle w:val="Emphasis"/>
          <w:b w:val="0"/>
          <w:bCs/>
          <w:sz w:val="12"/>
          <w:u w:val="none"/>
        </w:rPr>
        <w:t xml:space="preserve"> of Western epistemic perspectives</w:t>
      </w:r>
      <w:r w:rsidRPr="003B504D">
        <w:rPr>
          <w:rStyle w:val="Emphasis"/>
        </w:rPr>
        <w:t xml:space="preserve">. </w:t>
      </w:r>
      <w:proofErr w:type="spellStart"/>
      <w:r w:rsidRPr="003B504D">
        <w:rPr>
          <w:sz w:val="12"/>
        </w:rPr>
        <w:t>Mignolo</w:t>
      </w:r>
      <w:proofErr w:type="spellEnd"/>
      <w:r w:rsidRPr="003B504D">
        <w:rPr>
          <w:sz w:val="12"/>
        </w:rPr>
        <w:t xml:space="preserve"> identifies </w:t>
      </w:r>
      <w:r w:rsidRPr="003B504D">
        <w:rPr>
          <w:rStyle w:val="Emphasis"/>
        </w:rPr>
        <w:t xml:space="preserve">the key to maintaining the invisibility of this structure of domination and oppression is the hubris of the zero point. </w:t>
      </w:r>
      <w:proofErr w:type="spellStart"/>
      <w:r w:rsidRPr="003B504D">
        <w:rPr>
          <w:rStyle w:val="Emphasis"/>
          <w:b w:val="0"/>
          <w:bCs/>
          <w:sz w:val="12"/>
          <w:u w:val="none"/>
        </w:rPr>
        <w:t>Mignolo</w:t>
      </w:r>
      <w:proofErr w:type="spellEnd"/>
      <w:r w:rsidRPr="003B504D">
        <w:rPr>
          <w:rStyle w:val="Emphasis"/>
          <w:b w:val="0"/>
          <w:bCs/>
          <w:sz w:val="12"/>
          <w:u w:val="none"/>
        </w:rPr>
        <w:t xml:space="preserve"> argues that</w:t>
      </w:r>
      <w:r w:rsidRPr="003B504D">
        <w:rPr>
          <w:sz w:val="12"/>
        </w:rPr>
        <w:t xml:space="preserve"> </w:t>
      </w:r>
      <w:r w:rsidRPr="003B504D">
        <w:rPr>
          <w:rStyle w:val="Emphasis"/>
          <w:highlight w:val="green"/>
        </w:rPr>
        <w:t>the zero point</w:t>
      </w:r>
      <w:r w:rsidRPr="003B504D">
        <w:rPr>
          <w:rStyle w:val="Emphasis"/>
        </w:rPr>
        <w:t xml:space="preserve"> is the epistemological location that </w:t>
      </w:r>
      <w:r w:rsidRPr="003B504D">
        <w:rPr>
          <w:rStyle w:val="Emphasis"/>
          <w:highlight w:val="green"/>
        </w:rPr>
        <w:t>places a privileged</w:t>
      </w:r>
      <w:r w:rsidRPr="003B504D">
        <w:rPr>
          <w:rStyle w:val="Emphasis"/>
        </w:rPr>
        <w:t xml:space="preserve"> knowing </w:t>
      </w:r>
      <w:r w:rsidRPr="003B504D">
        <w:rPr>
          <w:rStyle w:val="Emphasis"/>
          <w:highlight w:val="green"/>
        </w:rPr>
        <w:t>body as occupying a</w:t>
      </w:r>
      <w:r w:rsidRPr="003B504D">
        <w:rPr>
          <w:rStyle w:val="Emphasis"/>
        </w:rPr>
        <w:t xml:space="preserve"> detached and </w:t>
      </w:r>
      <w:r w:rsidRPr="003B504D">
        <w:rPr>
          <w:rStyle w:val="Emphasis"/>
          <w:highlight w:val="green"/>
        </w:rPr>
        <w:t>neutral point of observation</w:t>
      </w:r>
      <w:r w:rsidRPr="003B504D">
        <w:rPr>
          <w:sz w:val="12"/>
        </w:rPr>
        <w:t xml:space="preserve">, </w:t>
      </w:r>
      <w:r w:rsidRPr="003B504D">
        <w:rPr>
          <w:rStyle w:val="Emphasis"/>
          <w:highlight w:val="green"/>
        </w:rPr>
        <w:t>and from this</w:t>
      </w:r>
      <w:r w:rsidRPr="003B504D">
        <w:rPr>
          <w:rStyle w:val="Emphasis"/>
        </w:rPr>
        <w:t xml:space="preserve"> neutral </w:t>
      </w:r>
      <w:r w:rsidRPr="003B504D">
        <w:rPr>
          <w:rStyle w:val="Emphasis"/>
          <w:highlight w:val="green"/>
        </w:rPr>
        <w:t xml:space="preserve">place </w:t>
      </w:r>
      <w:r w:rsidRPr="003B504D">
        <w:rPr>
          <w:rStyle w:val="Emphasis"/>
        </w:rPr>
        <w:t xml:space="preserve">“maps the world and its problems, </w:t>
      </w:r>
      <w:r w:rsidRPr="003B504D">
        <w:rPr>
          <w:rStyle w:val="Emphasis"/>
          <w:highlight w:val="green"/>
        </w:rPr>
        <w:t>classifies people, and projects what is good for them</w:t>
      </w:r>
      <w:r w:rsidRPr="003B504D">
        <w:rPr>
          <w:sz w:val="12"/>
        </w:rPr>
        <w:t>” (</w:t>
      </w:r>
      <w:proofErr w:type="spellStart"/>
      <w:r w:rsidRPr="003B504D">
        <w:rPr>
          <w:sz w:val="12"/>
        </w:rPr>
        <w:t>Mignolo</w:t>
      </w:r>
      <w:proofErr w:type="spellEnd"/>
      <w:r w:rsidRPr="003B504D">
        <w:rPr>
          <w:sz w:val="12"/>
        </w:rPr>
        <w:t xml:space="preserve">, 2011, p. 118). </w:t>
      </w:r>
      <w:proofErr w:type="spellStart"/>
      <w:r w:rsidRPr="003B504D">
        <w:rPr>
          <w:sz w:val="12"/>
        </w:rPr>
        <w:t>Grosfoguel</w:t>
      </w:r>
      <w:proofErr w:type="spellEnd"/>
      <w:r w:rsidRPr="003B504D">
        <w:rPr>
          <w:sz w:val="12"/>
        </w:rPr>
        <w:t xml:space="preserve"> adds to these thoughts through noting that a particular </w:t>
      </w:r>
      <w:r w:rsidRPr="003B504D">
        <w:rPr>
          <w:rStyle w:val="Emphasis"/>
        </w:rPr>
        <w:t>Western modernist view of knowledge is able to dominate by masquerading as universal knowledge and present itself as the god-like view of truth – “It’s a point of view that conceals itself as being beyond a point of view”</w:t>
      </w:r>
      <w:r w:rsidRPr="003B504D">
        <w:rPr>
          <w:sz w:val="12"/>
        </w:rPr>
        <w:t xml:space="preserve"> (</w:t>
      </w:r>
      <w:proofErr w:type="spellStart"/>
      <w:r w:rsidRPr="003B504D">
        <w:rPr>
          <w:sz w:val="12"/>
        </w:rPr>
        <w:t>Grosfoguel</w:t>
      </w:r>
      <w:proofErr w:type="spellEnd"/>
      <w:r w:rsidRPr="003B504D">
        <w:rPr>
          <w:sz w:val="12"/>
        </w:rPr>
        <w:t xml:space="preserve">, 2007, p. 214). As Quijano argues, </w:t>
      </w:r>
      <w:r w:rsidRPr="003B504D">
        <w:rPr>
          <w:rStyle w:val="Emphasis"/>
        </w:rPr>
        <w:t xml:space="preserve">the European paradigm of rational knowledge not only grew in the context of </w:t>
      </w:r>
      <w:proofErr w:type="gramStart"/>
      <w:r w:rsidRPr="003B504D">
        <w:rPr>
          <w:rStyle w:val="Emphasis"/>
        </w:rPr>
        <w:t>colonialism, but</w:t>
      </w:r>
      <w:proofErr w:type="gramEnd"/>
      <w:r w:rsidRPr="003B504D">
        <w:rPr>
          <w:rStyle w:val="Emphasis"/>
        </w:rPr>
        <w:t xml:space="preserve"> was also a foundational part of the power structure of domination</w:t>
      </w:r>
      <w:r w:rsidRPr="003B504D">
        <w:rPr>
          <w:sz w:val="12"/>
        </w:rPr>
        <w:t xml:space="preserve"> (Quijano, 2007, p. 174). Thinking again to my experience in the Garden, it becomes obvious how pervasive and sometimes subtle these epistemic dynamics become when intersecting with a privileged settler body. In the Garden, despite my decolonial aspirations, I still imposed a culturally laden view of gardens, a view that I had been raised in Western society to perceive not only as universal, but also culturally neutral or ‘natural’. Reflecting on my Eurocentric encounter with this </w:t>
      </w:r>
      <w:proofErr w:type="spellStart"/>
      <w:r w:rsidRPr="003B504D">
        <w:rPr>
          <w:sz w:val="12"/>
        </w:rPr>
        <w:t>Mayanbased</w:t>
      </w:r>
      <w:proofErr w:type="spellEnd"/>
      <w:r w:rsidRPr="003B504D">
        <w:rPr>
          <w:sz w:val="12"/>
        </w:rPr>
        <w:t xml:space="preserve"> garden, I realized the depth of my assumptions and commitments that came from being raised and educated in a Western modernist society, and my tacit expectation that my ideas are universally understood and will be reflected back to me in my encounters – despite my claims to the contrary. I also witnessed my incredible readiness to impose my ideas on others (the human and non-human others) from a very secure and problematic set of assumptions. My settler body has become used to engaging in knowledge that manifests European epistemic assumptions and commitments – I am immersed in this. My lifelong participation in Western social life, where my cultural assumptions are continually privileged and reflected back to me as neutral and universal, frames the challenges of engaging in these conversations and the power structure of the context. As Dei points out: </w:t>
      </w:r>
      <w:r w:rsidRPr="003B504D">
        <w:rPr>
          <w:rStyle w:val="Emphasis"/>
        </w:rPr>
        <w:t>“</w:t>
      </w:r>
      <w:r w:rsidRPr="003B504D">
        <w:rPr>
          <w:rStyle w:val="Emphasis"/>
          <w:highlight w:val="green"/>
        </w:rPr>
        <w:t>knowledge production is not</w:t>
      </w:r>
      <w:r w:rsidRPr="003B504D">
        <w:rPr>
          <w:rStyle w:val="Emphasis"/>
        </w:rPr>
        <w:t xml:space="preserve"> an </w:t>
      </w:r>
      <w:r w:rsidRPr="003B504D">
        <w:rPr>
          <w:rStyle w:val="Emphasis"/>
          <w:highlight w:val="green"/>
        </w:rPr>
        <w:t>innocent</w:t>
      </w:r>
      <w:r w:rsidRPr="003B504D">
        <w:rPr>
          <w:rStyle w:val="Emphasis"/>
        </w:rPr>
        <w:t xml:space="preserve"> or neutral project”</w:t>
      </w:r>
    </w:p>
    <w:p w14:paraId="12F4003B" w14:textId="77777777" w:rsidR="00CD3F57" w:rsidRPr="00AC2C52" w:rsidRDefault="00CD3F57" w:rsidP="00CD3F57">
      <w:pPr>
        <w:rPr>
          <w:rStyle w:val="Emphasis"/>
        </w:rPr>
      </w:pPr>
    </w:p>
    <w:p w14:paraId="35B998FF" w14:textId="77777777" w:rsidR="00CD3F57" w:rsidRDefault="00CD3F57" w:rsidP="00CD3F57">
      <w:pPr>
        <w:pStyle w:val="Heading4"/>
        <w:tabs>
          <w:tab w:val="left" w:pos="5560"/>
        </w:tabs>
      </w:pPr>
      <w:r>
        <w:t>The alternative is one of decolonization-an ethic of incommensurability leads to infinite native futures</w:t>
      </w:r>
    </w:p>
    <w:p w14:paraId="2C2F4601" w14:textId="77777777" w:rsidR="00CD3F57" w:rsidRPr="00BF7844" w:rsidRDefault="00CD3F57" w:rsidP="00CD3F57">
      <w:pPr>
        <w:rPr>
          <w:color w:val="000000" w:themeColor="text1"/>
        </w:rPr>
      </w:pPr>
      <w:r w:rsidRPr="00312C2B">
        <w:rPr>
          <w:rStyle w:val="Style13ptBold"/>
          <w:color w:val="000000" w:themeColor="text1"/>
        </w:rPr>
        <w:t xml:space="preserve">Tuck and Yang </w:t>
      </w:r>
      <w:r>
        <w:rPr>
          <w:rStyle w:val="Style13ptBold"/>
          <w:color w:val="000000" w:themeColor="text1"/>
        </w:rPr>
        <w:t>1</w:t>
      </w:r>
      <w:r w:rsidRPr="00312C2B">
        <w:rPr>
          <w:rStyle w:val="Style13ptBold"/>
          <w:color w:val="000000" w:themeColor="text1"/>
        </w:rPr>
        <w:t>2</w:t>
      </w:r>
      <w:r w:rsidRPr="00312C2B">
        <w:rPr>
          <w:color w:val="000000" w:themeColor="text1"/>
        </w:rPr>
        <w:t xml:space="preserve"> </w:t>
      </w:r>
      <w:r w:rsidRPr="00312C2B">
        <w:rPr>
          <w:color w:val="000000" w:themeColor="text1"/>
          <w:sz w:val="16"/>
          <w:szCs w:val="18"/>
        </w:rPr>
        <w:t>Eve Tuck and K. Wayne Yang, 2012, “Decolonization is not a metaphor,” Decolonization: Indigeneity, Education &amp; Society, // SJ DL</w:t>
      </w:r>
    </w:p>
    <w:p w14:paraId="2C9D6643" w14:textId="77777777" w:rsidR="00CD3F57" w:rsidRPr="00C35B75" w:rsidRDefault="00CD3F57" w:rsidP="00CD3F57">
      <w:pPr>
        <w:rPr>
          <w:rStyle w:val="Emphasis"/>
        </w:rPr>
      </w:pPr>
      <w:r w:rsidRPr="00C35B75">
        <w:rPr>
          <w:rStyle w:val="Emphasis"/>
          <w:highlight w:val="green"/>
        </w:rPr>
        <w:t>An ethic of incommensurability</w:t>
      </w:r>
      <w:r w:rsidRPr="00BF7844">
        <w:rPr>
          <w:sz w:val="16"/>
        </w:rPr>
        <w:t>, which guides moves that unsettle innocence</w:t>
      </w:r>
      <w:r w:rsidRPr="00C35B75">
        <w:rPr>
          <w:rStyle w:val="Emphasis"/>
        </w:rPr>
        <w:t xml:space="preserve">, </w:t>
      </w:r>
      <w:r w:rsidRPr="00C35B75">
        <w:rPr>
          <w:rStyle w:val="Emphasis"/>
          <w:highlight w:val="green"/>
        </w:rPr>
        <w:t>stands in contrast to</w:t>
      </w:r>
      <w:r w:rsidRPr="00C35B75">
        <w:rPr>
          <w:rStyle w:val="Emphasis"/>
        </w:rPr>
        <w:t xml:space="preserve"> aims of </w:t>
      </w:r>
      <w:r w:rsidRPr="00C35B75">
        <w:rPr>
          <w:rStyle w:val="Emphasis"/>
          <w:highlight w:val="green"/>
        </w:rPr>
        <w:t>reconciliation</w:t>
      </w:r>
      <w:r w:rsidRPr="00BF7844">
        <w:rPr>
          <w:sz w:val="16"/>
        </w:rPr>
        <w:t>, which motivate settler moves to innocence. Reconciliation is about rescuing settler normalcy, about rescuing a settler future</w:t>
      </w:r>
      <w:r w:rsidRPr="00C35B75">
        <w:rPr>
          <w:rStyle w:val="Emphasis"/>
        </w:rPr>
        <w:t xml:space="preserve">. </w:t>
      </w:r>
      <w:r w:rsidRPr="00C35B75">
        <w:rPr>
          <w:rStyle w:val="Emphasis"/>
          <w:highlight w:val="green"/>
        </w:rPr>
        <w:t xml:space="preserve">Reconciliation is concerned with </w:t>
      </w:r>
      <w:r w:rsidRPr="00C35B75">
        <w:rPr>
          <w:rStyle w:val="Emphasis"/>
        </w:rPr>
        <w:t xml:space="preserve">questions of what will decolonization look like? </w:t>
      </w:r>
      <w:r w:rsidRPr="00C35B75">
        <w:rPr>
          <w:rStyle w:val="Emphasis"/>
          <w:highlight w:val="green"/>
        </w:rPr>
        <w:t>What will happen after</w:t>
      </w:r>
      <w:r w:rsidRPr="00C35B75">
        <w:rPr>
          <w:rStyle w:val="Emphasis"/>
        </w:rPr>
        <w:t xml:space="preserve"> abolition? </w:t>
      </w:r>
      <w:r w:rsidRPr="00C35B75">
        <w:rPr>
          <w:rStyle w:val="Emphasis"/>
          <w:highlight w:val="green"/>
        </w:rPr>
        <w:t>What will be the consequences</w:t>
      </w:r>
      <w:r w:rsidRPr="00C35B75">
        <w:rPr>
          <w:rStyle w:val="Emphasis"/>
        </w:rPr>
        <w:t xml:space="preserve"> of decolonization for the settler?</w:t>
      </w:r>
      <w:r w:rsidRPr="00BF7844">
        <w:rPr>
          <w:sz w:val="16"/>
        </w:rPr>
        <w:t xml:space="preserve"> </w:t>
      </w:r>
      <w:r w:rsidRPr="00C35B75">
        <w:rPr>
          <w:rStyle w:val="Emphasis"/>
        </w:rPr>
        <w:t xml:space="preserve">Incommensurability acknowledges that </w:t>
      </w:r>
      <w:r w:rsidRPr="00C35B75">
        <w:rPr>
          <w:rStyle w:val="Emphasis"/>
          <w:highlight w:val="green"/>
        </w:rPr>
        <w:t>these questions</w:t>
      </w:r>
      <w:r w:rsidRPr="00C35B75">
        <w:rPr>
          <w:rStyle w:val="Emphasis"/>
        </w:rPr>
        <w:t xml:space="preserve"> need not, and perhaps </w:t>
      </w:r>
      <w:r w:rsidRPr="00C35B75">
        <w:rPr>
          <w:rStyle w:val="Emphasis"/>
          <w:highlight w:val="green"/>
        </w:rPr>
        <w:t>cannot, be answered in order for decolonization to exist</w:t>
      </w:r>
      <w:r w:rsidRPr="00C35B75">
        <w:rPr>
          <w:rStyle w:val="Emphasis"/>
        </w:rPr>
        <w:t xml:space="preserve"> as a framework</w:t>
      </w:r>
      <w:r w:rsidRPr="00BF7844">
        <w:rPr>
          <w:sz w:val="16"/>
        </w:rPr>
        <w:t xml:space="preserve">. We want to say, first, that </w:t>
      </w:r>
      <w:r w:rsidRPr="00C35B75">
        <w:rPr>
          <w:rStyle w:val="Emphasis"/>
          <w:highlight w:val="green"/>
        </w:rPr>
        <w:t>decol</w:t>
      </w:r>
      <w:r w:rsidRPr="00C35B75">
        <w:rPr>
          <w:rStyle w:val="Emphasis"/>
        </w:rPr>
        <w:t>onization</w:t>
      </w:r>
      <w:r w:rsidRPr="00C35B75">
        <w:rPr>
          <w:rStyle w:val="Emphasis"/>
          <w:highlight w:val="green"/>
        </w:rPr>
        <w:t xml:space="preserve"> is not obliged to answer</w:t>
      </w:r>
      <w:r w:rsidRPr="00C35B75">
        <w:rPr>
          <w:rStyle w:val="Emphasis"/>
        </w:rPr>
        <w:t xml:space="preserve"> those questions - </w:t>
      </w:r>
      <w:r w:rsidRPr="00C35B75">
        <w:rPr>
          <w:rStyle w:val="Emphasis"/>
          <w:highlight w:val="green"/>
        </w:rPr>
        <w:t>decol</w:t>
      </w:r>
      <w:r w:rsidRPr="00C35B75">
        <w:rPr>
          <w:rStyle w:val="Emphasis"/>
        </w:rPr>
        <w:t xml:space="preserve">onization </w:t>
      </w:r>
      <w:r w:rsidRPr="00C35B75">
        <w:rPr>
          <w:rStyle w:val="Emphasis"/>
          <w:highlight w:val="green"/>
        </w:rPr>
        <w:t>is not accountable</w:t>
      </w:r>
      <w:r w:rsidRPr="00C35B75">
        <w:rPr>
          <w:rStyle w:val="Emphasis"/>
        </w:rPr>
        <w:t xml:space="preserve"> </w:t>
      </w:r>
      <w:r w:rsidRPr="00C35B75">
        <w:rPr>
          <w:rStyle w:val="Emphasis"/>
          <w:highlight w:val="green"/>
        </w:rPr>
        <w:t>to</w:t>
      </w:r>
      <w:r w:rsidRPr="00C35B75">
        <w:rPr>
          <w:rStyle w:val="Emphasis"/>
        </w:rPr>
        <w:t xml:space="preserve"> settlers, or </w:t>
      </w:r>
      <w:r w:rsidRPr="00C35B75">
        <w:rPr>
          <w:rStyle w:val="Emphasis"/>
          <w:highlight w:val="green"/>
        </w:rPr>
        <w:t>settler futurity</w:t>
      </w:r>
      <w:r w:rsidRPr="00BF7844">
        <w:rPr>
          <w:sz w:val="16"/>
        </w:rPr>
        <w:t xml:space="preserve">. Decolonization is accountable to Indigenous sovereignty and futurity. Still, we acknowledge the questions of those wary participants in Occupy Oakland and other settlers who want to know what decolonization will require of them. </w:t>
      </w:r>
      <w:r w:rsidRPr="00C35B75">
        <w:rPr>
          <w:rStyle w:val="Emphasis"/>
        </w:rPr>
        <w:t>The answers are not fully in view and can’t be as long as decolonization remains punctuated by metaphor.</w:t>
      </w:r>
      <w:r w:rsidRPr="00BF7844">
        <w:rPr>
          <w:sz w:val="16"/>
        </w:rPr>
        <w:t xml:space="preserve"> The answers will not emerge from friendly understanding, and indeed require a dangerous understanding of </w:t>
      </w:r>
      <w:proofErr w:type="spellStart"/>
      <w:r w:rsidRPr="00BF7844">
        <w:rPr>
          <w:sz w:val="16"/>
        </w:rPr>
        <w:t>uncommonality</w:t>
      </w:r>
      <w:proofErr w:type="spellEnd"/>
      <w:r w:rsidRPr="00BF7844">
        <w:rPr>
          <w:sz w:val="16"/>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C35B75">
        <w:rPr>
          <w:rStyle w:val="Emphasis"/>
        </w:rPr>
        <w:t>To fully enact an ethic of incommensurability means relinquishing settler futurity</w:t>
      </w:r>
      <w:r w:rsidRPr="00BF7844">
        <w:rPr>
          <w:sz w:val="16"/>
        </w:rPr>
        <w:t xml:space="preserve">, abandoning the hope that settlers may one day be commensurable to Native peoples. It means removing the asterisks, periods, commas, apostrophes, the whereas’s, buts, and conditional clauses that punctuate decolonization and underwrite settler innocence. </w:t>
      </w:r>
      <w:r w:rsidRPr="00C35B75">
        <w:rPr>
          <w:rStyle w:val="Emphasis"/>
          <w:highlight w:val="green"/>
        </w:rPr>
        <w:t>The Native futures</w:t>
      </w:r>
      <w:r w:rsidRPr="00C35B75">
        <w:rPr>
          <w:rStyle w:val="Emphasis"/>
        </w:rPr>
        <w:t xml:space="preserve">, the lives to be lived </w:t>
      </w:r>
      <w:r w:rsidRPr="00C35B75">
        <w:rPr>
          <w:rStyle w:val="Emphasis"/>
          <w:highlight w:val="green"/>
        </w:rPr>
        <w:t>once the settler</w:t>
      </w:r>
      <w:r w:rsidRPr="00C35B75">
        <w:rPr>
          <w:rStyle w:val="Emphasis"/>
        </w:rPr>
        <w:t xml:space="preserve"> nation </w:t>
      </w:r>
      <w:r w:rsidRPr="00C35B75">
        <w:rPr>
          <w:rStyle w:val="Emphasis"/>
          <w:highlight w:val="green"/>
        </w:rPr>
        <w:t>is gone</w:t>
      </w:r>
      <w:r w:rsidRPr="00C35B75">
        <w:rPr>
          <w:rStyle w:val="Emphasis"/>
        </w:rPr>
        <w:t xml:space="preserve"> - these </w:t>
      </w:r>
      <w:r w:rsidRPr="00C35B75">
        <w:rPr>
          <w:rStyle w:val="Emphasis"/>
          <w:highlight w:val="green"/>
        </w:rPr>
        <w:t>are</w:t>
      </w:r>
      <w:r w:rsidRPr="00C35B75">
        <w:rPr>
          <w:rStyle w:val="Emphasis"/>
        </w:rPr>
        <w:t xml:space="preserve"> the </w:t>
      </w:r>
      <w:r w:rsidRPr="00C35B75">
        <w:rPr>
          <w:rStyle w:val="Emphasis"/>
          <w:highlight w:val="green"/>
        </w:rPr>
        <w:t>unwritten possibilities</w:t>
      </w:r>
      <w:r w:rsidRPr="00C35B75">
        <w:rPr>
          <w:rStyle w:val="Emphasis"/>
        </w:rPr>
        <w:t xml:space="preserve"> made possible by an ethic of incommensurability. </w:t>
      </w:r>
    </w:p>
    <w:p w14:paraId="78E4D9B4" w14:textId="77777777" w:rsidR="00CD3F57" w:rsidRPr="00A07148" w:rsidRDefault="00CD3F57" w:rsidP="00CD3F57"/>
    <w:p w14:paraId="072CD7B5" w14:textId="7E80B437" w:rsidR="00CD3F57" w:rsidRPr="00CD3F57" w:rsidRDefault="00CD3F57" w:rsidP="00CD3F57"/>
    <w:p w14:paraId="0F7FB4DF" w14:textId="2F3A8A65" w:rsidR="009A4449" w:rsidRDefault="00CD3F57" w:rsidP="009A4449">
      <w:pPr>
        <w:pStyle w:val="Heading2"/>
      </w:pPr>
      <w:r>
        <w:t>3</w:t>
      </w:r>
    </w:p>
    <w:p w14:paraId="2409AB44" w14:textId="77777777" w:rsidR="00F72101" w:rsidRPr="00756E63" w:rsidRDefault="00F72101" w:rsidP="00F72101">
      <w:pPr>
        <w:pStyle w:val="Heading4"/>
        <w:rPr>
          <w:rFonts w:cs="Calibri"/>
        </w:rPr>
      </w:pPr>
      <w:r w:rsidRPr="00756E63">
        <w:rPr>
          <w:rFonts w:cs="Calibri"/>
        </w:rPr>
        <w:t xml:space="preserve">Their scholarship is </w:t>
      </w:r>
      <w:r>
        <w:rPr>
          <w:rFonts w:cs="Calibri"/>
        </w:rPr>
        <w:t>bad</w:t>
      </w:r>
      <w:r w:rsidRPr="00756E63">
        <w:rPr>
          <w:rFonts w:cs="Calibri"/>
        </w:rPr>
        <w:t xml:space="preserve"> and a reason to lose the round—their author endorsed pedophilia and actively advocated against the age of consent law.</w:t>
      </w:r>
    </w:p>
    <w:p w14:paraId="21FC073A" w14:textId="77777777" w:rsidR="00F72101" w:rsidRPr="00756E63" w:rsidRDefault="00F72101" w:rsidP="00F72101">
      <w:pPr>
        <w:rPr>
          <w:rStyle w:val="Style13ptBold"/>
          <w:b w:val="0"/>
          <w:sz w:val="20"/>
          <w:szCs w:val="20"/>
        </w:rPr>
      </w:pPr>
      <w:proofErr w:type="spellStart"/>
      <w:r w:rsidRPr="00756E63">
        <w:rPr>
          <w:rStyle w:val="Style13ptBold"/>
        </w:rPr>
        <w:t>Doezema</w:t>
      </w:r>
      <w:proofErr w:type="spellEnd"/>
      <w:r w:rsidRPr="00756E63">
        <w:rPr>
          <w:rStyle w:val="Style13ptBold"/>
        </w:rPr>
        <w:t xml:space="preserve"> 18 </w:t>
      </w:r>
      <w:r w:rsidRPr="00756E63">
        <w:rPr>
          <w:rStyle w:val="Style13ptBold"/>
          <w:b w:val="0"/>
          <w:sz w:val="20"/>
          <w:szCs w:val="20"/>
        </w:rPr>
        <w:t xml:space="preserve">[Marie </w:t>
      </w:r>
      <w:proofErr w:type="spellStart"/>
      <w:r w:rsidRPr="00756E63">
        <w:rPr>
          <w:rStyle w:val="Style13ptBold"/>
          <w:b w:val="0"/>
          <w:sz w:val="20"/>
          <w:szCs w:val="20"/>
        </w:rPr>
        <w:t>Doezema</w:t>
      </w:r>
      <w:proofErr w:type="spellEnd"/>
      <w:r w:rsidRPr="00756E63">
        <w:rPr>
          <w:rStyle w:val="Style13ptBold"/>
          <w:b w:val="0"/>
          <w:sz w:val="20"/>
          <w:szCs w:val="20"/>
        </w:rPr>
        <w:t xml:space="preserve"> (Parisian Journalist). “France, Where Age of Consent Is Up for Debate.” The Atlantic, 10 March 2018. https://www.theatlantic.com/international/archive/2018/03/frances-existential-crisis-over-sexual-harassment-laws/550700/ //WWDH]</w:t>
      </w:r>
    </w:p>
    <w:p w14:paraId="5CAE0666" w14:textId="77777777" w:rsidR="00F72101" w:rsidRDefault="00F72101" w:rsidP="00F72101">
      <w:pPr>
        <w:rPr>
          <w:sz w:val="16"/>
        </w:rPr>
      </w:pPr>
      <w:r w:rsidRPr="00756E63">
        <w:rPr>
          <w:sz w:val="16"/>
        </w:rPr>
        <w:t xml:space="preserve">After May 1968, French intellectuals would challenge the state’s authority to protect minors from sexual abuse. In one prominent example, on January 26, 1977, Le Monde, </w:t>
      </w:r>
      <w:r w:rsidRPr="00756E63">
        <w:rPr>
          <w:rStyle w:val="Emphasis"/>
          <w:highlight w:val="green"/>
        </w:rPr>
        <w:t>a French newspaper, published a petition signed by</w:t>
      </w:r>
      <w:r w:rsidRPr="00756E63">
        <w:rPr>
          <w:sz w:val="16"/>
          <w:highlight w:val="green"/>
        </w:rPr>
        <w:t xml:space="preserve"> </w:t>
      </w:r>
      <w:r w:rsidRPr="00756E63">
        <w:rPr>
          <w:sz w:val="16"/>
        </w:rPr>
        <w:t xml:space="preserve">the era’s most </w:t>
      </w:r>
      <w:r w:rsidRPr="00756E63">
        <w:rPr>
          <w:rStyle w:val="Emphasis"/>
          <w:highlight w:val="green"/>
        </w:rPr>
        <w:t xml:space="preserve">prominent intellectuals—including </w:t>
      </w:r>
      <w:r w:rsidRPr="00756E63">
        <w:rPr>
          <w:sz w:val="16"/>
        </w:rPr>
        <w:t xml:space="preserve">Jean-Paul </w:t>
      </w:r>
      <w:r w:rsidRPr="00756E63">
        <w:rPr>
          <w:rStyle w:val="Emphasis"/>
          <w:highlight w:val="green"/>
        </w:rPr>
        <w:t>Sartre</w:t>
      </w:r>
      <w:r w:rsidRPr="00756E63">
        <w:rPr>
          <w:sz w:val="16"/>
        </w:rPr>
        <w:t xml:space="preserve">, Simone </w:t>
      </w:r>
      <w:r w:rsidRPr="00756E63">
        <w:rPr>
          <w:rStyle w:val="Emphasis"/>
          <w:highlight w:val="green"/>
        </w:rPr>
        <w:t>de Beauvoir</w:t>
      </w:r>
      <w:r w:rsidRPr="00756E63">
        <w:rPr>
          <w:sz w:val="16"/>
        </w:rPr>
        <w:t xml:space="preserve">, Gilles </w:t>
      </w:r>
      <w:r w:rsidRPr="00756E63">
        <w:rPr>
          <w:rStyle w:val="Emphasis"/>
          <w:highlight w:val="green"/>
        </w:rPr>
        <w:t>Deleuze</w:t>
      </w:r>
      <w:r w:rsidRPr="00756E63">
        <w:rPr>
          <w:sz w:val="16"/>
        </w:rPr>
        <w:t xml:space="preserve">, Roland Barthes, Philippe </w:t>
      </w:r>
      <w:proofErr w:type="spellStart"/>
      <w:r w:rsidRPr="00756E63">
        <w:rPr>
          <w:sz w:val="16"/>
        </w:rPr>
        <w:t>Sollers</w:t>
      </w:r>
      <w:proofErr w:type="spellEnd"/>
      <w:r w:rsidRPr="00756E63">
        <w:rPr>
          <w:sz w:val="16"/>
        </w:rPr>
        <w:t xml:space="preserve">, André </w:t>
      </w:r>
      <w:proofErr w:type="spellStart"/>
      <w:r w:rsidRPr="00756E63">
        <w:rPr>
          <w:sz w:val="16"/>
        </w:rPr>
        <w:t>Glucksmann</w:t>
      </w:r>
      <w:proofErr w:type="spellEnd"/>
      <w:r w:rsidRPr="00756E63">
        <w:rPr>
          <w:sz w:val="16"/>
        </w:rPr>
        <w:t xml:space="preserve"> and Louis Aragon—</w:t>
      </w:r>
      <w:r w:rsidRPr="00756E63">
        <w:rPr>
          <w:rStyle w:val="Emphasis"/>
          <w:highlight w:val="green"/>
        </w:rPr>
        <w:t>in defense of</w:t>
      </w:r>
      <w:r w:rsidRPr="00756E63">
        <w:rPr>
          <w:sz w:val="16"/>
          <w:highlight w:val="green"/>
        </w:rPr>
        <w:t xml:space="preserve"> </w:t>
      </w:r>
      <w:r w:rsidRPr="00756E63">
        <w:rPr>
          <w:sz w:val="16"/>
        </w:rPr>
        <w:t xml:space="preserve">three men on trial for </w:t>
      </w:r>
      <w:r w:rsidRPr="00756E63">
        <w:rPr>
          <w:rStyle w:val="Emphasis"/>
          <w:highlight w:val="green"/>
        </w:rPr>
        <w:t>engaging in sexual acts with minors</w:t>
      </w:r>
      <w:r w:rsidRPr="00756E63">
        <w:rPr>
          <w:sz w:val="16"/>
        </w:rPr>
        <w:t xml:space="preserve">. “French law recognizes in 13- and 14-year-olds a capacity for discernment that it can judge and punish,” the petition stated, “But it rejects such a capacity when the child's emotional and sexual life is concerned.” Furthermore, </w:t>
      </w:r>
      <w:r w:rsidRPr="00756E63">
        <w:rPr>
          <w:rStyle w:val="Emphasis"/>
          <w:highlight w:val="green"/>
        </w:rPr>
        <w:t>the signatories argued, children and adolescents have the right to a sexual life</w:t>
      </w:r>
      <w:r w:rsidRPr="00756E63">
        <w:rPr>
          <w:sz w:val="16"/>
        </w:rPr>
        <w:t xml:space="preserve">: “If a 13-year-old girl has the right to take the pill, what is it for?” It’s unclear what impact, if any, the petition had. The defendants were sentenced to five years in </w:t>
      </w:r>
      <w:proofErr w:type="gramStart"/>
      <w:r w:rsidRPr="00756E63">
        <w:rPr>
          <w:sz w:val="16"/>
        </w:rPr>
        <w:t>prison, but</w:t>
      </w:r>
      <w:proofErr w:type="gramEnd"/>
      <w:r w:rsidRPr="00756E63">
        <w:rPr>
          <w:sz w:val="16"/>
        </w:rPr>
        <w:t xml:space="preserve"> did not serve their full sentences.</w:t>
      </w:r>
    </w:p>
    <w:p w14:paraId="1B385817" w14:textId="77777777" w:rsidR="00F72101" w:rsidRPr="00421CE0" w:rsidRDefault="00F72101" w:rsidP="00F72101">
      <w:pPr>
        <w:pStyle w:val="Heading4"/>
        <w:rPr>
          <w:rFonts w:cstheme="minorHAnsi"/>
        </w:rPr>
      </w:pPr>
      <w:r>
        <w:rPr>
          <w:rFonts w:cstheme="minorHAnsi"/>
        </w:rPr>
        <w:t>Comes first</w:t>
      </w:r>
      <w:r w:rsidRPr="00421CE0">
        <w:rPr>
          <w:rFonts w:cstheme="minorHAnsi"/>
        </w:rPr>
        <w:t>:</w:t>
      </w:r>
    </w:p>
    <w:p w14:paraId="5B982672" w14:textId="77777777" w:rsidR="00F72101" w:rsidRPr="00421CE0" w:rsidRDefault="00F72101" w:rsidP="00F72101">
      <w:pPr>
        <w:pStyle w:val="Heading4"/>
        <w:rPr>
          <w:rFonts w:cstheme="minorHAnsi"/>
        </w:rPr>
      </w:pPr>
      <w:r w:rsidRPr="00421CE0">
        <w:rPr>
          <w:rFonts w:cstheme="minorHAnsi"/>
        </w:rPr>
        <w:t>[1] Reversibility: once oppressive rhetoric is used it cannot be taken back</w:t>
      </w:r>
    </w:p>
    <w:p w14:paraId="7707D72D" w14:textId="77777777" w:rsidR="00F72101" w:rsidRPr="00421CE0" w:rsidRDefault="00F72101" w:rsidP="00F72101">
      <w:pPr>
        <w:pStyle w:val="Heading4"/>
        <w:rPr>
          <w:rFonts w:cstheme="minorHAnsi"/>
        </w:rPr>
      </w:pPr>
      <w:r w:rsidRPr="00421CE0">
        <w:rPr>
          <w:rFonts w:cstheme="minorHAnsi"/>
        </w:rPr>
        <w:t xml:space="preserve">[2] Norm </w:t>
      </w:r>
      <w:proofErr w:type="gramStart"/>
      <w:r w:rsidRPr="00421CE0">
        <w:rPr>
          <w:rFonts w:cstheme="minorHAnsi"/>
        </w:rPr>
        <w:t>setting:</w:t>
      </w:r>
      <w:proofErr w:type="gramEnd"/>
      <w:r w:rsidRPr="00421CE0">
        <w:rPr>
          <w:rFonts w:cstheme="minorHAnsi"/>
        </w:rPr>
        <w:t xml:space="preserve"> we are part of a larger debate community with extensive norms – letting </w:t>
      </w:r>
      <w:r>
        <w:rPr>
          <w:rFonts w:cstheme="minorHAnsi"/>
        </w:rPr>
        <w:t>bad discourse</w:t>
      </w:r>
      <w:r w:rsidRPr="00421CE0">
        <w:rPr>
          <w:rFonts w:cstheme="minorHAnsi"/>
        </w:rPr>
        <w:t xml:space="preserve"> be rampant kills the community </w:t>
      </w:r>
    </w:p>
    <w:p w14:paraId="02D6CB8B" w14:textId="77777777" w:rsidR="00F72101" w:rsidRPr="00A073B6" w:rsidRDefault="00F72101" w:rsidP="00F72101">
      <w:pPr>
        <w:rPr>
          <w:b/>
          <w:bCs/>
          <w:sz w:val="26"/>
        </w:rPr>
      </w:pPr>
      <w:r w:rsidRPr="00A073B6">
        <w:rPr>
          <w:rFonts w:cstheme="minorHAnsi"/>
          <w:b/>
          <w:bCs/>
          <w:sz w:val="26"/>
        </w:rPr>
        <w:t>[3] Competition: debate is an educational competition with no place for offensive rhetoric – that kills access to the lasting benefit debate provides</w:t>
      </w:r>
    </w:p>
    <w:p w14:paraId="5D716DDF" w14:textId="77777777" w:rsidR="009A4449" w:rsidRPr="009A4449" w:rsidRDefault="009A4449" w:rsidP="009A4449"/>
    <w:sectPr w:rsidR="009A4449" w:rsidRPr="009A44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44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1C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68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8E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44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F57"/>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101"/>
    <w:rsid w:val="00F73954"/>
    <w:rsid w:val="00F94060"/>
    <w:rsid w:val="00FA56F6"/>
    <w:rsid w:val="00FB329D"/>
    <w:rsid w:val="00FC27E3"/>
    <w:rsid w:val="00FC74C7"/>
    <w:rsid w:val="00FD451D"/>
    <w:rsid w:val="00FD5948"/>
    <w:rsid w:val="00FD5B22"/>
    <w:rsid w:val="00FD6A7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1AF3D"/>
  <w14:defaultImageDpi w14:val="300"/>
  <w15:docId w15:val="{7B456EC6-1A6F-EE42-BC0B-D0351689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4449"/>
  </w:style>
  <w:style w:type="paragraph" w:styleId="Heading1">
    <w:name w:val="heading 1"/>
    <w:aliases w:val="Pocket"/>
    <w:basedOn w:val="Normal"/>
    <w:next w:val="Normal"/>
    <w:link w:val="Heading1Char"/>
    <w:uiPriority w:val="9"/>
    <w:qFormat/>
    <w:rsid w:val="009A444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444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A444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a"/>
    <w:basedOn w:val="Normal"/>
    <w:next w:val="Normal"/>
    <w:link w:val="Heading4Char"/>
    <w:uiPriority w:val="9"/>
    <w:unhideWhenUsed/>
    <w:qFormat/>
    <w:rsid w:val="009A444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A44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449"/>
  </w:style>
  <w:style w:type="character" w:customStyle="1" w:styleId="Heading1Char">
    <w:name w:val="Heading 1 Char"/>
    <w:aliases w:val="Pocket Char"/>
    <w:basedOn w:val="DefaultParagraphFont"/>
    <w:link w:val="Heading1"/>
    <w:uiPriority w:val="9"/>
    <w:rsid w:val="009A444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A444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A4449"/>
    <w:rPr>
      <w:rFonts w:eastAsiaTheme="majorEastAsia"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9A4449"/>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A4449"/>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9A444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s"/>
    <w:basedOn w:val="DefaultParagraphFont"/>
    <w:link w:val="Emphasis1"/>
    <w:uiPriority w:val="20"/>
    <w:qFormat/>
    <w:rsid w:val="009A44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444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
    <w:basedOn w:val="DefaultParagraphFont"/>
    <w:link w:val="NoSpacing"/>
    <w:uiPriority w:val="99"/>
    <w:unhideWhenUsed/>
    <w:rsid w:val="009A4449"/>
    <w:rPr>
      <w:color w:val="auto"/>
      <w:u w:val="none"/>
    </w:rPr>
  </w:style>
  <w:style w:type="paragraph" w:styleId="DocumentMap">
    <w:name w:val="Document Map"/>
    <w:basedOn w:val="Normal"/>
    <w:link w:val="DocumentMapChar"/>
    <w:uiPriority w:val="99"/>
    <w:semiHidden/>
    <w:unhideWhenUsed/>
    <w:rsid w:val="009A4449"/>
    <w:rPr>
      <w:rFonts w:ascii="Lucida Grande" w:hAnsi="Lucida Grande" w:cs="Lucida Grande"/>
    </w:rPr>
  </w:style>
  <w:style w:type="character" w:customStyle="1" w:styleId="DocumentMapChar">
    <w:name w:val="Document Map Char"/>
    <w:basedOn w:val="DefaultParagraphFont"/>
    <w:link w:val="DocumentMap"/>
    <w:uiPriority w:val="99"/>
    <w:semiHidden/>
    <w:rsid w:val="009A4449"/>
    <w:rPr>
      <w:rFonts w:ascii="Lucida Grande" w:hAnsi="Lucida Grande" w:cs="Lucida Grande"/>
    </w:rPr>
  </w:style>
  <w:style w:type="character" w:customStyle="1" w:styleId="TitleChar">
    <w:name w:val="Title Char"/>
    <w:basedOn w:val="DefaultParagraphFont"/>
    <w:link w:val="Title"/>
    <w:uiPriority w:val="1"/>
    <w:qFormat/>
    <w:rsid w:val="009A4449"/>
    <w:rPr>
      <w:u w:val="single"/>
    </w:rPr>
  </w:style>
  <w:style w:type="paragraph" w:styleId="Title">
    <w:name w:val="Title"/>
    <w:basedOn w:val="Normal"/>
    <w:link w:val="TitleChar"/>
    <w:uiPriority w:val="1"/>
    <w:qFormat/>
    <w:rsid w:val="009A4449"/>
    <w:pPr>
      <w:spacing w:before="240" w:after="60"/>
      <w:ind w:left="432" w:right="432"/>
      <w:jc w:val="center"/>
      <w:outlineLvl w:val="0"/>
    </w:pPr>
    <w:rPr>
      <w:u w:val="single"/>
    </w:rPr>
  </w:style>
  <w:style w:type="character" w:customStyle="1" w:styleId="TitleChar1">
    <w:name w:val="Title Char1"/>
    <w:basedOn w:val="DefaultParagraphFont"/>
    <w:uiPriority w:val="10"/>
    <w:rsid w:val="009A4449"/>
    <w:rPr>
      <w:rFonts w:eastAsiaTheme="majorEastAsia" w:cstheme="majorBidi"/>
      <w:spacing w:val="-10"/>
      <w:kern w:val="28"/>
      <w:sz w:val="56"/>
      <w:szCs w:val="56"/>
    </w:rPr>
  </w:style>
  <w:style w:type="paragraph" w:customStyle="1" w:styleId="Emphasis1">
    <w:name w:val="Emphasis1"/>
    <w:basedOn w:val="Normal"/>
    <w:link w:val="Emphasis"/>
    <w:autoRedefine/>
    <w:uiPriority w:val="20"/>
    <w:qFormat/>
    <w:rsid w:val="009A4449"/>
    <w:pPr>
      <w:widowControl w:val="0"/>
      <w:pBdr>
        <w:top w:val="single" w:sz="4" w:space="1" w:color="auto"/>
        <w:left w:val="single" w:sz="4" w:space="4" w:color="auto"/>
        <w:bottom w:val="single" w:sz="4" w:space="1" w:color="auto"/>
        <w:right w:val="single" w:sz="4" w:space="4" w:color="auto"/>
      </w:pBdr>
      <w:ind w:left="720"/>
      <w:jc w:val="both"/>
    </w:pPr>
    <w:rPr>
      <w:rFonts w:ascii="Calibri" w:hAnsi="Calibri"/>
      <w:b/>
      <w:iCs/>
      <w:sz w:val="22"/>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tag"/>
    <w:basedOn w:val="Heading1"/>
    <w:link w:val="Hyperlink"/>
    <w:autoRedefine/>
    <w:uiPriority w:val="99"/>
    <w:qFormat/>
    <w:rsid w:val="009A444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Times New Roman (Headings CS)"/>
      <w:b w:val="0"/>
      <w:bCs w:val="0"/>
      <w:sz w:val="24"/>
      <w:szCs w:val="26"/>
    </w:rPr>
  </w:style>
  <w:style w:type="paragraph" w:customStyle="1" w:styleId="textbold">
    <w:name w:val="text bold"/>
    <w:basedOn w:val="Normal"/>
    <w:uiPriority w:val="20"/>
    <w:qFormat/>
    <w:rsid w:val="00F72101"/>
    <w:pPr>
      <w:ind w:left="720"/>
      <w:jc w:val="both"/>
    </w:pPr>
    <w:rPr>
      <w:rFonts w:ascii="Calibri" w:hAnsi="Calibri" w:cstheme="minorBidi"/>
      <w:b/>
      <w:iCs/>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law.jrank.org/"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5668</Words>
  <Characters>32308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2021-07-07T20:57:00Z</dcterms:created>
  <dcterms:modified xsi:type="dcterms:W3CDTF">2021-07-07T23:00:00Z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