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DAC3D0" w14:textId="77777777" w:rsidR="004265D3" w:rsidRPr="004265D3" w:rsidRDefault="004265D3" w:rsidP="004265D3"/>
    <w:p w14:paraId="1246188D" w14:textId="77777777" w:rsidR="00104151" w:rsidRPr="00196E90" w:rsidRDefault="00104151" w:rsidP="00196E90"/>
    <w:p w14:paraId="7C11140A" w14:textId="59EB0B49" w:rsidR="001F45F7" w:rsidRDefault="001F45F7" w:rsidP="00B938A8">
      <w:pPr>
        <w:pStyle w:val="Heading2"/>
        <w:rPr>
          <w:u w:val="single"/>
        </w:rPr>
      </w:pPr>
      <w:r>
        <w:rPr>
          <w:u w:val="single"/>
        </w:rPr>
        <w:lastRenderedPageBreak/>
        <w:t xml:space="preserve">K </w:t>
      </w:r>
    </w:p>
    <w:p w14:paraId="4BA03CF6" w14:textId="77777777" w:rsidR="001F45F7" w:rsidRPr="003B504D" w:rsidRDefault="001F45F7" w:rsidP="001F45F7">
      <w:pPr>
        <w:pStyle w:val="Heading4"/>
        <w:rPr>
          <w:rFonts w:cs="Calibri"/>
        </w:rPr>
      </w:pPr>
      <w:r w:rsidRPr="003B504D">
        <w:rPr>
          <w:rFonts w:cs="Calibri"/>
        </w:rPr>
        <w:t xml:space="preserve">The role of the ballot is to vote for who best centers indigenous scholarship and resistance-- Any ethical commitment requires that the aff place themselves in the center of Native scholarship and demands. </w:t>
      </w:r>
    </w:p>
    <w:p w14:paraId="5D4F85AD" w14:textId="77777777" w:rsidR="001F45F7" w:rsidRPr="003B504D" w:rsidRDefault="001F45F7" w:rsidP="001F45F7">
      <w:pPr>
        <w:rPr>
          <w:b/>
        </w:rPr>
      </w:pPr>
      <w:r w:rsidRPr="003B504D">
        <w:rPr>
          <w:rStyle w:val="Style13ptBold"/>
        </w:rPr>
        <w:t xml:space="preserve">Carlson 16 </w:t>
      </w:r>
      <w:r w:rsidRPr="003B504D">
        <w:rPr>
          <w:rStyle w:val="Style13ptBold"/>
          <w:b w:val="0"/>
          <w:sz w:val="16"/>
          <w:szCs w:val="16"/>
        </w:rPr>
        <w:t xml:space="preserve">(Elizabeth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4EC835A8" w14:textId="77777777" w:rsidR="001F45F7" w:rsidRPr="00197BD6" w:rsidRDefault="001F45F7" w:rsidP="001F45F7">
      <w:pPr>
        <w:spacing w:line="240" w:lineRule="auto"/>
        <w:rPr>
          <w:b/>
          <w:iCs/>
          <w:u w:val="single"/>
        </w:rPr>
      </w:pPr>
      <w:r w:rsidRPr="003B504D">
        <w:rPr>
          <w:sz w:val="12"/>
        </w:rPr>
        <w:t>Arlo Kempf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bCs/>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bCs/>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survival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broade_r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humi- lity and accountability. </w:t>
      </w:r>
      <w:r w:rsidRPr="003B504D">
        <w:rPr>
          <w:rStyle w:val="Emphasis"/>
          <w:highlight w:val="green"/>
        </w:rPr>
        <w:t>We can centre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66224439" w14:textId="77777777" w:rsidR="001F45F7" w:rsidRPr="001F45F7" w:rsidRDefault="001F45F7" w:rsidP="001F45F7"/>
    <w:p w14:paraId="7A2A6C7F" w14:textId="77777777" w:rsidR="001F45F7" w:rsidRPr="003B504D" w:rsidRDefault="001F45F7" w:rsidP="001F45F7">
      <w:pPr>
        <w:pStyle w:val="Heading4"/>
        <w:rPr>
          <w:rFonts w:cs="Calibri"/>
          <w:color w:val="000000" w:themeColor="text1"/>
        </w:rPr>
      </w:pPr>
      <w:r w:rsidRPr="003B504D">
        <w:rPr>
          <w:rFonts w:cs="Calibri"/>
          <w:color w:val="000000" w:themeColor="text1"/>
        </w:rPr>
        <w:lastRenderedPageBreak/>
        <w:t>Settler colonialism is not a one-off occurrence – it requires the combination of external and internal colonialism fused with the identity-making of the settler through the erasure of indigenous populations that rewrites ontological identity and relationships.</w:t>
      </w:r>
    </w:p>
    <w:p w14:paraId="48914D8E" w14:textId="77777777" w:rsidR="001F45F7" w:rsidRPr="003B504D" w:rsidRDefault="001F45F7" w:rsidP="001F45F7">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w:t>
      </w:r>
    </w:p>
    <w:p w14:paraId="09591F86" w14:textId="77777777" w:rsidR="001F45F7" w:rsidRPr="003B504D" w:rsidRDefault="001F45F7" w:rsidP="001F45F7">
      <w:pPr>
        <w:spacing w:line="240" w:lineRule="auto"/>
        <w:rPr>
          <w:rStyle w:val="Emphasis"/>
        </w:rPr>
      </w:pPr>
      <w:r w:rsidRPr="003B504D">
        <w:rPr>
          <w:color w:val="000000" w:themeColor="text1"/>
          <w:sz w:val="16"/>
        </w:rPr>
        <w:t xml:space="preserve">Generally speaking, postcolonial theories and theories of coloniality attend to two forms of colonialism2 . </w:t>
      </w:r>
      <w:r w:rsidRPr="003B504D">
        <w:rPr>
          <w:rStyle w:val="Emphasis"/>
          <w:highlight w:val="green"/>
        </w:rPr>
        <w:t>External colonialism</w:t>
      </w:r>
      <w:r w:rsidRPr="003B504D">
        <w:rPr>
          <w:color w:val="000000" w:themeColor="text1"/>
          <w:sz w:val="16"/>
        </w:rPr>
        <w:t xml:space="preserve"> (also called exogenous or exploitation colonization) </w:t>
      </w:r>
      <w:r w:rsidRPr="003B504D">
        <w:rPr>
          <w:rStyle w:val="Emphasis"/>
          <w:highlight w:val="green"/>
        </w:rPr>
        <w:t>denotes the expropriation of fragments of Indigenous worlds,</w:t>
      </w:r>
      <w:r w:rsidRPr="003B504D">
        <w:rPr>
          <w:rStyle w:val="Emphasis"/>
        </w:rPr>
        <w:t xml:space="preserve"> animals, plants and human beings, extracting them in order to transport them to - and build the wealth, the privilege, or feed the appetites of - the colonizers, who get marked as the first world</w:t>
      </w:r>
      <w:r w:rsidRPr="003B504D">
        <w:rPr>
          <w:color w:val="000000" w:themeColor="text1"/>
          <w:sz w:val="16"/>
        </w:rPr>
        <w:t xml:space="preserve">. This includes so-thought ‘historic’ examples such as opium, spices, tea, sugar, and tobacco, the extraction of which continues to fuel colonial efforts. This form of colonialism also includes the feeding of contemporary appetites for diamonds, fish, water, oil, humans turned workers, genetic material, cadmium and other essential minerals for high tech devices. </w:t>
      </w:r>
      <w:r w:rsidRPr="003B504D">
        <w:rPr>
          <w:rStyle w:val="Emphasis"/>
        </w:rPr>
        <w:t xml:space="preserve">External colonialism </w:t>
      </w:r>
      <w:r w:rsidRPr="003B504D">
        <w:rPr>
          <w:rStyle w:val="Emphasis"/>
          <w:highlight w:val="green"/>
        </w:rPr>
        <w:t>often requires</w:t>
      </w:r>
      <w:r w:rsidRPr="003B504D">
        <w:rPr>
          <w:rStyle w:val="Emphasis"/>
        </w:rPr>
        <w:t xml:space="preserve"> a subset of activities properly called </w:t>
      </w:r>
      <w:r w:rsidRPr="003B504D">
        <w:rPr>
          <w:rStyle w:val="Emphasis"/>
          <w:highlight w:val="green"/>
        </w:rPr>
        <w:t>military colonialism - the creation of war</w:t>
      </w:r>
      <w:r w:rsidRPr="003B504D">
        <w:rPr>
          <w:rStyle w:val="Emphasis"/>
        </w:rPr>
        <w:t xml:space="preserve"> fronts/</w:t>
      </w:r>
      <w:r w:rsidRPr="003B504D">
        <w:rPr>
          <w:rStyle w:val="Emphasis"/>
          <w:highlight w:val="green"/>
        </w:rPr>
        <w:t>frontiers against enemies</w:t>
      </w:r>
      <w:r w:rsidRPr="003B504D">
        <w:rPr>
          <w:rStyle w:val="Emphasis"/>
        </w:rPr>
        <w:t xml:space="preserve"> to be conquered, and the enlistment of foreign land, resources, and people into military operations</w:t>
      </w:r>
      <w:r w:rsidRPr="003B504D">
        <w:rPr>
          <w:color w:val="000000" w:themeColor="text1"/>
          <w:sz w:val="16"/>
        </w:rPr>
        <w:t xml:space="preserve">. In external colonialism, </w:t>
      </w:r>
      <w:r w:rsidRPr="003B504D">
        <w:rPr>
          <w:rStyle w:val="Emphasis"/>
          <w:highlight w:val="green"/>
        </w:rPr>
        <w:t>all things Native become recast as ‘natural resources’</w:t>
      </w:r>
      <w:r w:rsidRPr="003B504D">
        <w:rPr>
          <w:color w:val="000000" w:themeColor="text1"/>
          <w:sz w:val="16"/>
        </w:rPr>
        <w:t xml:space="preserve"> - </w:t>
      </w:r>
      <w:r w:rsidRPr="003B504D">
        <w:rPr>
          <w:rStyle w:val="Emphasis"/>
          <w:highlight w:val="green"/>
        </w:rPr>
        <w:t>bodies and earth for war</w:t>
      </w:r>
      <w:r w:rsidRPr="003B504D">
        <w:rPr>
          <w:rStyle w:val="Emphasis"/>
        </w:rPr>
        <w:t xml:space="preserve">, bodies and earth </w:t>
      </w:r>
      <w:r w:rsidRPr="003B504D">
        <w:rPr>
          <w:rStyle w:val="Emphasis"/>
          <w:highlight w:val="green"/>
        </w:rPr>
        <w:t>for chattel</w:t>
      </w:r>
      <w:r w:rsidRPr="003B504D">
        <w:rPr>
          <w:color w:val="000000" w:themeColor="text1"/>
          <w:sz w:val="16"/>
          <w:highlight w:val="green"/>
        </w:rPr>
        <w:t>.</w:t>
      </w:r>
      <w:r w:rsidRPr="003B504D">
        <w:rPr>
          <w:color w:val="000000" w:themeColor="text1"/>
          <w:sz w:val="16"/>
        </w:rPr>
        <w:t xml:space="preserve"> The other form of colonialism that is attended to by postcolonial theories and theories of coloniality is </w:t>
      </w:r>
      <w:r w:rsidRPr="003B504D">
        <w:rPr>
          <w:rStyle w:val="Emphasis"/>
          <w:highlight w:val="green"/>
        </w:rPr>
        <w:t>internal colonialism, the biopolitical and geopolitical management of people</w:t>
      </w:r>
      <w:r w:rsidRPr="003B504D">
        <w:rPr>
          <w:rStyle w:val="Emphasis"/>
        </w:rPr>
        <w:t>, land,</w:t>
      </w:r>
      <w:r w:rsidRPr="003B504D">
        <w:rPr>
          <w:color w:val="000000" w:themeColor="text1"/>
          <w:sz w:val="16"/>
        </w:rPr>
        <w:t xml:space="preserve"> flora and fauna within the “domestic” borders of the imperial nation. </w:t>
      </w:r>
      <w:r w:rsidRPr="003B504D">
        <w:rPr>
          <w:rStyle w:val="Emphasis"/>
          <w:highlight w:val="green"/>
        </w:rPr>
        <w:t>This involves the use of</w:t>
      </w:r>
      <w:r w:rsidRPr="003B504D">
        <w:rPr>
          <w:rStyle w:val="Emphasis"/>
        </w:rPr>
        <w:t xml:space="preserve"> particularized modes of control - </w:t>
      </w:r>
      <w:r w:rsidRPr="003B504D">
        <w:rPr>
          <w:rStyle w:val="Emphasis"/>
          <w:highlight w:val="green"/>
        </w:rPr>
        <w:t>prisons, ghettos, minoritizing, schooling, policing</w:t>
      </w:r>
      <w:r w:rsidRPr="003B504D">
        <w:rPr>
          <w:rStyle w:val="Emphasis"/>
        </w:rPr>
        <w:t xml:space="preserve"> - to ensure the ascendancy of a nation and its white3 elite</w:t>
      </w:r>
      <w:r w:rsidRPr="003B504D">
        <w:rPr>
          <w:color w:val="000000" w:themeColor="text1"/>
          <w:sz w:val="16"/>
        </w:rPr>
        <w:t xml:space="preserve">. These modes of control, imprisonment, and involuntary transport of the human beings across borders - ghettos, their policing, their economic divestiture, and their dislocatability - are at work to authorize the metropole and conscribe her periphery. Strategies of internal colonialism, such as segregation, divestment, surveillance, and criminalization, are both structural and interpersonal. Our intention in this descriptive exercise is not be exhaustive, or even inarguable; instead, we wish to emphasize that (a) decolonization will take a different shape in each of these contexts - though they can overlap4 - and that (b) </w:t>
      </w:r>
      <w:r w:rsidRPr="003B504D">
        <w:rPr>
          <w:rStyle w:val="Emphasis"/>
          <w:highlight w:val="green"/>
        </w:rPr>
        <w:t>neither external nor internal colonialism adequately describe</w:t>
      </w:r>
      <w:r w:rsidRPr="003B504D">
        <w:rPr>
          <w:rStyle w:val="Emphasis"/>
        </w:rPr>
        <w:t xml:space="preserve"> the form of colonialism which operates in the United States or other nation-states in which the colonizer comes to stay. </w:t>
      </w:r>
      <w:r w:rsidRPr="003B504D">
        <w:rPr>
          <w:rStyle w:val="Emphasis"/>
          <w:highlight w:val="green"/>
        </w:rPr>
        <w:t>Settler colonialism</w:t>
      </w:r>
      <w:r w:rsidRPr="003B504D">
        <w:rPr>
          <w:rStyle w:val="Emphasis"/>
        </w:rPr>
        <w:t xml:space="preserve"> operates through internal/external colonial modes simultaneously because there is no spatial separation between metropole and colony.</w:t>
      </w:r>
      <w:r w:rsidRPr="003B504D">
        <w:rPr>
          <w:color w:val="000000" w:themeColor="text1"/>
          <w:sz w:val="16"/>
        </w:rPr>
        <w:t xml:space="preserve"> For example, </w:t>
      </w:r>
      <w:r w:rsidRPr="003B504D">
        <w:rPr>
          <w:rStyle w:val="Emphasis"/>
          <w:highlight w:val="green"/>
        </w:rPr>
        <w:t>in the</w:t>
      </w:r>
      <w:r w:rsidRPr="003B504D">
        <w:rPr>
          <w:rStyle w:val="Emphasis"/>
        </w:rPr>
        <w:t xml:space="preserve"> </w:t>
      </w:r>
      <w:r w:rsidRPr="003B504D">
        <w:rPr>
          <w:rStyle w:val="Emphasis"/>
          <w:highlight w:val="green"/>
        </w:rPr>
        <w:t>U</w:t>
      </w:r>
      <w:r w:rsidRPr="003B504D">
        <w:rPr>
          <w:rStyle w:val="Emphasis"/>
        </w:rPr>
        <w:t xml:space="preserve">nited </w:t>
      </w:r>
      <w:r w:rsidRPr="003B504D">
        <w:rPr>
          <w:rStyle w:val="Emphasis"/>
          <w:highlight w:val="green"/>
        </w:rPr>
        <w:t>S</w:t>
      </w:r>
      <w:r w:rsidRPr="003B504D">
        <w:rPr>
          <w:rStyle w:val="Emphasis"/>
        </w:rPr>
        <w:t xml:space="preserve">tates, many </w:t>
      </w:r>
      <w:r w:rsidRPr="003B504D">
        <w:rPr>
          <w:rStyle w:val="Emphasis"/>
          <w:highlight w:val="green"/>
        </w:rPr>
        <w:t>Indigenous peoples have been forcibly removed from their homelands</w:t>
      </w:r>
      <w:r w:rsidRPr="003B504D">
        <w:rPr>
          <w:rStyle w:val="Emphasis"/>
        </w:rPr>
        <w:t xml:space="preserve"> onto reservations, indentured, and abducted into state custody, signaling the form of colonization as </w:t>
      </w:r>
      <w:r w:rsidRPr="003B504D">
        <w:rPr>
          <w:rStyle w:val="Emphasis"/>
          <w:highlight w:val="green"/>
        </w:rPr>
        <w:t>simultaneously internal</w:t>
      </w:r>
      <w:r w:rsidRPr="003B504D">
        <w:rPr>
          <w:rStyle w:val="Emphasis"/>
        </w:rPr>
        <w:t xml:space="preserve"> (</w:t>
      </w:r>
      <w:r w:rsidRPr="003B504D">
        <w:rPr>
          <w:rStyle w:val="Emphasis"/>
          <w:highlight w:val="green"/>
        </w:rPr>
        <w:t>via</w:t>
      </w:r>
      <w:r w:rsidRPr="003B504D">
        <w:rPr>
          <w:rStyle w:val="Emphasis"/>
        </w:rPr>
        <w:t xml:space="preserve"> boarding schools and other </w:t>
      </w:r>
      <w:r w:rsidRPr="003B504D">
        <w:rPr>
          <w:rStyle w:val="Emphasis"/>
          <w:highlight w:val="green"/>
        </w:rPr>
        <w:t>biopolitical</w:t>
      </w:r>
      <w:r w:rsidRPr="003B504D">
        <w:rPr>
          <w:rStyle w:val="Emphasis"/>
        </w:rPr>
        <w:t xml:space="preserve"> modes of </w:t>
      </w:r>
      <w:r w:rsidRPr="003B504D">
        <w:rPr>
          <w:rStyle w:val="Emphasis"/>
          <w:highlight w:val="green"/>
        </w:rPr>
        <w:t>control</w:t>
      </w:r>
      <w:r w:rsidRPr="003B504D">
        <w:rPr>
          <w:rStyle w:val="Emphasis"/>
        </w:rPr>
        <w:t xml:space="preserve">) </w:t>
      </w:r>
      <w:r w:rsidRPr="003B504D">
        <w:rPr>
          <w:rStyle w:val="Emphasis"/>
          <w:highlight w:val="green"/>
        </w:rPr>
        <w:t>and external</w:t>
      </w:r>
      <w:r w:rsidRPr="003B504D">
        <w:rPr>
          <w:rStyle w:val="Emphasis"/>
        </w:rPr>
        <w:t xml:space="preserve"> (</w:t>
      </w:r>
      <w:r w:rsidRPr="003B504D">
        <w:rPr>
          <w:rStyle w:val="Emphasis"/>
          <w:highlight w:val="green"/>
        </w:rPr>
        <w:t>via</w:t>
      </w:r>
      <w:r w:rsidRPr="003B504D">
        <w:rPr>
          <w:rStyle w:val="Emphasis"/>
        </w:rPr>
        <w:t xml:space="preserve"> uranium </w:t>
      </w:r>
      <w:r w:rsidRPr="003B504D">
        <w:rPr>
          <w:rStyle w:val="Emphasis"/>
          <w:highlight w:val="green"/>
        </w:rPr>
        <w:t>mining</w:t>
      </w:r>
      <w:r w:rsidRPr="003B504D">
        <w:rPr>
          <w:rStyle w:val="Emphasis"/>
        </w:rPr>
        <w:t xml:space="preserve"> on Indigenous land in the US Southwest </w:t>
      </w:r>
      <w:r w:rsidRPr="003B504D">
        <w:rPr>
          <w:rStyle w:val="Emphasis"/>
          <w:highlight w:val="green"/>
        </w:rPr>
        <w:t>and oil extraction</w:t>
      </w:r>
      <w:r w:rsidRPr="003B504D">
        <w:rPr>
          <w:rStyle w:val="Emphasis"/>
        </w:rPr>
        <w:t xml:space="preserve"> on Indigenous land in Alaska) </w:t>
      </w:r>
      <w:r w:rsidRPr="003B504D">
        <w:rPr>
          <w:rStyle w:val="Emphasis"/>
          <w:highlight w:val="green"/>
        </w:rPr>
        <w:t>with a frontier</w:t>
      </w:r>
      <w:r w:rsidRPr="003B504D">
        <w:rPr>
          <w:rStyle w:val="Emphasis"/>
        </w:rPr>
        <w:t xml:space="preserve"> (the US military still nicknames all enemy territory “</w:t>
      </w:r>
      <w:r w:rsidRPr="003B504D">
        <w:rPr>
          <w:rStyle w:val="Emphasis"/>
          <w:highlight w:val="green"/>
        </w:rPr>
        <w:t>Indian Country</w:t>
      </w:r>
      <w:r w:rsidRPr="003B504D">
        <w:rPr>
          <w:rStyle w:val="Emphasis"/>
        </w:rPr>
        <w:t xml:space="preserve">”). </w:t>
      </w:r>
      <w:r w:rsidRPr="003B504D">
        <w:rPr>
          <w:color w:val="000000" w:themeColor="text1"/>
          <w:sz w:val="16"/>
        </w:rPr>
        <w:t xml:space="preserve">The horizons of the settler colonial nation-state are total and require a mode of total appropriation of Indigenous life and land, rather than the selective expropriation of profit-producing fragments. </w:t>
      </w:r>
      <w:r w:rsidRPr="003B504D">
        <w:rPr>
          <w:rStyle w:val="Emphasis"/>
        </w:rPr>
        <w:t xml:space="preserve">Settler colonialism is different from other forms of colonialism </w:t>
      </w:r>
      <w:r w:rsidRPr="003B504D">
        <w:rPr>
          <w:color w:val="000000" w:themeColor="text1"/>
          <w:sz w:val="16"/>
        </w:rPr>
        <w:t xml:space="preserve">in that settlers come with the intention of making a new home on the land, a homemaking that insists on settler sovereignty over all things in their new domain. Thus, relying solely on postcolonial literatures or theories of coloniality that ignore settler colonialism will not help to envision the shape that decolonization must take in settler colonial contexts. </w:t>
      </w:r>
      <w:r w:rsidRPr="003B504D">
        <w:rPr>
          <w:rStyle w:val="Emphasis"/>
        </w:rPr>
        <w:t>Within settler colonialism, the most important concern is land/water/air/subterranean earth</w:t>
      </w:r>
      <w:r w:rsidRPr="003B504D">
        <w:rPr>
          <w:color w:val="000000" w:themeColor="text1"/>
          <w:sz w:val="16"/>
        </w:rPr>
        <w:t xml:space="preserve"> (land, for shorthand, in this article.) Land is what is most </w:t>
      </w:r>
      <w:r w:rsidRPr="003B504D">
        <w:rPr>
          <w:color w:val="000000" w:themeColor="text1"/>
          <w:sz w:val="16"/>
        </w:rPr>
        <w:lastRenderedPageBreak/>
        <w:t xml:space="preserve">valuable, contested, required. This is both because the settlers make Indigenous land their new home and source of capital, and also because the disruption of Indigenous relationships to land represents a profound epistemic, ontological, cosmological violence. This violence is not temporally contained in the arrival of the settler but is reasserted each day of occupation. This is why Patrick Wolfe (1999) emphasizes that </w:t>
      </w:r>
      <w:r w:rsidRPr="003B504D">
        <w:rPr>
          <w:rStyle w:val="Emphasis"/>
          <w:highlight w:val="green"/>
        </w:rPr>
        <w:t>set</w:t>
      </w:r>
      <w:r w:rsidRPr="003B504D">
        <w:rPr>
          <w:rStyle w:val="Emphasis"/>
        </w:rPr>
        <w:t xml:space="preserve">tler </w:t>
      </w:r>
      <w:r w:rsidRPr="003B504D">
        <w:rPr>
          <w:rStyle w:val="Emphasis"/>
          <w:highlight w:val="green"/>
        </w:rPr>
        <w:t>colo</w:t>
      </w:r>
      <w:r w:rsidRPr="003B504D">
        <w:rPr>
          <w:rStyle w:val="Emphasis"/>
        </w:rPr>
        <w:t xml:space="preserve">nialism </w:t>
      </w:r>
      <w:r w:rsidRPr="003B504D">
        <w:rPr>
          <w:rStyle w:val="Emphasis"/>
          <w:highlight w:val="green"/>
        </w:rPr>
        <w:t>is a structure</w:t>
      </w:r>
      <w:r w:rsidRPr="003B504D">
        <w:rPr>
          <w:rStyle w:val="Emphasis"/>
        </w:rPr>
        <w:t xml:space="preserve"> and </w:t>
      </w:r>
      <w:r w:rsidRPr="003B504D">
        <w:rPr>
          <w:rStyle w:val="Emphasis"/>
          <w:highlight w:val="green"/>
        </w:rPr>
        <w:t>not an event</w:t>
      </w:r>
      <w:r w:rsidRPr="003B504D">
        <w:rPr>
          <w:color w:val="000000" w:themeColor="text1"/>
          <w:sz w:val="16"/>
        </w:rPr>
        <w:t xml:space="preserve">. </w:t>
      </w:r>
      <w:r w:rsidRPr="003B504D">
        <w:rPr>
          <w:rStyle w:val="Emphasis"/>
          <w:highlight w:val="green"/>
        </w:rPr>
        <w:t>In the process of set</w:t>
      </w:r>
      <w:r w:rsidRPr="003B504D">
        <w:rPr>
          <w:rStyle w:val="Emphasis"/>
        </w:rPr>
        <w:t xml:space="preserve">tler </w:t>
      </w:r>
      <w:r w:rsidRPr="003B504D">
        <w:rPr>
          <w:rStyle w:val="Emphasis"/>
          <w:highlight w:val="green"/>
        </w:rPr>
        <w:t>col</w:t>
      </w:r>
      <w:r w:rsidRPr="003B504D">
        <w:rPr>
          <w:rStyle w:val="Emphasis"/>
        </w:rPr>
        <w:t xml:space="preserve">onialism, </w:t>
      </w:r>
      <w:r w:rsidRPr="003B504D">
        <w:rPr>
          <w:rStyle w:val="Emphasis"/>
          <w:highlight w:val="green"/>
        </w:rPr>
        <w:t>land is remade into property and human relationships to land are restricted</w:t>
      </w:r>
      <w:r w:rsidRPr="003B504D">
        <w:rPr>
          <w:rStyle w:val="Emphasis"/>
        </w:rPr>
        <w:t xml:space="preserve"> to the relationship of the owner to his property. </w:t>
      </w:r>
      <w:r w:rsidRPr="003B504D">
        <w:rPr>
          <w:rStyle w:val="Emphasis"/>
          <w:highlight w:val="green"/>
        </w:rPr>
        <w:t>Epistemological, ontological, and cosmological relationships</w:t>
      </w:r>
      <w:r w:rsidRPr="003B504D">
        <w:rPr>
          <w:rStyle w:val="Emphasis"/>
        </w:rPr>
        <w:t xml:space="preserve"> to land </w:t>
      </w:r>
      <w:r w:rsidRPr="003B504D">
        <w:rPr>
          <w:rStyle w:val="Emphasis"/>
          <w:highlight w:val="green"/>
        </w:rPr>
        <w:t>are interred</w:t>
      </w:r>
      <w:r w:rsidRPr="003B504D">
        <w:rPr>
          <w:rStyle w:val="Emphasis"/>
        </w:rPr>
        <w:t>, indeed made pre-modern and backward</w:t>
      </w:r>
      <w:r w:rsidRPr="003B504D">
        <w:rPr>
          <w:color w:val="000000" w:themeColor="text1"/>
          <w:sz w:val="16"/>
        </w:rPr>
        <w:t xml:space="preserve">. Made savage. </w:t>
      </w:r>
      <w:r w:rsidRPr="003B504D">
        <w:rPr>
          <w:rStyle w:val="Emphasis"/>
          <w:highlight w:val="green"/>
        </w:rPr>
        <w:t>In order for the settlers to make a</w:t>
      </w:r>
      <w:r w:rsidRPr="003B504D">
        <w:rPr>
          <w:rStyle w:val="Emphasis"/>
        </w:rPr>
        <w:t xml:space="preserve"> place their </w:t>
      </w:r>
      <w:r w:rsidRPr="003B504D">
        <w:rPr>
          <w:rStyle w:val="Emphasis"/>
          <w:highlight w:val="green"/>
        </w:rPr>
        <w:t>home</w:t>
      </w:r>
      <w:r w:rsidRPr="003B504D">
        <w:rPr>
          <w:rStyle w:val="Emphasis"/>
        </w:rPr>
        <w:t>, they must destroy and disappear the Indigenous peoples that live there.</w:t>
      </w:r>
      <w:r w:rsidRPr="003B504D">
        <w:rPr>
          <w:color w:val="000000" w:themeColor="text1"/>
          <w:sz w:val="16"/>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3B504D">
        <w:rPr>
          <w:rStyle w:val="Emphasis"/>
          <w:highlight w:val="green"/>
        </w:rPr>
        <w:t>Indigenous peoples must be erased</w:t>
      </w:r>
      <w:r w:rsidRPr="003B504D">
        <w:rPr>
          <w:rStyle w:val="Emphasis"/>
        </w:rPr>
        <w:t>, must be made into ghosts</w:t>
      </w:r>
      <w:r w:rsidRPr="003B504D">
        <w:rPr>
          <w:color w:val="000000" w:themeColor="text1"/>
          <w:sz w:val="16"/>
        </w:rPr>
        <w:t xml:space="preserve"> (Tuck and Ree, forthcoming). </w:t>
      </w:r>
      <w:r w:rsidRPr="003B504D">
        <w:rPr>
          <w:rStyle w:val="Emphasis"/>
        </w:rPr>
        <w:t>At the same time, settler colonialism involves the subjugation and forced labor of chattel slaves5 , whose bodies and lives become the property, and who are kept landless</w:t>
      </w:r>
      <w:r w:rsidRPr="003B504D">
        <w:rPr>
          <w:color w:val="000000" w:themeColor="text1"/>
          <w:sz w:val="16"/>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w:t>
      </w:r>
      <w:r w:rsidRPr="003B504D">
        <w:rPr>
          <w:rStyle w:val="Emphasis"/>
        </w:rPr>
        <w:t>the slave is a desirable commodity but the person underneath is imprisonable, punishable, and murderable</w:t>
      </w:r>
      <w:r w:rsidRPr="003B504D">
        <w:rPr>
          <w:color w:val="000000" w:themeColor="text1"/>
          <w:sz w:val="16"/>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3B504D">
        <w:rPr>
          <w:rStyle w:val="Emphasis"/>
          <w:highlight w:val="green"/>
        </w:rPr>
        <w:t>The settler</w:t>
      </w:r>
      <w:r w:rsidRPr="003B504D">
        <w:rPr>
          <w:rStyle w:val="Emphasis"/>
        </w:rPr>
        <w:t xml:space="preserve"> is making a new "home" and that home is rooted in a homesteading worldview where the wild land and wild people were made for his benefit. He </w:t>
      </w:r>
      <w:r w:rsidRPr="003B504D">
        <w:rPr>
          <w:rStyle w:val="Emphasis"/>
          <w:highlight w:val="green"/>
        </w:rPr>
        <w:t>can only make his identity</w:t>
      </w:r>
      <w:r w:rsidRPr="003B504D">
        <w:rPr>
          <w:rStyle w:val="Emphasis"/>
        </w:rPr>
        <w:t xml:space="preserve"> as a settler </w:t>
      </w:r>
      <w:r w:rsidRPr="003B504D">
        <w:rPr>
          <w:rStyle w:val="Emphasis"/>
          <w:highlight w:val="green"/>
        </w:rPr>
        <w:t>by making the land produce</w:t>
      </w:r>
      <w:r w:rsidRPr="003B504D">
        <w:rPr>
          <w:rStyle w:val="Emphasis"/>
        </w:rPr>
        <w:t>, and produce excessively</w:t>
      </w:r>
      <w:r w:rsidRPr="003B504D">
        <w:rPr>
          <w:color w:val="000000" w:themeColor="text1"/>
          <w:sz w:val="16"/>
        </w:rPr>
        <w:t xml:space="preserve">,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3B504D">
        <w:rPr>
          <w:rStyle w:val="Emphasis"/>
          <w:highlight w:val="green"/>
        </w:rPr>
        <w:t>The settler positions himself as</w:t>
      </w:r>
      <w:r w:rsidRPr="003B504D">
        <w:rPr>
          <w:rStyle w:val="Emphasis"/>
        </w:rPr>
        <w:t xml:space="preserve"> both </w:t>
      </w:r>
      <w:r w:rsidRPr="003B504D">
        <w:rPr>
          <w:rStyle w:val="Emphasis"/>
          <w:highlight w:val="green"/>
        </w:rPr>
        <w:t>superior and normal;</w:t>
      </w:r>
      <w:r w:rsidRPr="003B504D">
        <w:rPr>
          <w:rStyle w:val="Emphasis"/>
        </w:rPr>
        <w:t xml:space="preserve"> the settler is natural, whereas </w:t>
      </w:r>
      <w:r w:rsidRPr="003B504D">
        <w:rPr>
          <w:rStyle w:val="Emphasis"/>
          <w:highlight w:val="green"/>
        </w:rPr>
        <w:t>the Indigenous inhabitant</w:t>
      </w:r>
      <w:r w:rsidRPr="003B504D">
        <w:rPr>
          <w:rStyle w:val="Emphasis"/>
        </w:rPr>
        <w:t xml:space="preserve"> and the chattel slave </w:t>
      </w:r>
      <w:r w:rsidRPr="003B504D">
        <w:rPr>
          <w:rStyle w:val="Emphasis"/>
          <w:highlight w:val="green"/>
        </w:rPr>
        <w:t>are unnatural</w:t>
      </w:r>
      <w:r w:rsidRPr="003B504D">
        <w:rPr>
          <w:rStyle w:val="Emphasis"/>
        </w:rPr>
        <w:t xml:space="preserve">, even supernatural. </w:t>
      </w:r>
    </w:p>
    <w:p w14:paraId="3B1B107A" w14:textId="77777777" w:rsidR="001F45F7" w:rsidRPr="00596832" w:rsidRDefault="001F45F7" w:rsidP="001F45F7">
      <w:pPr>
        <w:pStyle w:val="Heading4"/>
        <w:rPr>
          <w:lang w:bidi="he-IL"/>
        </w:rPr>
      </w:pPr>
      <w:r>
        <w:rPr>
          <w:lang w:bidi="he-IL"/>
        </w:rPr>
        <w:t>Settler workers are still settlers – the 1ac grounds their politics in a defense of indigenous dispossession and necessitates settler expansion.</w:t>
      </w:r>
    </w:p>
    <w:p w14:paraId="1853E606" w14:textId="77777777" w:rsidR="001F45F7" w:rsidRPr="0078403A" w:rsidRDefault="001F45F7" w:rsidP="001F45F7">
      <w:r w:rsidRPr="0078403A">
        <w:rPr>
          <w:rStyle w:val="Style13ptBold"/>
        </w:rPr>
        <w:t>Englert 20</w:t>
      </w:r>
      <w:r>
        <w:t xml:space="preserve"> </w:t>
      </w:r>
      <w:r w:rsidRPr="0078403A">
        <w:rPr>
          <w:sz w:val="18"/>
          <w:szCs w:val="20"/>
        </w:rPr>
        <w:t xml:space="preserve">Sai Englert (lecturer @ Universiteit Leiden), 2020, “Settlers, Workers, and the Logic of Accumulation by Dispossession,” Antipode, Vol. 0, No. 0, doi:10.1111/anti.12659     </w:t>
      </w:r>
    </w:p>
    <w:p w14:paraId="65AC3584" w14:textId="77777777" w:rsidR="001F45F7" w:rsidRDefault="001F45F7" w:rsidP="001F45F7">
      <w:pPr>
        <w:spacing w:line="240" w:lineRule="auto"/>
        <w:rPr>
          <w:sz w:val="14"/>
        </w:rPr>
      </w:pPr>
      <w:r w:rsidRPr="0059747E">
        <w:rPr>
          <w:rStyle w:val="Emphasis"/>
          <w:highlight w:val="green"/>
        </w:rPr>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In fact, more often than not, </w:t>
      </w:r>
      <w:r w:rsidRPr="0059747E">
        <w:rPr>
          <w:rStyle w:val="Emphasis"/>
          <w:highlight w:val="green"/>
        </w:rPr>
        <w:t>settler labour movements fought for the intensification of settler expansion</w:t>
      </w:r>
      <w:r w:rsidRPr="001630A4">
        <w:rPr>
          <w:rStyle w:val="Emphasis"/>
        </w:rPr>
        <w:t xml:space="preserve"> and racial segregation (see “An Alternative Reading: Settler Colonies and the Exploitation of the Native” above), through colour bars, boycott campaigns and demands for expulsion</w:t>
      </w:r>
      <w:r w:rsidRPr="0059747E">
        <w:rPr>
          <w:sz w:val="14"/>
        </w:rPr>
        <w:t xml:space="preserve">. In the process, bitter confrontations emerged between settler labour and capital, when the latter attempted to increase its profit margins through the exploitation of indigenous labour—for example in the context of the white labour movements in Australia and South Africa.4 Yet these conflicts can be resolved, especially while the settler colony continues to expand, by intensifying the dispossession of indigenous populations in order to improve the material conditions of settler </w:t>
      </w:r>
      <w:r w:rsidRPr="0059747E">
        <w:rPr>
          <w:sz w:val="14"/>
        </w:rPr>
        <w:lastRenderedPageBreak/>
        <w:t xml:space="preserve">workers (see “Case Studies” below). Here, the question of accumulation by dispossession returns to the fore. </w:t>
      </w:r>
      <w:r w:rsidRPr="0059747E">
        <w:rPr>
          <w:rStyle w:val="Emphasis"/>
          <w:highlight w:val="green"/>
        </w:rPr>
        <w:t>If settler workers are exploited as workers</w:t>
      </w:r>
      <w:r w:rsidRPr="001630A4">
        <w:rPr>
          <w:rStyle w:val="Emphasis"/>
        </w:rPr>
        <w:t xml:space="preserve"> within the settler colony, </w:t>
      </w:r>
      <w:r w:rsidRPr="0059747E">
        <w:rPr>
          <w:rStyle w:val="Emphasis"/>
          <w:highlight w:val="green"/>
        </w:rPr>
        <w:t>they remain settlers</w:t>
      </w:r>
      <w:r w:rsidRPr="001630A4">
        <w:rPr>
          <w:rStyle w:val="Emphasis"/>
        </w:rPr>
        <w:t xml:space="preserve">. As such </w:t>
      </w:r>
      <w:r w:rsidRPr="0059747E">
        <w:rPr>
          <w:rStyle w:val="Emphasis"/>
          <w:highlight w:val="green"/>
        </w:rPr>
        <w:t>they participate in</w:t>
      </w:r>
      <w:r w:rsidRPr="001630A4">
        <w:rPr>
          <w:rStyle w:val="Emphasis"/>
        </w:rPr>
        <w:t xml:space="preserve"> the processes of </w:t>
      </w:r>
      <w:r w:rsidRPr="0059747E">
        <w:rPr>
          <w:rStyle w:val="Emphasis"/>
          <w:highlight w:val="green"/>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are all premised on the capture and control of indigenous land. </w:t>
      </w:r>
      <w:r w:rsidRPr="001630A4">
        <w:rPr>
          <w:rStyle w:val="Emphasis"/>
        </w:rPr>
        <w:t>Settler workers are both exploited by settler bosses and their co-conspirators in the dispossession of indigenous peoples. As such, class struggle within a settler society has a dual character: it is waged over the distribution of wealth extracted from their labour as well as over the colonial booty.</w:t>
      </w:r>
      <w:r>
        <w:rPr>
          <w:rStyle w:val="Emphasis"/>
        </w:rPr>
        <w:t xml:space="preserve"> </w:t>
      </w:r>
      <w:r w:rsidRPr="0059747E">
        <w:rPr>
          <w:sz w:val="14"/>
        </w:rPr>
        <w:t xml:space="preserve">In the case of Zionism in Palestine, the current associated with the publication Matzpen (“Compass”) developed a class analysis of Israeli society. They came to the conclusion that because the Israeli economy was heavily subsidised from the outside (first primarily by Britain, then by the US) and that this subsidy was not simply going into private hands but was used by the Labour Zionist bureaucracy to organise the development of the Israeli economy and infrastructure, class antagonisms were diverted within its society. </w:t>
      </w:r>
      <w:r w:rsidRPr="00C568EB">
        <w:rPr>
          <w:rStyle w:val="Emphasis"/>
        </w:rPr>
        <w:t xml:space="preserve">Hangebi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underplayed, however, the consequences of an important aspect of Israeli wealth creation (which Matzpen otherwise recognised): the Israeli state, its infrastructure, and its economy were </w:t>
      </w:r>
      <w:r w:rsidRPr="0059747E">
        <w:rPr>
          <w:rStyle w:val="Emphasis"/>
          <w:highlight w:val="green"/>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labour power as well as over the share each group receives from the process of accumulation by dispossession. </w:t>
      </w:r>
      <w:r w:rsidRPr="00C568EB">
        <w:rPr>
          <w:rStyle w:val="Emphasis"/>
        </w:rPr>
        <w:t xml:space="preserve">This dual class and colonial relationship helps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59747E">
        <w:rPr>
          <w:rStyle w:val="Emphasis"/>
          <w:highlight w:val="green"/>
        </w:rPr>
        <w:t>indigenous people face the settler population as a whole in</w:t>
      </w:r>
      <w:r w:rsidRPr="00C568EB">
        <w:rPr>
          <w:rStyle w:val="Emphasis"/>
        </w:rPr>
        <w:t xml:space="preserve"> their struggle for </w:t>
      </w:r>
      <w:r w:rsidRPr="0059747E">
        <w:rPr>
          <w:rStyle w:val="Emphasis"/>
          <w:highlight w:val="green"/>
        </w:rPr>
        <w:t>de-colonisation</w:t>
      </w:r>
      <w:r w:rsidRPr="00C568EB">
        <w:rPr>
          <w:rStyle w:val="Emphasis"/>
        </w:rPr>
        <w:t>.</w:t>
      </w:r>
      <w:r w:rsidRPr="0059747E">
        <w:rPr>
          <w:sz w:val="14"/>
        </w:rPr>
        <w:t xml:space="preserve"> This is not to say that individual settlers or specific settler organisations cannot or have not supported struggles for decolonisation. It is however to point out that this is not the case for the majority of the settler working class, while it continues to depend on the continued dispossession of the natives for the quality of its living standards. </w:t>
      </w:r>
      <w:r w:rsidRPr="00C568EB">
        <w:rPr>
          <w:rStyle w:val="Emphasis"/>
        </w:rPr>
        <w:t xml:space="preserve">Whether the settler colony is organised on the basis of an eliminatory or an exploitative model, what remains constant is that the entirety of the settler polity will participate in the process of accumulation by dispossession, and that the different settler classes will struggle both against the </w:t>
      </w:r>
      <w:r w:rsidRPr="00C568EB">
        <w:rPr>
          <w:rStyle w:val="Emphasis"/>
        </w:rPr>
        <w:lastRenderedPageBreak/>
        <w:t xml:space="preserve">natives to impose and maintain this dispossession, as well as amongst themselves in order to determine the nature of its internal distribution. </w:t>
      </w:r>
      <w:r w:rsidRPr="0059747E">
        <w:rPr>
          <w:sz w:val="14"/>
        </w:rPr>
        <w:t>More than that, the specific structural forms of settler rule over the indigenous population is best understood as the outcome of struggle, both between settler classes and between settlers and indigenous populations. This paper now turns to two brief case studies demonstrating this process in the context of Zionism in Palestine.</w:t>
      </w:r>
    </w:p>
    <w:p w14:paraId="1A8DF1C8" w14:textId="0BF05FFB" w:rsidR="001F45F7" w:rsidRDefault="001F45F7" w:rsidP="001F45F7">
      <w:pPr>
        <w:rPr>
          <w:sz w:val="14"/>
        </w:rPr>
      </w:pPr>
    </w:p>
    <w:p w14:paraId="1F9EE56B" w14:textId="77777777" w:rsidR="001F45F7" w:rsidRDefault="001F45F7" w:rsidP="001F45F7">
      <w:pPr>
        <w:rPr>
          <w:sz w:val="14"/>
        </w:rPr>
      </w:pPr>
    </w:p>
    <w:p w14:paraId="1C8AD8DB" w14:textId="77777777" w:rsidR="001F45F7" w:rsidRPr="003B504D" w:rsidRDefault="001F45F7" w:rsidP="001F45F7">
      <w:pPr>
        <w:pStyle w:val="Heading4"/>
        <w:rPr>
          <w:rFonts w:cs="Calibri"/>
          <w:color w:val="000000" w:themeColor="text1"/>
        </w:rPr>
      </w:pPr>
      <w:r w:rsidRPr="003B504D">
        <w:rPr>
          <w:rFonts w:cs="Calibri"/>
          <w:color w:val="000000" w:themeColor="text1"/>
        </w:rPr>
        <w:t xml:space="preserve">The alternative is one of decolonization – settlers need to enact an ethic of incommensurability to relinquish settler futurity. </w:t>
      </w:r>
    </w:p>
    <w:p w14:paraId="15AE1769" w14:textId="77777777" w:rsidR="001F45F7" w:rsidRPr="003B504D" w:rsidRDefault="001F45F7" w:rsidP="001F45F7">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 // SJ DL</w:t>
      </w:r>
    </w:p>
    <w:p w14:paraId="52C4E66B" w14:textId="77777777" w:rsidR="001F45F7" w:rsidRPr="002A0E4C" w:rsidRDefault="001F45F7" w:rsidP="001F45F7">
      <w:pPr>
        <w:spacing w:line="240" w:lineRule="auto"/>
        <w:rPr>
          <w:b/>
          <w:u w:val="single"/>
        </w:rPr>
      </w:pPr>
      <w:r w:rsidRPr="003B504D">
        <w:rPr>
          <w:rStyle w:val="Emphasis"/>
          <w:highlight w:val="green"/>
        </w:rPr>
        <w:t>An ethic of incommensurability</w:t>
      </w:r>
      <w:r w:rsidRPr="003B504D">
        <w:rPr>
          <w:rStyle w:val="Emphasis"/>
        </w:rPr>
        <w:t xml:space="preserve">, which guides moves that unsettle innocence, </w:t>
      </w:r>
      <w:r w:rsidRPr="003B504D">
        <w:rPr>
          <w:rStyle w:val="Emphasis"/>
          <w:highlight w:val="green"/>
        </w:rPr>
        <w:t>stands in contrast to</w:t>
      </w:r>
      <w:r w:rsidRPr="003B504D">
        <w:rPr>
          <w:rStyle w:val="Emphasis"/>
        </w:rPr>
        <w:t xml:space="preserve"> aims of </w:t>
      </w:r>
      <w:r w:rsidRPr="003B504D">
        <w:rPr>
          <w:rStyle w:val="Emphasis"/>
          <w:highlight w:val="green"/>
        </w:rPr>
        <w:t xml:space="preserve">reconciliation, </w:t>
      </w:r>
      <w:r w:rsidRPr="003B504D">
        <w:rPr>
          <w:rStyle w:val="Emphasis"/>
        </w:rPr>
        <w:t>which motivate settler moves to innocence. Reconciliation is about rescuing settler normalcy</w:t>
      </w:r>
      <w:r w:rsidRPr="003B504D">
        <w:rPr>
          <w:rStyle w:val="StyleUnderline"/>
        </w:rPr>
        <w:t>,</w:t>
      </w:r>
      <w:r w:rsidRPr="003B504D">
        <w:rPr>
          <w:sz w:val="14"/>
        </w:rPr>
        <w:t xml:space="preserve"> about rescuing a settler future. </w:t>
      </w:r>
      <w:r w:rsidRPr="003B504D">
        <w:rPr>
          <w:rStyle w:val="Emphasis"/>
        </w:rPr>
        <w:t xml:space="preserve">Reconciliation is concerned with questions of what will decolonization look like? </w:t>
      </w:r>
      <w:r w:rsidRPr="003B504D">
        <w:rPr>
          <w:rStyle w:val="Emphasis"/>
          <w:highlight w:val="green"/>
        </w:rPr>
        <w:t>What will happen after</w:t>
      </w:r>
      <w:r w:rsidRPr="003B504D">
        <w:rPr>
          <w:rStyle w:val="Emphasis"/>
        </w:rPr>
        <w:t xml:space="preserve"> abolition? What will be the consequences of decolonization for the settler? Incommensurability acknowledges that </w:t>
      </w:r>
      <w:r w:rsidRPr="003B504D">
        <w:rPr>
          <w:rStyle w:val="Emphasis"/>
          <w:highlight w:val="green"/>
        </w:rPr>
        <w:t>these questions need not</w:t>
      </w:r>
      <w:r w:rsidRPr="003B504D">
        <w:rPr>
          <w:rStyle w:val="Emphasis"/>
        </w:rPr>
        <w:t xml:space="preserve">, and perhaps cannot, </w:t>
      </w:r>
      <w:r w:rsidRPr="003B504D">
        <w:rPr>
          <w:rStyle w:val="Emphasis"/>
          <w:highlight w:val="green"/>
        </w:rPr>
        <w:t>be answered</w:t>
      </w:r>
      <w:r w:rsidRPr="003B504D">
        <w:rPr>
          <w:rStyle w:val="Emphasis"/>
        </w:rPr>
        <w:t xml:space="preserve"> in order </w:t>
      </w:r>
      <w:r w:rsidRPr="003B504D">
        <w:rPr>
          <w:rStyle w:val="Emphasis"/>
          <w:highlight w:val="green"/>
        </w:rPr>
        <w:t xml:space="preserve">for decolonization to exist </w:t>
      </w:r>
      <w:r w:rsidRPr="003B504D">
        <w:rPr>
          <w:rStyle w:val="Emphasis"/>
        </w:rPr>
        <w:t xml:space="preserve">as a framework. We want to say, first, that </w:t>
      </w:r>
      <w:r w:rsidRPr="003B504D">
        <w:rPr>
          <w:rStyle w:val="Emphasis"/>
          <w:highlight w:val="green"/>
        </w:rPr>
        <w:t xml:space="preserve">decolonization is </w:t>
      </w:r>
      <w:r w:rsidRPr="003B504D">
        <w:rPr>
          <w:rStyle w:val="Emphasis"/>
        </w:rPr>
        <w:t xml:space="preserve">not obliged to answer those questions - decolonization is </w:t>
      </w:r>
      <w:r w:rsidRPr="003B504D">
        <w:rPr>
          <w:rStyle w:val="Emphasis"/>
          <w:highlight w:val="green"/>
        </w:rPr>
        <w:t xml:space="preserve">not accountable to </w:t>
      </w:r>
      <w:r w:rsidRPr="003B504D">
        <w:rPr>
          <w:rStyle w:val="Emphasis"/>
        </w:rPr>
        <w:t xml:space="preserve">settlers, or </w:t>
      </w:r>
      <w:r w:rsidRPr="003B504D">
        <w:rPr>
          <w:rStyle w:val="Emphasis"/>
          <w:highlight w:val="green"/>
        </w:rPr>
        <w:t xml:space="preserve">settler futurity. </w:t>
      </w:r>
      <w:r w:rsidRPr="003B504D">
        <w:rPr>
          <w:rStyle w:val="Emphasis"/>
        </w:rPr>
        <w:t xml:space="preserve">Decolonization is accountable to Indigenous sovereignty and futurity. </w:t>
      </w:r>
      <w:r w:rsidRPr="003B504D">
        <w:rPr>
          <w:sz w:val="14"/>
        </w:rPr>
        <w:t xml:space="preserve">Still, we acknowledge the questions of those wary participants in Occupy Oakland and other settlers who want to know what decolonization will require of them. </w:t>
      </w:r>
      <w:r w:rsidRPr="003B504D">
        <w:rPr>
          <w:rStyle w:val="Emphasis"/>
        </w:rPr>
        <w:t>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w:t>
      </w:r>
      <w:r w:rsidRPr="003B504D">
        <w:rPr>
          <w:b/>
          <w:bCs/>
          <w:sz w:val="14"/>
        </w:rPr>
        <w:t xml:space="preserve"> </w:t>
      </w:r>
      <w:r w:rsidRPr="003B504D">
        <w:rPr>
          <w:sz w:val="14"/>
        </w:rPr>
        <w:t xml:space="preserve">But </w:t>
      </w:r>
      <w:r w:rsidRPr="003B504D">
        <w:rPr>
          <w:rStyle w:val="Emphasis"/>
        </w:rPr>
        <w:t>we will find out the answers as we get there</w:t>
      </w:r>
      <w:r w:rsidRPr="003B504D">
        <w:rPr>
          <w:sz w:val="14"/>
        </w:rPr>
        <w:t xml:space="preserve">, “in the exact measure that we can discern the movements which give [decolonization] historical form and content” (Fanon, 1963, p. 36). </w:t>
      </w:r>
      <w:r w:rsidRPr="003B504D">
        <w:rPr>
          <w:rStyle w:val="Emphasis"/>
        </w:rPr>
        <w:t>To fully enact an ethic of incommensurability means relinquishing settler futurity, abandoning the hope that settlers may one day be commensurable to Native peoples</w:t>
      </w:r>
      <w:r w:rsidRPr="003B504D">
        <w:rPr>
          <w:rStyle w:val="StyleUnderline"/>
        </w:rPr>
        <w:t>.</w:t>
      </w:r>
      <w:r w:rsidRPr="003B504D">
        <w:rPr>
          <w:sz w:val="14"/>
        </w:rPr>
        <w:t xml:space="preserve"> It means</w:t>
      </w:r>
      <w:r w:rsidRPr="003B504D">
        <w:rPr>
          <w:b/>
          <w:bCs/>
          <w:sz w:val="14"/>
        </w:rPr>
        <w:t xml:space="preserve"> </w:t>
      </w:r>
      <w:r w:rsidRPr="003B504D">
        <w:rPr>
          <w:rStyle w:val="Emphasis"/>
        </w:rPr>
        <w:t xml:space="preserve">removing the asterisks, periods, commas, apostrophes, the whereas’s, buts, and conditional clauses that punctuate decolonization and underwrite settler innocence. The </w:t>
      </w:r>
      <w:r w:rsidRPr="003B504D">
        <w:rPr>
          <w:rStyle w:val="Emphasis"/>
          <w:highlight w:val="green"/>
        </w:rPr>
        <w:t>Native futures</w:t>
      </w:r>
      <w:r w:rsidRPr="003B504D">
        <w:rPr>
          <w:rStyle w:val="Emphasis"/>
        </w:rPr>
        <w:t xml:space="preserve">, the lives to be lived </w:t>
      </w:r>
      <w:r w:rsidRPr="003B504D">
        <w:rPr>
          <w:rStyle w:val="Emphasis"/>
          <w:highlight w:val="green"/>
        </w:rPr>
        <w:t xml:space="preserve">once the settler </w:t>
      </w:r>
      <w:r w:rsidRPr="003B504D">
        <w:rPr>
          <w:rStyle w:val="Emphasis"/>
        </w:rPr>
        <w:t xml:space="preserve">nation </w:t>
      </w:r>
      <w:r w:rsidRPr="003B504D">
        <w:rPr>
          <w:rStyle w:val="Emphasis"/>
          <w:highlight w:val="green"/>
        </w:rPr>
        <w:t>is gone</w:t>
      </w:r>
      <w:r w:rsidRPr="003B504D">
        <w:rPr>
          <w:rStyle w:val="Emphasis"/>
        </w:rPr>
        <w:t xml:space="preserve"> - these </w:t>
      </w:r>
      <w:r w:rsidRPr="003B504D">
        <w:rPr>
          <w:rStyle w:val="Emphasis"/>
          <w:highlight w:val="green"/>
        </w:rPr>
        <w:t>are</w:t>
      </w:r>
      <w:r w:rsidRPr="003B504D">
        <w:rPr>
          <w:rStyle w:val="Emphasis"/>
        </w:rPr>
        <w:t xml:space="preserve"> the </w:t>
      </w:r>
      <w:r w:rsidRPr="003B504D">
        <w:rPr>
          <w:rStyle w:val="Emphasis"/>
          <w:highlight w:val="green"/>
        </w:rPr>
        <w:t xml:space="preserve">unwritten possibilities </w:t>
      </w:r>
      <w:r w:rsidRPr="003B504D">
        <w:rPr>
          <w:rStyle w:val="Emphasis"/>
        </w:rPr>
        <w:t>made possible by an ethic of incommensurability.</w:t>
      </w:r>
      <w:r w:rsidRPr="003B504D">
        <w:rPr>
          <w:rStyle w:val="StyleUnderline"/>
        </w:rPr>
        <w:t xml:space="preserve"> </w:t>
      </w:r>
    </w:p>
    <w:p w14:paraId="234A477E" w14:textId="77777777" w:rsidR="001F45F7" w:rsidRPr="001F45F7" w:rsidRDefault="001F45F7" w:rsidP="001F45F7"/>
    <w:p w14:paraId="081A1C29" w14:textId="2444791C" w:rsidR="00B938A8" w:rsidRPr="00103B4D" w:rsidRDefault="00B938A8" w:rsidP="00B938A8">
      <w:pPr>
        <w:pStyle w:val="Heading2"/>
        <w:rPr>
          <w:u w:val="single"/>
        </w:rPr>
      </w:pPr>
      <w:r>
        <w:rPr>
          <w:u w:val="single"/>
        </w:rPr>
        <w:lastRenderedPageBreak/>
        <w:t xml:space="preserve">Th </w:t>
      </w:r>
    </w:p>
    <w:p w14:paraId="6CB6FC0D" w14:textId="363D3B1E" w:rsidR="00B938A8" w:rsidRDefault="00B938A8" w:rsidP="00B938A8">
      <w:pPr>
        <w:pStyle w:val="Heading4"/>
      </w:pPr>
      <w:r>
        <w:t>Interpretation: The affirmative</w:t>
      </w:r>
      <w:r w:rsidRPr="00CB59CF">
        <w:rPr>
          <w:rFonts w:cs="Calibri"/>
        </w:rPr>
        <w:t xml:space="preserve"> </w:t>
      </w:r>
      <w:r w:rsidRPr="003C4FD4">
        <w:rPr>
          <w:rFonts w:cs="Calibri"/>
        </w:rPr>
        <w:t>debater</w:t>
      </w:r>
      <w:r>
        <w:t xml:space="preserve"> must specify the type of strike</w:t>
      </w:r>
      <w:r w:rsidR="00E25385">
        <w:t>s they defend</w:t>
      </w:r>
      <w:r>
        <w:t xml:space="preserve"> </w:t>
      </w:r>
      <w:r w:rsidRPr="003C4FD4">
        <w:rPr>
          <w:rFonts w:cs="Calibri"/>
        </w:rPr>
        <w:t>in a delineated text in the 1AC.</w:t>
      </w:r>
    </w:p>
    <w:p w14:paraId="42F0708A" w14:textId="78E7B37A" w:rsidR="00B938A8" w:rsidRDefault="00B938A8" w:rsidP="00B938A8">
      <w:pPr>
        <w:pStyle w:val="Heading4"/>
      </w:pPr>
      <w:r>
        <w:t xml:space="preserve">Violation: </w:t>
      </w:r>
      <w:r w:rsidR="00E84149">
        <w:t xml:space="preserve">they didn’t </w:t>
      </w:r>
    </w:p>
    <w:p w14:paraId="1D1A34AD" w14:textId="77777777" w:rsidR="00B938A8" w:rsidRDefault="00B938A8" w:rsidP="00B938A8">
      <w:pPr>
        <w:pStyle w:val="Heading4"/>
      </w:pPr>
      <w:r>
        <w:t xml:space="preserve">Standards – </w:t>
      </w:r>
    </w:p>
    <w:p w14:paraId="1163A2D3" w14:textId="77777777" w:rsidR="00B938A8" w:rsidRPr="00AB2C97" w:rsidRDefault="00B938A8" w:rsidP="00B938A8">
      <w:pPr>
        <w:pStyle w:val="Heading4"/>
      </w:pPr>
      <w:r>
        <w:t>1] Topic lit – strikes are the core question of the topic and there’s no consensus on normal means so you must spec.</w:t>
      </w:r>
    </w:p>
    <w:p w14:paraId="366A2131" w14:textId="77777777" w:rsidR="00B938A8" w:rsidRDefault="00B938A8" w:rsidP="00B938A8">
      <w:pPr>
        <w:rPr>
          <w:rStyle w:val="Style13ptBold"/>
        </w:rPr>
      </w:pPr>
      <w:r>
        <w:rPr>
          <w:rStyle w:val="Style13ptBold"/>
        </w:rPr>
        <w:t>Law Library</w:t>
      </w:r>
    </w:p>
    <w:p w14:paraId="2088128B" w14:textId="77777777" w:rsidR="00B938A8" w:rsidRPr="00EC05A0" w:rsidRDefault="00B938A8" w:rsidP="00B938A8">
      <w:pPr>
        <w:rPr>
          <w:sz w:val="16"/>
          <w:szCs w:val="16"/>
        </w:rPr>
      </w:pPr>
      <w:r w:rsidRPr="00EC05A0">
        <w:rPr>
          <w:sz w:val="16"/>
          <w:szCs w:val="16"/>
        </w:rPr>
        <w:t xml:space="preserve">[“Strike”, N.D., </w:t>
      </w:r>
      <w:hyperlink r:id="rId9" w:history="1">
        <w:r w:rsidRPr="00EC05A0">
          <w:rPr>
            <w:sz w:val="16"/>
            <w:szCs w:val="16"/>
          </w:rPr>
          <w:t>https://law.jrank.org/pages/10554/Strike-Status.html</w:t>
        </w:r>
      </w:hyperlink>
      <w:r w:rsidRPr="00EC05A0">
        <w:rPr>
          <w:sz w:val="16"/>
          <w:szCs w:val="16"/>
        </w:rPr>
        <w:t>,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Wade and many others.</w:t>
      </w:r>
      <w:r>
        <w:rPr>
          <w:sz w:val="16"/>
          <w:szCs w:val="16"/>
        </w:rPr>
        <w:t xml:space="preserve"> </w:t>
      </w:r>
      <w:r w:rsidRPr="00EC05A0">
        <w:rPr>
          <w:sz w:val="16"/>
          <w:szCs w:val="16"/>
        </w:rPr>
        <w:t>All of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JRank Articles </w:t>
      </w:r>
      <w:hyperlink r:id="rId10" w:anchor="ixzz6yOIvCHj7" w:history="1">
        <w:r w:rsidRPr="00EC05A0">
          <w:rPr>
            <w:sz w:val="16"/>
            <w:szCs w:val="16"/>
          </w:rPr>
          <w:t>https://law.jrank.org/#ixzz6yOIvCHj7</w:t>
        </w:r>
      </w:hyperlink>
      <w:r w:rsidRPr="00EC05A0">
        <w:rPr>
          <w:sz w:val="16"/>
          <w:szCs w:val="16"/>
        </w:rPr>
        <w:t>] [SS]</w:t>
      </w:r>
    </w:p>
    <w:p w14:paraId="1F3C2BC0" w14:textId="77777777" w:rsidR="00B938A8" w:rsidRPr="00D96A9A" w:rsidRDefault="00B938A8" w:rsidP="00B938A8">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planned in advance and kept secret. If the employees' conduct is an irresponsible or indefensible method of accomplishing their goals, a walkout is illegal. In other situations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r w:rsidRPr="007C1950">
        <w:rPr>
          <w:b/>
          <w:highlight w:val="green"/>
          <w:u w:val="single"/>
        </w:rPr>
        <w:t>Sitdown strike</w:t>
      </w:r>
      <w:r w:rsidRPr="007C1950">
        <w:rPr>
          <w:sz w:val="14"/>
          <w:highlight w:val="green"/>
        </w:rPr>
        <w:t xml:space="preserve"> </w:t>
      </w:r>
      <w:r w:rsidRPr="00D96A9A">
        <w:rPr>
          <w:sz w:val="14"/>
        </w:rPr>
        <w:t xml:space="preserve">A strike in which employees stop working and refuse to leave the employer's premises. Sitdown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626722A4" w14:textId="77777777" w:rsidR="00B938A8" w:rsidRPr="00F85AB5" w:rsidRDefault="00B938A8" w:rsidP="00B938A8"/>
    <w:p w14:paraId="29A8C8C4" w14:textId="796D9F7C" w:rsidR="00B938A8" w:rsidRDefault="00B938A8" w:rsidP="00B938A8">
      <w:pPr>
        <w:pStyle w:val="Heading4"/>
        <w:rPr>
          <w:rStyle w:val="Style13ptBold"/>
          <w:rFonts w:cs="Calibri"/>
          <w:b/>
        </w:rPr>
      </w:pPr>
      <w:r w:rsidRPr="003C4FD4">
        <w:rPr>
          <w:rStyle w:val="Style13ptBold"/>
          <w:rFonts w:cs="Calibri"/>
          <w:b/>
        </w:rPr>
        <w:t>This acts as a resolvability standard. Debate must make sense and be comparable for the judge to decide which means it’s an independent voter and outweighs.</w:t>
      </w:r>
    </w:p>
    <w:p w14:paraId="7D8C5519" w14:textId="77777777" w:rsidR="0092688D" w:rsidRPr="0092688D" w:rsidRDefault="0092688D" w:rsidP="0092688D"/>
    <w:p w14:paraId="1ED35C58" w14:textId="312531D2" w:rsidR="00B938A8" w:rsidRDefault="009702EA" w:rsidP="00B938A8">
      <w:pPr>
        <w:pStyle w:val="Heading4"/>
        <w:rPr>
          <w:rFonts w:cs="Calibri"/>
        </w:rPr>
      </w:pPr>
      <w:r>
        <w:rPr>
          <w:rFonts w:cs="Calibri"/>
        </w:rPr>
        <w:t xml:space="preserve">2] </w:t>
      </w:r>
      <w:r w:rsidR="00B938A8" w:rsidRPr="003C4FD4">
        <w:rPr>
          <w:rFonts w:cs="Calibri"/>
          <w:color w:val="000000" w:themeColor="text1"/>
        </w:rPr>
        <w:t xml:space="preserve">Prep skew – I don’t know what they will be willing to clarify until CX which means I could go 6 minutes planning to read a disad and then get screwed over in CX when they spec </w:t>
      </w:r>
      <w:r w:rsidR="00B938A8">
        <w:rPr>
          <w:rFonts w:cs="Calibri"/>
          <w:color w:val="000000" w:themeColor="text1"/>
        </w:rPr>
        <w:t xml:space="preserve">a different </w:t>
      </w:r>
      <w:r w:rsidR="00637E47">
        <w:rPr>
          <w:rFonts w:cs="Calibri"/>
          <w:color w:val="000000" w:themeColor="text1"/>
        </w:rPr>
        <w:t>type of strike</w:t>
      </w:r>
      <w:r w:rsidR="00B938A8" w:rsidRPr="003C4FD4">
        <w:rPr>
          <w:rFonts w:cs="Calibri"/>
          <w:color w:val="000000" w:themeColor="text1"/>
        </w:rPr>
        <w:t>. This means that CX can’t check because the time in between is when I should be formulating my strat and waiting until then is the abuse. Key fairness because I won’t be able to use the strat I formulated if you skewed my prep and will have a time disadvantage</w:t>
      </w:r>
      <w:r w:rsidR="00B938A8" w:rsidRPr="003C4FD4">
        <w:rPr>
          <w:rFonts w:cs="Calibri"/>
        </w:rPr>
        <w:t xml:space="preserve"> </w:t>
      </w:r>
    </w:p>
    <w:p w14:paraId="34493208" w14:textId="4E4EC8B4" w:rsidR="00E42E4C" w:rsidRDefault="00E42E4C" w:rsidP="00F601E6"/>
    <w:p w14:paraId="3F76886B" w14:textId="21E2D647" w:rsidR="002D363C" w:rsidRDefault="002D363C" w:rsidP="002D363C">
      <w:pPr>
        <w:pStyle w:val="Heading4"/>
      </w:pPr>
      <w:r>
        <w:lastRenderedPageBreak/>
        <w:t xml:space="preserve">Fairness – </w:t>
      </w:r>
    </w:p>
    <w:p w14:paraId="1D7E3399" w14:textId="6EF7477F" w:rsidR="002D363C" w:rsidRDefault="002D363C" w:rsidP="002D363C">
      <w:pPr>
        <w:pStyle w:val="Heading4"/>
      </w:pPr>
      <w:r>
        <w:t xml:space="preserve">DTD – </w:t>
      </w:r>
    </w:p>
    <w:p w14:paraId="64195E75" w14:textId="4F9D00C3" w:rsidR="002D363C" w:rsidRDefault="002D363C" w:rsidP="002D363C">
      <w:pPr>
        <w:pStyle w:val="Heading4"/>
      </w:pPr>
      <w:r>
        <w:t xml:space="preserve">No RVI’s – </w:t>
      </w:r>
    </w:p>
    <w:p w14:paraId="243F2115" w14:textId="3B6758E4" w:rsidR="002D363C" w:rsidRDefault="002D363C" w:rsidP="002D363C"/>
    <w:p w14:paraId="06C9FE05" w14:textId="00421E47" w:rsidR="00246984" w:rsidRDefault="00246984" w:rsidP="00246984">
      <w:pPr>
        <w:pStyle w:val="Heading2"/>
        <w:rPr>
          <w:u w:val="single"/>
        </w:rPr>
      </w:pPr>
      <w:r>
        <w:rPr>
          <w:u w:val="single"/>
        </w:rPr>
        <w:lastRenderedPageBreak/>
        <w:t xml:space="preserve">Case </w:t>
      </w:r>
    </w:p>
    <w:p w14:paraId="5037C9FB" w14:textId="2EA2BCE6" w:rsidR="0079397E" w:rsidRDefault="0079397E" w:rsidP="0079397E">
      <w:pPr>
        <w:pStyle w:val="Heading4"/>
      </w:pPr>
      <w:r>
        <w:t>1AR theory is skewed towards the aff which means err neg – A] the 2NR must cover substance and over-cover theory cause of 7-6, 2 speech aff advantage and they get the collapse and persuasiveness advantage of a 3-minute 2AR B] their responses to my counter interp will be new, which means 1AR theory necessitates intervention. Implications – A</w:t>
      </w:r>
      <w:r>
        <w:t xml:space="preserve">] </w:t>
      </w:r>
      <w:r>
        <w:t xml:space="preserve">dropping the argument minimizes the chance the round is decided unfairly </w:t>
      </w:r>
      <w:r>
        <w:t>B</w:t>
      </w:r>
      <w:r>
        <w:t>] if intervention will happen on theory debates, then judges should intervene in a way that decreases the asinine nature of LD theory</w:t>
      </w:r>
    </w:p>
    <w:p w14:paraId="34358053" w14:textId="72C348B8" w:rsidR="00D551A2" w:rsidRDefault="00D551A2" w:rsidP="00D551A2"/>
    <w:p w14:paraId="109970F7" w14:textId="77777777" w:rsidR="00E25385" w:rsidRPr="006A3EA8" w:rsidRDefault="00E25385" w:rsidP="00E25385"/>
    <w:p w14:paraId="11FD014D" w14:textId="38C986B2" w:rsidR="000268DD" w:rsidRPr="00E32D12" w:rsidRDefault="000268DD" w:rsidP="000268DD">
      <w:pPr>
        <w:pStyle w:val="Heading4"/>
        <w:spacing w:line="360" w:lineRule="auto"/>
        <w:rPr>
          <w:rFonts w:cs="Times New Roman"/>
          <w:color w:val="000000" w:themeColor="text1"/>
        </w:rPr>
      </w:pPr>
      <w:r>
        <w:rPr>
          <w:rFonts w:cs="Times New Roman"/>
          <w:color w:val="000000" w:themeColor="text1"/>
        </w:rPr>
        <w:t>[</w:t>
      </w:r>
      <w:r w:rsidRPr="00E32D12">
        <w:rPr>
          <w:rFonts w:cs="Times New Roman"/>
          <w:color w:val="000000" w:themeColor="text1"/>
        </w:rPr>
        <w:t xml:space="preserve">Parfit] </w:t>
      </w:r>
      <w:r w:rsidRPr="00E32D12">
        <w:rPr>
          <w:rFonts w:cs="Times New Roman"/>
          <w:b w:val="0"/>
          <w:bCs w:val="0"/>
          <w:color w:val="000000" w:themeColor="text1"/>
        </w:rPr>
        <w:t>Universalizing principles fails because of the rarity objection.</w:t>
      </w:r>
      <w:r w:rsidRPr="00E32D12">
        <w:rPr>
          <w:rFonts w:cs="Times New Roman"/>
          <w:color w:val="000000" w:themeColor="text1"/>
        </w:rPr>
        <w:t xml:space="preserve"> </w:t>
      </w:r>
    </w:p>
    <w:p w14:paraId="32279461" w14:textId="77777777" w:rsidR="000268DD" w:rsidRPr="007144BA" w:rsidRDefault="000268DD" w:rsidP="000268DD">
      <w:pPr>
        <w:rPr>
          <w:color w:val="000000" w:themeColor="text1"/>
          <w:sz w:val="16"/>
        </w:rPr>
      </w:pPr>
      <w:r w:rsidRPr="00DE25F7">
        <w:rPr>
          <w:color w:val="000000" w:themeColor="text1"/>
          <w:sz w:val="16"/>
        </w:rPr>
        <w:t xml:space="preserve">Derek </w:t>
      </w:r>
      <w:r w:rsidRPr="00DE25F7">
        <w:rPr>
          <w:rStyle w:val="StyleUnderline"/>
          <w:color w:val="000000" w:themeColor="text1"/>
        </w:rPr>
        <w:t>Parfit 11</w:t>
      </w:r>
      <w:r w:rsidRPr="00DE25F7">
        <w:rPr>
          <w:color w:val="000000" w:themeColor="text1"/>
          <w:sz w:val="16"/>
        </w:rPr>
        <w:t xml:space="preserve"> [Oxford], On What Matters (June 11, 2011 version), 241-242.</w:t>
      </w:r>
    </w:p>
    <w:p w14:paraId="337429ED" w14:textId="77777777" w:rsidR="000268DD" w:rsidRDefault="000268DD" w:rsidP="000268DD">
      <w:pPr>
        <w:spacing w:line="360" w:lineRule="auto"/>
        <w:jc w:val="both"/>
        <w:rPr>
          <w:rFonts w:cs="Arial"/>
          <w:color w:val="000000" w:themeColor="text1"/>
          <w:sz w:val="16"/>
        </w:rPr>
      </w:pPr>
      <w:r w:rsidRPr="00B442B7">
        <w:rPr>
          <w:rFonts w:cs="Arial"/>
          <w:b/>
          <w:color w:val="000000" w:themeColor="text1"/>
          <w:highlight w:val="yellow"/>
          <w:u w:val="single"/>
        </w:rPr>
        <w:t>Suppose</w:t>
      </w:r>
      <w:r w:rsidRPr="007144BA">
        <w:rPr>
          <w:rFonts w:cs="Arial"/>
          <w:b/>
          <w:color w:val="000000" w:themeColor="text1"/>
          <w:u w:val="single"/>
        </w:rPr>
        <w:t xml:space="preserve"> that </w:t>
      </w:r>
      <w:r w:rsidRPr="00B442B7">
        <w:rPr>
          <w:rFonts w:cs="Arial"/>
          <w:b/>
          <w:color w:val="000000" w:themeColor="text1"/>
          <w:highlight w:val="yellow"/>
          <w:u w:val="single"/>
        </w:rPr>
        <w:t>I</w:t>
      </w:r>
      <w:r w:rsidRPr="007144BA">
        <w:rPr>
          <w:rFonts w:cs="Arial"/>
          <w:b/>
          <w:color w:val="000000" w:themeColor="text1"/>
          <w:u w:val="single"/>
        </w:rPr>
        <w:t xml:space="preserve"> wrongly </w:t>
      </w:r>
      <w:r w:rsidRPr="00B442B7">
        <w:rPr>
          <w:rFonts w:cs="Arial"/>
          <w:b/>
          <w:color w:val="000000" w:themeColor="text1"/>
          <w:highlight w:val="yellow"/>
          <w:u w:val="single"/>
        </w:rPr>
        <w:t>steal some wallet from some woman dressed in white</w:t>
      </w:r>
      <w:r w:rsidRPr="007144BA">
        <w:rPr>
          <w:rFonts w:cs="Arial"/>
          <w:b/>
          <w:color w:val="000000" w:themeColor="text1"/>
          <w:u w:val="single"/>
        </w:rPr>
        <w:t xml:space="preserve"> who is </w:t>
      </w:r>
      <w:r w:rsidRPr="00B442B7">
        <w:rPr>
          <w:rFonts w:cs="Arial"/>
          <w:b/>
          <w:color w:val="000000" w:themeColor="text1"/>
          <w:highlight w:val="yellow"/>
          <w:u w:val="single"/>
        </w:rPr>
        <w:t xml:space="preserve">eating strawberries </w:t>
      </w:r>
      <w:r w:rsidRPr="006300FD">
        <w:rPr>
          <w:rFonts w:cs="Arial"/>
          <w:b/>
          <w:color w:val="000000" w:themeColor="text1"/>
          <w:u w:val="single"/>
        </w:rPr>
        <w:t xml:space="preserve">while </w:t>
      </w:r>
      <w:r w:rsidRPr="00B442B7">
        <w:rPr>
          <w:rFonts w:cs="Arial"/>
          <w:b/>
          <w:color w:val="000000" w:themeColor="text1"/>
          <w:highlight w:val="yellow"/>
          <w:u w:val="single"/>
        </w:rPr>
        <w:t xml:space="preserve">reading the last page of </w:t>
      </w:r>
      <w:r w:rsidRPr="006300FD">
        <w:rPr>
          <w:rFonts w:cs="Arial"/>
          <w:b/>
          <w:color w:val="000000" w:themeColor="text1"/>
          <w:u w:val="single"/>
        </w:rPr>
        <w:t xml:space="preserve">Spinoza’s </w:t>
      </w:r>
      <w:r w:rsidRPr="00B442B7">
        <w:rPr>
          <w:rFonts w:cs="Arial"/>
          <w:b/>
          <w:i/>
          <w:iCs/>
          <w:color w:val="000000" w:themeColor="text1"/>
          <w:highlight w:val="yellow"/>
          <w:u w:val="single"/>
        </w:rPr>
        <w:t>Ethics</w:t>
      </w:r>
      <w:r w:rsidRPr="00B442B7">
        <w:rPr>
          <w:rFonts w:cs="Arial"/>
          <w:b/>
          <w:color w:val="000000" w:themeColor="text1"/>
          <w:highlight w:val="yellow"/>
          <w:u w:val="single"/>
        </w:rPr>
        <w:t>.</w:t>
      </w:r>
      <w:r w:rsidRPr="007144BA">
        <w:rPr>
          <w:rFonts w:cs="Arial"/>
          <w:b/>
          <w:color w:val="000000" w:themeColor="text1"/>
          <w:u w:val="single"/>
        </w:rPr>
        <w:t xml:space="preserve"> </w:t>
      </w:r>
      <w:r w:rsidRPr="007144BA">
        <w:rPr>
          <w:rFonts w:cs="Arial"/>
          <w:color w:val="000000" w:themeColor="text1"/>
          <w:sz w:val="16"/>
        </w:rPr>
        <w:t>My maxim is to act in precisely this way, whenever I can.</w:t>
      </w:r>
      <w:r w:rsidRPr="007144BA">
        <w:rPr>
          <w:rFonts w:cs="Arial"/>
          <w:b/>
          <w:color w:val="000000" w:themeColor="text1"/>
          <w:u w:val="single"/>
        </w:rPr>
        <w:t xml:space="preserve"> </w:t>
      </w:r>
      <w:r w:rsidRPr="00B442B7">
        <w:rPr>
          <w:rFonts w:cs="Arial"/>
          <w:b/>
          <w:color w:val="000000" w:themeColor="text1"/>
          <w:highlight w:val="yellow"/>
          <w:u w:val="single"/>
        </w:rPr>
        <w:t>I could rationally will</w:t>
      </w:r>
      <w:r w:rsidRPr="006300FD">
        <w:rPr>
          <w:rFonts w:cs="Arial"/>
          <w:b/>
          <w:color w:val="000000" w:themeColor="text1"/>
          <w:u w:val="single"/>
        </w:rPr>
        <w:t xml:space="preserve"> it to be true that </w:t>
      </w:r>
      <w:r w:rsidRPr="00B442B7">
        <w:rPr>
          <w:rFonts w:cs="Arial"/>
          <w:b/>
          <w:color w:val="000000" w:themeColor="text1"/>
          <w:highlight w:val="yellow"/>
          <w:u w:val="single"/>
        </w:rPr>
        <w:t>this maxim</w:t>
      </w:r>
      <w:r w:rsidRPr="006300FD">
        <w:rPr>
          <w:rFonts w:cs="Arial"/>
          <w:b/>
          <w:color w:val="000000" w:themeColor="text1"/>
          <w:u w:val="single"/>
        </w:rPr>
        <w:t xml:space="preserve"> is </w:t>
      </w:r>
      <w:r w:rsidRPr="00B442B7">
        <w:rPr>
          <w:rFonts w:cs="Arial"/>
          <w:b/>
          <w:color w:val="000000" w:themeColor="text1"/>
          <w:highlight w:val="yellow"/>
          <w:u w:val="single"/>
        </w:rPr>
        <w:t>universal, because it would be most unlikely that anyone else would ever be able to act in precisely this way</w:t>
      </w:r>
      <w:r w:rsidRPr="007144BA">
        <w:rPr>
          <w:rFonts w:cs="Arial"/>
          <w:b/>
          <w:color w:val="000000" w:themeColor="text1"/>
          <w:u w:val="single"/>
        </w:rPr>
        <w:t xml:space="preserve">, so this maxim’s being universal would be most unlikely to make any difference. </w:t>
      </w:r>
      <w:r w:rsidRPr="007144BA">
        <w:rPr>
          <w:rFonts w:cs="Arial"/>
          <w:color w:val="000000" w:themeColor="text1"/>
          <w:sz w:val="16"/>
        </w:rPr>
        <w:t>Since I could rationally will this maxim to be universal, Kant’s formulas mistakenly permit my act</w:t>
      </w:r>
      <w:r w:rsidRPr="007144BA">
        <w:rPr>
          <w:rFonts w:cs="Arial"/>
          <w:b/>
          <w:color w:val="000000" w:themeColor="text1"/>
          <w:u w:val="single"/>
        </w:rPr>
        <w:t>.</w:t>
      </w:r>
      <w:r w:rsidRPr="007144BA">
        <w:rPr>
          <w:rFonts w:cs="Arial"/>
          <w:color w:val="000000" w:themeColor="text1"/>
          <w:sz w:val="16"/>
        </w:rPr>
        <w:t xml:space="preserve"> Similar claims apply to other highly specific maxims. When wrong-doers act on such maxims, they could rationally will that their maxims be universal, because they would know that other such acts would be rare, and would therefore make little difference. Kant’s formulas would mistakenly permit these wrong acts. We can call this the </w:t>
      </w:r>
      <w:r w:rsidRPr="007144BA">
        <w:rPr>
          <w:rFonts w:cs="Arial"/>
          <w:i/>
          <w:iCs/>
          <w:color w:val="000000" w:themeColor="text1"/>
          <w:sz w:val="16"/>
        </w:rPr>
        <w:t>Rarity Objection</w:t>
      </w:r>
      <w:r w:rsidRPr="007144BA">
        <w:rPr>
          <w:rFonts w:cs="Arial"/>
          <w:color w:val="000000" w:themeColor="text1"/>
          <w:sz w:val="16"/>
        </w:rPr>
        <w:t>.</w:t>
      </w:r>
    </w:p>
    <w:p w14:paraId="039041C5" w14:textId="0885A383" w:rsidR="0079397E" w:rsidRDefault="0079397E" w:rsidP="0079397E"/>
    <w:p w14:paraId="3885474C" w14:textId="77777777" w:rsidR="000268DD" w:rsidRPr="001E1F57" w:rsidRDefault="000268DD" w:rsidP="000268DD">
      <w:pPr>
        <w:pStyle w:val="Heading4"/>
        <w:spacing w:before="200" w:line="360" w:lineRule="auto"/>
        <w:rPr>
          <w:b w:val="0"/>
          <w:bCs w:val="0"/>
        </w:rPr>
      </w:pPr>
      <w:r>
        <w:t xml:space="preserve">[Parfit] </w:t>
      </w:r>
      <w:r w:rsidRPr="001E1F57">
        <w:rPr>
          <w:b w:val="0"/>
          <w:bCs w:val="0"/>
        </w:rPr>
        <w:t>And, clearly there are cases in which we can violate people for a greater good.</w:t>
      </w:r>
    </w:p>
    <w:p w14:paraId="6C0D0E97" w14:textId="77777777" w:rsidR="000268DD" w:rsidRPr="00C30EE0" w:rsidRDefault="000268DD" w:rsidP="000268DD">
      <w:pPr>
        <w:rPr>
          <w:rFonts w:cs="Arial"/>
          <w:sz w:val="16"/>
        </w:rPr>
      </w:pPr>
      <w:r w:rsidRPr="007D0F92">
        <w:rPr>
          <w:rFonts w:cs="Arial"/>
          <w:sz w:val="16"/>
        </w:rPr>
        <w:t xml:space="preserve">Derek </w:t>
      </w:r>
      <w:r w:rsidRPr="00C30EE0">
        <w:rPr>
          <w:rStyle w:val="StyleUnderline"/>
        </w:rPr>
        <w:t xml:space="preserve">Parfit </w:t>
      </w:r>
      <w:r>
        <w:rPr>
          <w:rStyle w:val="StyleUnderline"/>
        </w:rPr>
        <w:t xml:space="preserve">11 </w:t>
      </w:r>
      <w:r w:rsidRPr="007D0F92">
        <w:rPr>
          <w:rFonts w:cs="Arial"/>
          <w:sz w:val="16"/>
        </w:rPr>
        <w:t>[Oxford], On What Matters (OUP: 2011), p. 216.</w:t>
      </w:r>
    </w:p>
    <w:p w14:paraId="4BF5AAD8" w14:textId="77777777" w:rsidR="000268DD" w:rsidRDefault="000268DD" w:rsidP="000268DD">
      <w:pPr>
        <w:spacing w:line="360" w:lineRule="auto"/>
        <w:jc w:val="both"/>
        <w:rPr>
          <w:rFonts w:ascii="Helvetica" w:hAnsi="Helvetica" w:cs="Helvetica"/>
          <w:sz w:val="16"/>
        </w:rPr>
      </w:pPr>
      <w:r w:rsidRPr="00B442B7">
        <w:rPr>
          <w:rStyle w:val="UnderlineBold"/>
          <w:highlight w:val="yellow"/>
        </w:rPr>
        <w:t>Consider</w:t>
      </w:r>
      <w:r w:rsidRPr="001E1F57">
        <w:rPr>
          <w:rStyle w:val="UnderlineBold"/>
        </w:rPr>
        <w:t xml:space="preserve"> </w:t>
      </w:r>
      <w:r w:rsidRPr="001E1F57">
        <w:rPr>
          <w:sz w:val="16"/>
        </w:rPr>
        <w:t xml:space="preserve">next </w:t>
      </w:r>
      <w:r w:rsidRPr="00B442B7">
        <w:rPr>
          <w:rStyle w:val="UnderlineBold"/>
          <w:highlight w:val="yellow"/>
        </w:rPr>
        <w:t>some Egoist, who treats others in whatever way he believes would be best for him</w:t>
      </w:r>
      <w:r w:rsidRPr="001E1F57">
        <w:rPr>
          <w:sz w:val="16"/>
        </w:rPr>
        <w:t>. Kant claims</w:t>
      </w:r>
      <w:r w:rsidRPr="001E1F57">
        <w:rPr>
          <w:rFonts w:ascii="Helvetica" w:hAnsi="Helvetica" w:cs="Helvetica"/>
          <w:sz w:val="16"/>
        </w:rPr>
        <w:t xml:space="preserve"> </w:t>
      </w:r>
      <w:r w:rsidRPr="001E1F57">
        <w:rPr>
          <w:sz w:val="16"/>
        </w:rPr>
        <w:t>he who intends to make a lying promise</w:t>
      </w:r>
      <w:r w:rsidRPr="001E1F57">
        <w:rPr>
          <w:rFonts w:ascii="Helvetica" w:hAnsi="Helvetica" w:cs="Helvetica"/>
          <w:sz w:val="16"/>
        </w:rPr>
        <w:t xml:space="preserve"> </w:t>
      </w:r>
      <w:r w:rsidRPr="001E1F57">
        <w:rPr>
          <w:sz w:val="16"/>
        </w:rPr>
        <w:t>. . .</w:t>
      </w:r>
      <w:r w:rsidRPr="001E1F57">
        <w:rPr>
          <w:rFonts w:ascii="Helvetica" w:hAnsi="Helvetica" w:cs="Helvetica"/>
          <w:sz w:val="16"/>
        </w:rPr>
        <w:t xml:space="preserve"> </w:t>
      </w:r>
      <w:r w:rsidRPr="001E1F57">
        <w:rPr>
          <w:sz w:val="16"/>
        </w:rPr>
        <w:t>wants to make use</w:t>
      </w:r>
      <w:r w:rsidRPr="001E1F57">
        <w:rPr>
          <w:rFonts w:ascii="Helvetica" w:hAnsi="Helvetica" w:cs="Helvetica"/>
          <w:sz w:val="16"/>
        </w:rPr>
        <w:t xml:space="preserve"> </w:t>
      </w:r>
      <w:r w:rsidRPr="001E1F57">
        <w:rPr>
          <w:sz w:val="16"/>
        </w:rPr>
        <w:t>of another human being merely as a means.</w:t>
      </w:r>
      <w:r w:rsidRPr="001E1F57">
        <w:rPr>
          <w:rFonts w:ascii="Helvetica" w:hAnsi="Helvetica" w:cs="Helvetica"/>
          <w:sz w:val="16"/>
        </w:rPr>
        <w:t xml:space="preserve"> </w:t>
      </w:r>
      <w:r w:rsidRPr="001E1F57">
        <w:rPr>
          <w:sz w:val="16"/>
        </w:rPr>
        <w:t xml:space="preserve">We could similarly claim that, </w:t>
      </w:r>
      <w:r w:rsidRPr="00B442B7">
        <w:rPr>
          <w:rStyle w:val="UnderlineBold"/>
          <w:highlight w:val="yellow"/>
        </w:rPr>
        <w:t>when</w:t>
      </w:r>
      <w:r w:rsidRPr="001E1F57">
        <w:rPr>
          <w:rStyle w:val="UnderlineBold"/>
        </w:rPr>
        <w:t xml:space="preserve"> </w:t>
      </w:r>
      <w:r w:rsidRPr="00B442B7">
        <w:rPr>
          <w:rStyle w:val="UnderlineBold"/>
          <w:highlight w:val="yellow"/>
        </w:rPr>
        <w:t>this Egoist keeps some promise to someone whose help he will later need, he wants to make use of this other human being, and treats him merely as a means</w:t>
      </w:r>
      <w:r w:rsidRPr="001E1F57">
        <w:rPr>
          <w:rStyle w:val="UnderlineBold"/>
        </w:rPr>
        <w:t xml:space="preserve">. </w:t>
      </w:r>
      <w:r w:rsidRPr="00B442B7">
        <w:rPr>
          <w:rStyle w:val="UnderlineBold"/>
          <w:highlight w:val="yellow"/>
        </w:rPr>
        <w:t>Suppose</w:t>
      </w:r>
      <w:r w:rsidRPr="001E1F57">
        <w:rPr>
          <w:rStyle w:val="UnderlineBold"/>
        </w:rPr>
        <w:t xml:space="preserve"> </w:t>
      </w:r>
      <w:r w:rsidRPr="001E1F57">
        <w:rPr>
          <w:sz w:val="16"/>
        </w:rPr>
        <w:t xml:space="preserve">next </w:t>
      </w:r>
      <w:r w:rsidRPr="00B442B7">
        <w:rPr>
          <w:rStyle w:val="UnderlineBold"/>
          <w:highlight w:val="yellow"/>
        </w:rPr>
        <w:t>that this Egoist saves some child from drowning</w:t>
      </w:r>
      <w:r w:rsidRPr="001E1F57">
        <w:rPr>
          <w:sz w:val="16"/>
        </w:rPr>
        <w:t xml:space="preserve">, at a great risk to himself, </w:t>
      </w:r>
      <w:r w:rsidRPr="00B442B7">
        <w:rPr>
          <w:rStyle w:val="UnderlineBold"/>
          <w:highlight w:val="yellow"/>
        </w:rPr>
        <w:t>but that his only aim is to be rewarded. Since this man treats these other people merely as a means, Kant’s principle implies that, in keeping his promise and saving this child’s life, this man acts wrongly. That is clearly false.</w:t>
      </w:r>
      <w:r w:rsidRPr="001E1F57">
        <w:rPr>
          <w:rFonts w:ascii="Helvetica" w:hAnsi="Helvetica" w:cs="Helvetica"/>
          <w:sz w:val="16"/>
        </w:rPr>
        <w:t xml:space="preserve"> </w:t>
      </w:r>
    </w:p>
    <w:p w14:paraId="09DE8447" w14:textId="77777777" w:rsidR="000268DD" w:rsidRDefault="000268DD" w:rsidP="0079397E"/>
    <w:p w14:paraId="6740B76C" w14:textId="77777777" w:rsidR="000268DD" w:rsidRDefault="000268DD" w:rsidP="0079397E"/>
    <w:p w14:paraId="26075CA4" w14:textId="5DB90C86" w:rsidR="0079397E" w:rsidRPr="0079397E" w:rsidRDefault="0079397E" w:rsidP="0079397E">
      <w:pPr>
        <w:pStyle w:val="Heading4"/>
        <w:spacing w:line="240" w:lineRule="auto"/>
      </w:pPr>
      <w:r w:rsidRPr="0079397E">
        <w:lastRenderedPageBreak/>
        <w:t>The world is not perfect, so even if they win their framework, we should use a non-ideal Kantian theory—actions should be taken to lead to a goal, a consequence, of the good rather than pursuing it as an absolute ideal.</w:t>
      </w:r>
    </w:p>
    <w:p w14:paraId="0379D84C" w14:textId="77777777" w:rsidR="0079397E" w:rsidRPr="004D28B4" w:rsidRDefault="0079397E" w:rsidP="0079397E">
      <w:pPr>
        <w:rPr>
          <w:sz w:val="16"/>
        </w:rPr>
      </w:pPr>
      <w:r w:rsidRPr="0029630D">
        <w:rPr>
          <w:sz w:val="16"/>
        </w:rPr>
        <w:t xml:space="preserve">Christine </w:t>
      </w:r>
      <w:r w:rsidRPr="0029630D">
        <w:rPr>
          <w:b/>
          <w:u w:val="single"/>
        </w:rPr>
        <w:t>Korsgaard 86</w:t>
      </w:r>
      <w:r w:rsidRPr="0029630D">
        <w:rPr>
          <w:sz w:val="16"/>
        </w:rPr>
        <w:t>, “The Right to Lie: Kant on Dealing with Evil”, Philosophy and Public Affairs 15, no 4, 1986, BE</w:t>
      </w:r>
    </w:p>
    <w:p w14:paraId="746B917B" w14:textId="77777777" w:rsidR="0079397E" w:rsidRDefault="0079397E" w:rsidP="0079397E">
      <w:pPr>
        <w:spacing w:line="240" w:lineRule="auto"/>
        <w:rPr>
          <w:sz w:val="16"/>
        </w:rPr>
      </w:pPr>
      <w:r w:rsidRPr="00B442B7">
        <w:rPr>
          <w:rStyle w:val="StyleUnderline"/>
          <w:highlight w:val="yellow"/>
        </w:rPr>
        <w:t>Non-ideal conditions exist when</w:t>
      </w:r>
      <w:r w:rsidRPr="006E3806">
        <w:rPr>
          <w:rStyle w:val="StyleUnderline"/>
        </w:rPr>
        <w:t xml:space="preserve">, or to the extent that, the special conception of </w:t>
      </w:r>
      <w:r w:rsidRPr="00B442B7">
        <w:rPr>
          <w:rStyle w:val="StyleUnderline"/>
          <w:highlight w:val="yellow"/>
        </w:rPr>
        <w:t>justice cannot be realized effectively.</w:t>
      </w:r>
      <w:r w:rsidRPr="00B442B7">
        <w:rPr>
          <w:sz w:val="16"/>
          <w:highlight w:val="yellow"/>
        </w:rPr>
        <w:t xml:space="preserve"> </w:t>
      </w:r>
      <w:r w:rsidRPr="006E3806">
        <w:rPr>
          <w:sz w:val="16"/>
        </w:rPr>
        <w:t xml:space="preserve">In these circumstances our conduct is to be determined in the following way: </w:t>
      </w:r>
      <w:r w:rsidRPr="00B442B7">
        <w:rPr>
          <w:rStyle w:val="StyleUnderline"/>
          <w:highlight w:val="yellow"/>
        </w:rPr>
        <w:t>the</w:t>
      </w:r>
      <w:r w:rsidRPr="006E3806">
        <w:rPr>
          <w:rStyle w:val="StyleUnderline"/>
        </w:rPr>
        <w:t xml:space="preserve"> special </w:t>
      </w:r>
      <w:r w:rsidRPr="00B442B7">
        <w:rPr>
          <w:rStyle w:val="StyleUnderline"/>
          <w:highlight w:val="yellow"/>
        </w:rPr>
        <w:t>conception becomes a goal</w:t>
      </w:r>
      <w:r w:rsidRPr="006E3806">
        <w:rPr>
          <w:rStyle w:val="StyleUnderline"/>
        </w:rPr>
        <w:t xml:space="preserve">, </w:t>
      </w:r>
      <w:r w:rsidRPr="00B442B7">
        <w:rPr>
          <w:rStyle w:val="StyleUnderline"/>
          <w:highlight w:val="yellow"/>
        </w:rPr>
        <w:t>rather than</w:t>
      </w:r>
      <w:r w:rsidRPr="006E3806">
        <w:rPr>
          <w:rStyle w:val="StyleUnderline"/>
        </w:rPr>
        <w:t xml:space="preserve"> an </w:t>
      </w:r>
      <w:r w:rsidRPr="00B442B7">
        <w:rPr>
          <w:rStyle w:val="StyleUnderline"/>
          <w:highlight w:val="yellow"/>
        </w:rPr>
        <w:t>ideal</w:t>
      </w:r>
      <w:r w:rsidRPr="006E3806">
        <w:rPr>
          <w:rStyle w:val="StyleUnderline"/>
        </w:rPr>
        <w:t xml:space="preserve"> to live up to: we are to work towards the conditions in which it is feasible.</w:t>
      </w:r>
      <w:r w:rsidRPr="006E3806">
        <w:rPr>
          <w:sz w:val="16"/>
        </w:rPr>
        <w:t xml:space="preserve"> For instance, </w:t>
      </w:r>
      <w:r w:rsidRPr="006E3806">
        <w:rPr>
          <w:rStyle w:val="StyleUnderline"/>
        </w:rPr>
        <w:t>suppose</w:t>
      </w:r>
      <w:r w:rsidRPr="006E3806">
        <w:rPr>
          <w:sz w:val="16"/>
        </w:rPr>
        <w:t xml:space="preserve"> there is a case like this: </w:t>
      </w:r>
      <w:r w:rsidRPr="006E3806">
        <w:rPr>
          <w:rStyle w:val="StyleUnderline"/>
        </w:rPr>
        <w:t>widespread poverty or ignorance due to the level of economic development is such that the legal establishment of the equal liberties makes no real difference to lot of the disadvantaged members of society</w:t>
      </w:r>
      <w:r w:rsidRPr="006E3806">
        <w:rPr>
          <w:sz w:val="16"/>
        </w:rPr>
        <w:t xml:space="preserve">. It's an empty formality. On the other hand, </w:t>
      </w:r>
      <w:r w:rsidRPr="00B442B7">
        <w:rPr>
          <w:rStyle w:val="Emphasis"/>
          <w:highlight w:val="yellow"/>
        </w:rPr>
        <w:t>some inequality</w:t>
      </w:r>
      <w:r w:rsidRPr="00401196">
        <w:rPr>
          <w:rStyle w:val="Emphasis"/>
        </w:rPr>
        <w:t xml:space="preserve">, temporarily instituted, </w:t>
      </w:r>
      <w:r w:rsidRPr="00B442B7">
        <w:rPr>
          <w:rStyle w:val="Emphasis"/>
          <w:highlight w:val="yellow"/>
        </w:rPr>
        <w:t>would</w:t>
      </w:r>
      <w:r w:rsidRPr="00401196">
        <w:rPr>
          <w:rStyle w:val="Emphasis"/>
        </w:rPr>
        <w:t xml:space="preserve"> actually </w:t>
      </w:r>
      <w:r w:rsidRPr="00B442B7">
        <w:rPr>
          <w:rStyle w:val="Emphasis"/>
          <w:highlight w:val="yellow"/>
        </w:rPr>
        <w:t>tend to foster conditions in which equal liberty could become a reality</w:t>
      </w:r>
      <w:r w:rsidRPr="006E3806">
        <w:rPr>
          <w:rStyle w:val="StyleUnderline"/>
        </w:rPr>
        <w:t xml:space="preserve"> for everyone. In these circumstances</w:t>
      </w:r>
      <w:r w:rsidRPr="006E3806">
        <w:rPr>
          <w:sz w:val="16"/>
        </w:rPr>
        <w:t xml:space="preserve">, Rawls's double-level theory allows for the temporary inequality. (§§ 11,39) The priority rules give us guidance as to which features of the special conception are most urgent. These are the ones that we should be striving to achieve as soon as possible. For example, </w:t>
      </w:r>
      <w:r w:rsidRPr="00B442B7">
        <w:rPr>
          <w:rStyle w:val="StyleUnderline"/>
          <w:highlight w:val="yellow"/>
        </w:rPr>
        <w:t>if formal equal opportunity</w:t>
      </w:r>
      <w:r w:rsidRPr="006E3806">
        <w:rPr>
          <w:rStyle w:val="StyleUnderline"/>
        </w:rPr>
        <w:t xml:space="preserve"> for blacks and women </w:t>
      </w:r>
      <w:r w:rsidRPr="00B442B7">
        <w:rPr>
          <w:rStyle w:val="StyleUnderline"/>
          <w:highlight w:val="yellow"/>
        </w:rPr>
        <w:t>is ineffective</w:t>
      </w:r>
      <w:r w:rsidRPr="006E3806">
        <w:rPr>
          <w:rStyle w:val="StyleUnderline"/>
        </w:rPr>
        <w:t xml:space="preserve">, </w:t>
      </w:r>
      <w:r w:rsidRPr="00B442B7">
        <w:rPr>
          <w:rStyle w:val="StyleUnderline"/>
          <w:highlight w:val="yellow"/>
        </w:rPr>
        <w:t>affirmative action</w:t>
      </w:r>
      <w:r w:rsidRPr="006E3806">
        <w:rPr>
          <w:rStyle w:val="StyleUnderline"/>
        </w:rPr>
        <w:t xml:space="preserve"> measures </w:t>
      </w:r>
      <w:r w:rsidRPr="00B442B7">
        <w:rPr>
          <w:rStyle w:val="StyleUnderline"/>
          <w:highlight w:val="yellow"/>
        </w:rPr>
        <w:t>may be in order</w:t>
      </w:r>
      <w:r w:rsidRPr="006E3806">
        <w:rPr>
          <w:sz w:val="16"/>
        </w:rPr>
        <w:t xml:space="preserve">. If some people claim that this causes inefficiency at first, it is neither here nor there, since equality of opportunity has priority over efficiency. </w:t>
      </w:r>
      <w:r w:rsidRPr="00B442B7">
        <w:rPr>
          <w:rStyle w:val="StyleUnderline"/>
          <w:highlight w:val="yellow"/>
        </w:rPr>
        <w:t>The</w:t>
      </w:r>
      <w:r w:rsidRPr="006E3806">
        <w:rPr>
          <w:rStyle w:val="StyleUnderline"/>
        </w:rPr>
        <w:t xml:space="preserve"> special </w:t>
      </w:r>
      <w:r w:rsidRPr="00B442B7">
        <w:rPr>
          <w:rStyle w:val="StyleUnderline"/>
          <w:highlight w:val="yellow"/>
        </w:rPr>
        <w:t xml:space="preserve">conception may also tell us which of our non-ideal options is </w:t>
      </w:r>
      <w:r w:rsidRPr="00B442B7">
        <w:rPr>
          <w:rStyle w:val="Emphasis"/>
          <w:highlight w:val="yellow"/>
        </w:rPr>
        <w:t>least bad</w:t>
      </w:r>
      <w:r w:rsidRPr="006E3806">
        <w:rPr>
          <w:sz w:val="16"/>
        </w:rPr>
        <w:t>, closest to ideal conduct. For instance, civil disobedience is better than a resort to violence not only because violence is bad in itself, but because of the way in which civil disobedience expresses the democratic principles of the just society it aspires to bring about. (§ 59) Finally, the general conception of justice commands categorically. In sufficiently bad circumstances none of the characteristic features of the special conception may be realizable. But there is no excuse, ever, for violation of the general conception. If inequalities are not benefiting those on the lower end of them in some way, they are simply oppression. The general conception, then, represents the point at which justice becomes uncompromising.18</w:t>
      </w:r>
      <w:r w:rsidRPr="006E3806">
        <w:rPr>
          <w:sz w:val="12"/>
        </w:rPr>
        <w:t>¶</w:t>
      </w:r>
      <w:r w:rsidRPr="006E3806">
        <w:rPr>
          <w:sz w:val="16"/>
        </w:rPr>
        <w:t xml:space="preserve"> A double-level theory can be contrasted to two types of single-level theory, both of which in a sense fail to distinguish the way we should behave in ideal and in non- ideal conditions, but which are at opposite extremes. A consequentialist theory such as utilitarianism does not really distinguish ideal from non-ideal conditions. Of course, the utilitarian can see the difference between a state of affairs in which everyone can be made reasonably happy and a state of affairs in which the utilitarian choice must be for the "lesser of evils", but it is still really a matter of degree. In principle we do not know what counts as a state in which everyone is "as happy as possible" absolutely. Instead, the utilitarian wants to make everyone as happy as possible relative to the circumstances, and pursues this goal holds regardless of how friendly the circumstances are to human happiness. The difference is not between ideal and non- ideal states of affairs but simply between better and worse states of affairs.</w:t>
      </w:r>
      <w:r w:rsidRPr="006E3806">
        <w:rPr>
          <w:sz w:val="12"/>
        </w:rPr>
        <w:t>¶</w:t>
      </w:r>
      <w:r w:rsidRPr="006E3806">
        <w:rPr>
          <w:sz w:val="16"/>
        </w:rPr>
        <w:t xml:space="preserve"> Kant's theory as he understood it represents the other extreme of single-level theory. The standard of conduct he sets for us is designed for an ideal state of affairs: we are always to act as as if we were living in a Kingdom of Ends, regardless of possible disastrous results. Kant is by no means dismissive towards the distressing problems caused by the evil conduct of other human beings and the unfriendliness of nature to human ideals, but his solution to these problems is different. He finds in them grounds for a morally motivated religious faith in God.19 Our rational motive for belief in a moral author of the world derives from our rational need for grounds for hope that these problems will be resolved. Such an author would have designed the laws of nature so that, in ways that are not apparent to us, our moral actions and efforts do tend to further the realization of an actual Kingdom of Ends. With faith in God, we can trust that a Kingdom of Ends will be the consequence of our actions as well as the ideal that guides them. In his A Critique of Utilitarianism 20, Bernard Williams spells out some of the unfortunate consequences of what I am calling single-level theories. According to Williams, the consequentialist's commitment to doing whatever is necessary to secure the best outcome may lead to violations of what we would ordinarily think of as integrity. There is no kind of action that is so mean or so savage that it can never lead to a better outcome than the alternatives. A commitment to always securing the best outcome never allows you to say "bad consequences or not, this is not the sort of thing I do; I am not that sort of person." And no matter how mean or how savage the act required to secure the best outcome is, the utilitarian thinks that you will be irrational to regret that you did it, for you will have done what is in the straightforward sense the right thing.21 A Kantian approach, by defining a determinate ideal of conduct to live up to rather than setting a goal of action to strive for, solves the problem about integrity, but with a high price. The advantage of the Kantian approach is the definite sphere of responsibility. Your share of the responsibility for the way the world is is well-defined and limited, and if you act as you ought, bad outcomes are not your responsibility. The trouble is that in cases such as that of the murderer at the door it seems grotesque simply to say that I have done my part by telling the truth and the bad results are not my responsibility.</w:t>
      </w:r>
      <w:r w:rsidRPr="006E3806">
        <w:rPr>
          <w:sz w:val="12"/>
        </w:rPr>
        <w:t>¶</w:t>
      </w:r>
      <w:r w:rsidRPr="006E3806">
        <w:rPr>
          <w:sz w:val="16"/>
        </w:rPr>
        <w:t xml:space="preserve"> </w:t>
      </w:r>
      <w:r w:rsidRPr="00B442B7">
        <w:rPr>
          <w:rStyle w:val="StyleUnderline"/>
          <w:highlight w:val="yellow"/>
        </w:rPr>
        <w:t>The point</w:t>
      </w:r>
      <w:r w:rsidRPr="006E3806">
        <w:rPr>
          <w:rStyle w:val="StyleUnderline"/>
        </w:rPr>
        <w:t xml:space="preserve"> of a double-level theory </w:t>
      </w:r>
      <w:r w:rsidRPr="00B442B7">
        <w:rPr>
          <w:rStyle w:val="StyleUnderline"/>
          <w:highlight w:val="yellow"/>
        </w:rPr>
        <w:t>is to give</w:t>
      </w:r>
      <w:r w:rsidRPr="006E3806">
        <w:rPr>
          <w:rStyle w:val="StyleUnderline"/>
        </w:rPr>
        <w:t xml:space="preserve"> us both a </w:t>
      </w:r>
      <w:r w:rsidRPr="00B442B7">
        <w:rPr>
          <w:rStyle w:val="StyleUnderline"/>
          <w:highlight w:val="yellow"/>
        </w:rPr>
        <w:t>definite and well-defined sphere of responsibility</w:t>
      </w:r>
      <w:r w:rsidRPr="006E3806">
        <w:rPr>
          <w:rStyle w:val="StyleUnderline"/>
        </w:rPr>
        <w:t xml:space="preserve"> for everyday life and some guidance, at least, about when we may or must take the responsibility of violating ideal standards.</w:t>
      </w:r>
      <w:r w:rsidRPr="006E3806">
        <w:rPr>
          <w:sz w:val="16"/>
        </w:rPr>
        <w:t xml:space="preserve"> The common sense approach to this problem uses an intuitive quantitative measure: we depart from our ordinary rules and standards of conduct when the consequences of following them would be "very bad." This is unhelpful for two reasons. First, it leaves us on our own about determining how bad. Second, the attempt to justify it leads down a familiar consequentialist slippery slope: if very bad consequences justify a departure from ordinary norms, why do not slightly bad consequences justify such a departure? A double-level theory substitutes something better than this rough quantitative measure. In Rawls's theory, for example, a departure from equal liberty </w:t>
      </w:r>
      <w:r w:rsidRPr="006E3806">
        <w:rPr>
          <w:sz w:val="16"/>
        </w:rPr>
        <w:lastRenderedPageBreak/>
        <w:t xml:space="preserve">cannot be justified by the fact that the consequences of liberty are "very bad" in terms of mere efficiency. This does not mean that an endless amount of inefficiency will be tolerated, because presumably at some point the inefficiency may interfere with the effectiveness of liberty. One might put the point this way: </w:t>
      </w:r>
      <w:r w:rsidRPr="00B442B7">
        <w:rPr>
          <w:rStyle w:val="StyleUnderline"/>
          <w:highlight w:val="yellow"/>
        </w:rPr>
        <w:t>the measure of "very bad" is</w:t>
      </w:r>
      <w:r w:rsidRPr="006E3806">
        <w:rPr>
          <w:rStyle w:val="StyleUnderline"/>
        </w:rPr>
        <w:t xml:space="preserve"> not entirely intuitive but rather, </w:t>
      </w:r>
      <w:r w:rsidRPr="00B442B7">
        <w:rPr>
          <w:rStyle w:val="Emphasis"/>
          <w:highlight w:val="yellow"/>
        </w:rPr>
        <w:t>bad enough to interfere with</w:t>
      </w:r>
      <w:r w:rsidRPr="00401196">
        <w:rPr>
          <w:rStyle w:val="Emphasis"/>
        </w:rPr>
        <w:t xml:space="preserve"> the </w:t>
      </w:r>
      <w:r w:rsidRPr="00B442B7">
        <w:rPr>
          <w:rStyle w:val="Emphasis"/>
          <w:highlight w:val="yellow"/>
        </w:rPr>
        <w:t>reality of liberty</w:t>
      </w:r>
      <w:r w:rsidRPr="00B442B7">
        <w:rPr>
          <w:rStyle w:val="StyleUnderline"/>
          <w:highlight w:val="yellow"/>
        </w:rPr>
        <w:t>.</w:t>
      </w:r>
      <w:r w:rsidRPr="006E3806">
        <w:rPr>
          <w:sz w:val="16"/>
        </w:rPr>
        <w:t xml:space="preserve"> Of course this is not an algorithmic criterion and cannot be applied without judgment, but it is not as inexact as a wholly intuitive quantitative measure, and, importantly, does not lead to a consequentialist slippery slope.</w:t>
      </w:r>
      <w:r w:rsidRPr="006E3806">
        <w:rPr>
          <w:sz w:val="12"/>
        </w:rPr>
        <w:t>¶</w:t>
      </w:r>
      <w:r w:rsidRPr="006E3806">
        <w:rPr>
          <w:sz w:val="16"/>
        </w:rPr>
        <w:t xml:space="preserve"> </w:t>
      </w:r>
      <w:r w:rsidRPr="006E3806">
        <w:rPr>
          <w:rStyle w:val="StyleUnderline"/>
        </w:rPr>
        <w:t>Another advantage of a double-level theory is</w:t>
      </w:r>
      <w:r w:rsidRPr="006E3806">
        <w:rPr>
          <w:sz w:val="16"/>
        </w:rPr>
        <w:t xml:space="preserve"> the explanation it offers of the other phenomenon which Williams is concerned about: </w:t>
      </w:r>
      <w:r w:rsidRPr="006E3806">
        <w:rPr>
          <w:rStyle w:val="StyleUnderline"/>
        </w:rPr>
        <w:t>that of regret for doing a certain kind of action even if in the circumstances it was the "right" thing. A double-level theory offers an account of at least some of the occasions for this kind of regret. We will regret having to depart from the ideal standard of conduct, for we identify with this standard and think of our autonomy in terms of it.</w:t>
      </w:r>
      <w:r w:rsidRPr="006E3806">
        <w:rPr>
          <w:sz w:val="16"/>
        </w:rPr>
        <w:t xml:space="preserve"> Regret for an action we would not do under ideal circumstances seems appropriate even if we have done what is clearly the right thing.</w:t>
      </w:r>
    </w:p>
    <w:p w14:paraId="1BC57F58" w14:textId="77777777" w:rsidR="0079397E" w:rsidRPr="0079397E" w:rsidRDefault="0079397E" w:rsidP="0079397E"/>
    <w:p w14:paraId="4AE6259B" w14:textId="77777777" w:rsidR="008101FC" w:rsidRDefault="008101FC" w:rsidP="008101FC">
      <w:pPr>
        <w:pStyle w:val="Heading4"/>
      </w:pPr>
      <w:r>
        <w:t>Uses others as a mere means to an end</w:t>
      </w:r>
    </w:p>
    <w:p w14:paraId="7A3D781B" w14:textId="77777777" w:rsidR="008101FC" w:rsidRPr="00384BFB" w:rsidRDefault="008101FC" w:rsidP="008101FC">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11"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2335AAFB" w14:textId="77777777" w:rsidR="008101FC" w:rsidRPr="00384BFB" w:rsidRDefault="008101FC" w:rsidP="008101FC">
      <w:pPr>
        <w:rPr>
          <w:sz w:val="14"/>
          <w:szCs w:val="26"/>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r w:rsidRPr="00F83D7D">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is used to duly and unduly influence the bargaining process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06C4551C" w14:textId="266AA777" w:rsidR="009702EA" w:rsidRDefault="009702EA" w:rsidP="002D363C"/>
    <w:p w14:paraId="016B4AE8" w14:textId="77777777" w:rsidR="008101FC" w:rsidRDefault="008101FC" w:rsidP="008101FC">
      <w:pPr>
        <w:pStyle w:val="Heading4"/>
      </w:pPr>
      <w:r>
        <w:t>Violates the commitment to not cause harm</w:t>
      </w:r>
    </w:p>
    <w:p w14:paraId="0C256081" w14:textId="77777777" w:rsidR="008101FC" w:rsidRPr="00F21509" w:rsidRDefault="008101FC" w:rsidP="008101FC">
      <w:r w:rsidRPr="00F21509">
        <w:rPr>
          <w:rStyle w:val="Style13ptBold"/>
        </w:rPr>
        <w:t>Fourie 17</w:t>
      </w:r>
      <w:r>
        <w:t xml:space="preserve"> </w:t>
      </w:r>
      <w:r w:rsidRPr="00384BFB">
        <w:rPr>
          <w:sz w:val="16"/>
          <w:szCs w:val="16"/>
        </w:rPr>
        <w:t xml:space="preserve">Johan Fourie 11-30-2017 "Ethicality of Labor-Strike Demonstrates by Social Workers" </w:t>
      </w:r>
      <w:hyperlink r:id="rId12"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10F3ED83" w14:textId="77777777" w:rsidR="008101FC" w:rsidRPr="00384BFB" w:rsidRDefault="008101FC" w:rsidP="008101FC">
      <w:pPr>
        <w:rPr>
          <w:sz w:val="26"/>
          <w:szCs w:val="26"/>
          <w:u w:val="single"/>
        </w:rPr>
      </w:pPr>
      <w:r w:rsidRPr="00384BFB">
        <w:rPr>
          <w:sz w:val="26"/>
          <w:szCs w:val="26"/>
          <w:u w:val="single"/>
        </w:rPr>
        <w:t xml:space="preserve">In addition to the above, </w:t>
      </w:r>
      <w:r w:rsidRPr="00F83D7D">
        <w:rPr>
          <w:sz w:val="26"/>
          <w:szCs w:val="26"/>
          <w:highlight w:val="green"/>
          <w:u w:val="single"/>
        </w:rPr>
        <w:t xml:space="preserve">engaging in </w:t>
      </w:r>
      <w:r w:rsidRPr="00384BFB">
        <w:rPr>
          <w:sz w:val="26"/>
          <w:szCs w:val="26"/>
          <w:u w:val="single"/>
        </w:rPr>
        <w:t xml:space="preserve">a labor </w:t>
      </w:r>
      <w:r w:rsidRPr="00F83D7D">
        <w:rPr>
          <w:sz w:val="26"/>
          <w:szCs w:val="26"/>
          <w:highlight w:val="green"/>
          <w:u w:val="single"/>
        </w:rPr>
        <w:t xml:space="preserve">strike </w:t>
      </w:r>
      <w:r w:rsidRPr="00384BFB">
        <w:rPr>
          <w:sz w:val="26"/>
          <w:szCs w:val="26"/>
          <w:u w:val="single"/>
        </w:rPr>
        <w:t xml:space="preserve">demonstration </w:t>
      </w:r>
      <w:r w:rsidRPr="00F83D7D">
        <w:rPr>
          <w:sz w:val="26"/>
          <w:szCs w:val="26"/>
          <w:highlight w:val="green"/>
          <w:u w:val="single"/>
        </w:rPr>
        <w:t xml:space="preserve">is a </w:t>
      </w:r>
      <w:r w:rsidRPr="00384BFB">
        <w:rPr>
          <w:sz w:val="26"/>
          <w:szCs w:val="26"/>
          <w:u w:val="single"/>
        </w:rPr>
        <w:t xml:space="preserve">gross </w:t>
      </w:r>
      <w:r w:rsidRPr="00F83D7D">
        <w:rPr>
          <w:sz w:val="26"/>
          <w:szCs w:val="26"/>
          <w:highlight w:val="green"/>
          <w:u w:val="single"/>
        </w:rPr>
        <w:t xml:space="preserve">violation of the </w:t>
      </w:r>
      <w:r w:rsidRPr="00F83D7D">
        <w:rPr>
          <w:b/>
          <w:bCs/>
          <w:sz w:val="26"/>
          <w:szCs w:val="26"/>
          <w:highlight w:val="green"/>
          <w:u w:val="single"/>
        </w:rPr>
        <w:t>prima facie duty of the social worker</w:t>
      </w:r>
      <w:r w:rsidRPr="00384BFB">
        <w:rPr>
          <w:sz w:val="26"/>
          <w:szCs w:val="26"/>
          <w:u w:val="single"/>
        </w:rPr>
        <w:t xml:space="preserve">, nonmaleficence: </w:t>
      </w:r>
      <w:r w:rsidRPr="00F83D7D">
        <w:rPr>
          <w:b/>
          <w:bCs/>
          <w:sz w:val="26"/>
          <w:szCs w:val="26"/>
          <w:highlight w:val="green"/>
          <w:u w:val="single"/>
        </w:rPr>
        <w:t>to not cause harm</w:t>
      </w:r>
      <w:r w:rsidRPr="00384BFB">
        <w:rPr>
          <w:sz w:val="26"/>
          <w:szCs w:val="26"/>
          <w:u w:val="single"/>
        </w:rPr>
        <w:t xml:space="preserve">, </w:t>
      </w:r>
      <w:r w:rsidRPr="00F83D7D">
        <w:rPr>
          <w:sz w:val="26"/>
          <w:szCs w:val="26"/>
          <w:highlight w:val="green"/>
          <w:u w:val="single"/>
        </w:rPr>
        <w:t xml:space="preserve">and display a commitment to the well-being of </w:t>
      </w:r>
      <w:r w:rsidRPr="00384BFB">
        <w:rPr>
          <w:sz w:val="26"/>
          <w:szCs w:val="26"/>
          <w:u w:val="single"/>
        </w:rPr>
        <w:t xml:space="preserve">the client, </w:t>
      </w:r>
      <w:r w:rsidRPr="00384BFB">
        <w:rPr>
          <w:sz w:val="26"/>
          <w:szCs w:val="26"/>
          <w:u w:val="single"/>
        </w:rPr>
        <w:lastRenderedPageBreak/>
        <w:t xml:space="preserve">organization as well as </w:t>
      </w:r>
      <w:r w:rsidRPr="00F83D7D">
        <w:rPr>
          <w:sz w:val="26"/>
          <w:szCs w:val="26"/>
          <w:highlight w:val="green"/>
          <w:u w:val="single"/>
        </w:rPr>
        <w:t xml:space="preserve">society. As Social Workers withdraw </w:t>
      </w:r>
      <w:r w:rsidRPr="00384BFB">
        <w:rPr>
          <w:sz w:val="26"/>
          <w:szCs w:val="26"/>
          <w:u w:val="single"/>
        </w:rPr>
        <w:t xml:space="preserve">their </w:t>
      </w:r>
      <w:r w:rsidRPr="00F83D7D">
        <w:rPr>
          <w:sz w:val="26"/>
          <w:szCs w:val="26"/>
          <w:highlight w:val="green"/>
          <w:u w:val="single"/>
        </w:rPr>
        <w:t>labor</w:t>
      </w:r>
      <w:r w:rsidRPr="00384BFB">
        <w:rPr>
          <w:sz w:val="26"/>
          <w:szCs w:val="26"/>
          <w:u w:val="single"/>
        </w:rPr>
        <w:t xml:space="preserve">, </w:t>
      </w:r>
      <w:r w:rsidRPr="00F83D7D">
        <w:rPr>
          <w:sz w:val="26"/>
          <w:szCs w:val="26"/>
          <w:highlight w:val="green"/>
          <w:u w:val="single"/>
        </w:rPr>
        <w:t xml:space="preserve">services </w:t>
      </w:r>
      <w:r w:rsidRPr="00384BFB">
        <w:rPr>
          <w:sz w:val="26"/>
          <w:szCs w:val="26"/>
          <w:u w:val="single"/>
        </w:rPr>
        <w:t xml:space="preserve">are </w:t>
      </w:r>
      <w:r w:rsidRPr="00F83D7D">
        <w:rPr>
          <w:sz w:val="26"/>
          <w:szCs w:val="26"/>
          <w:highlight w:val="green"/>
          <w:u w:val="single"/>
        </w:rPr>
        <w:t>ceased</w:t>
      </w:r>
      <w:r w:rsidRPr="00384BFB">
        <w:rPr>
          <w:sz w:val="26"/>
          <w:szCs w:val="26"/>
          <w:u w:val="single"/>
        </w:rPr>
        <w:t xml:space="preserve">, and automatic disruption occurs </w:t>
      </w:r>
      <w:r w:rsidRPr="00F83D7D">
        <w:rPr>
          <w:sz w:val="26"/>
          <w:szCs w:val="26"/>
          <w:highlight w:val="green"/>
          <w:u w:val="single"/>
        </w:rPr>
        <w:t>which can inflict serious harm on clients</w:t>
      </w:r>
      <w:r w:rsidRPr="00384BFB">
        <w:rPr>
          <w:sz w:val="26"/>
          <w:szCs w:val="26"/>
          <w:u w:val="single"/>
        </w:rPr>
        <w:t xml:space="preserve">, </w:t>
      </w:r>
      <w:r w:rsidRPr="00F83D7D">
        <w:rPr>
          <w:sz w:val="26"/>
          <w:szCs w:val="26"/>
          <w:highlight w:val="green"/>
          <w:u w:val="single"/>
        </w:rPr>
        <w:t xml:space="preserve">organizational functioning </w:t>
      </w:r>
      <w:r w:rsidRPr="00384BFB">
        <w:rPr>
          <w:sz w:val="26"/>
          <w:szCs w:val="26"/>
          <w:u w:val="single"/>
        </w:rPr>
        <w:t xml:space="preserve">as well as </w:t>
      </w:r>
      <w:r w:rsidRPr="00F83D7D">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F83D7D">
        <w:rPr>
          <w:sz w:val="26"/>
          <w:szCs w:val="26"/>
          <w:highlight w:val="green"/>
          <w:u w:val="single"/>
        </w:rPr>
        <w:t>fatal delays</w:t>
      </w:r>
      <w:r w:rsidRPr="00F83D7D">
        <w:rPr>
          <w:sz w:val="14"/>
          <w:szCs w:val="26"/>
          <w:highlight w:val="green"/>
        </w:rPr>
        <w:t xml:space="preserve"> </w:t>
      </w:r>
      <w:r w:rsidRPr="00F83D7D">
        <w:rPr>
          <w:sz w:val="26"/>
          <w:szCs w:val="26"/>
          <w:highlight w:val="green"/>
          <w:u w:val="single"/>
        </w:rPr>
        <w:t>in executing</w:t>
      </w:r>
      <w:r w:rsidRPr="00F83D7D">
        <w:rPr>
          <w:sz w:val="14"/>
          <w:szCs w:val="26"/>
          <w:highlight w:val="green"/>
        </w:rPr>
        <w:t xml:space="preserve"> </w:t>
      </w:r>
      <w:r w:rsidRPr="00384BFB">
        <w:rPr>
          <w:sz w:val="14"/>
          <w:szCs w:val="26"/>
        </w:rPr>
        <w:t xml:space="preserve">or developing timeous </w:t>
      </w:r>
      <w:r w:rsidRPr="00F83D7D">
        <w:rPr>
          <w:sz w:val="26"/>
          <w:szCs w:val="26"/>
          <w:highlight w:val="green"/>
          <w:u w:val="single"/>
        </w:rPr>
        <w:t>interventions</w:t>
      </w:r>
      <w:r w:rsidRPr="00F83D7D">
        <w:rPr>
          <w:sz w:val="14"/>
          <w:szCs w:val="26"/>
          <w:highlight w:val="green"/>
        </w:rPr>
        <w:t xml:space="preserve"> </w:t>
      </w:r>
      <w:r w:rsidRPr="00F83D7D">
        <w:rPr>
          <w:b/>
          <w:bCs/>
          <w:sz w:val="26"/>
          <w:szCs w:val="26"/>
          <w:highlight w:val="green"/>
          <w:u w:val="single"/>
        </w:rPr>
        <w:t>for at-risk clients,</w:t>
      </w:r>
      <w:r w:rsidRPr="00F83D7D">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F83D7D">
        <w:rPr>
          <w:sz w:val="26"/>
          <w:szCs w:val="26"/>
          <w:highlight w:val="green"/>
          <w:u w:val="single"/>
        </w:rPr>
        <w:t xml:space="preserve">ethical principles such as </w:t>
      </w:r>
      <w:r w:rsidRPr="00384BFB">
        <w:rPr>
          <w:sz w:val="26"/>
          <w:szCs w:val="26"/>
          <w:u w:val="single"/>
        </w:rPr>
        <w:t xml:space="preserve">beneficence and </w:t>
      </w:r>
      <w:r w:rsidRPr="00F83D7D">
        <w:rPr>
          <w:sz w:val="26"/>
          <w:szCs w:val="26"/>
          <w:highlight w:val="green"/>
          <w:u w:val="single"/>
        </w:rPr>
        <w:t xml:space="preserve">social justice are </w:t>
      </w:r>
      <w:r w:rsidRPr="00384BFB">
        <w:rPr>
          <w:sz w:val="26"/>
          <w:szCs w:val="26"/>
          <w:u w:val="single"/>
        </w:rPr>
        <w:t xml:space="preserve">also </w:t>
      </w:r>
      <w:r w:rsidRPr="00F83D7D">
        <w:rPr>
          <w:sz w:val="26"/>
          <w:szCs w:val="26"/>
          <w:highlight w:val="green"/>
          <w:u w:val="single"/>
        </w:rPr>
        <w:t xml:space="preserve">not adhered </w:t>
      </w:r>
      <w:r w:rsidRPr="00384BFB">
        <w:rPr>
          <w:sz w:val="26"/>
          <w:szCs w:val="26"/>
          <w:u w:val="single"/>
        </w:rPr>
        <w:t xml:space="preserve">to as no acts of kindness, empathy is shown, and the </w:t>
      </w:r>
      <w:r w:rsidRPr="00F83D7D">
        <w:rPr>
          <w:sz w:val="26"/>
          <w:szCs w:val="26"/>
          <w:highlight w:val="green"/>
          <w:u w:val="single"/>
        </w:rPr>
        <w:t xml:space="preserve">most vulnerable </w:t>
      </w:r>
      <w:r w:rsidRPr="00384BFB">
        <w:rPr>
          <w:sz w:val="26"/>
          <w:szCs w:val="26"/>
          <w:u w:val="single"/>
        </w:rPr>
        <w:t xml:space="preserve">members of society </w:t>
      </w:r>
      <w:r w:rsidRPr="00F83D7D">
        <w:rPr>
          <w:b/>
          <w:bCs/>
          <w:sz w:val="26"/>
          <w:szCs w:val="26"/>
          <w:highlight w:val="green"/>
          <w:u w:val="single"/>
        </w:rPr>
        <w:t>will be impacted the most</w:t>
      </w:r>
      <w:r w:rsidRPr="00384BFB">
        <w:rPr>
          <w:sz w:val="26"/>
          <w:szCs w:val="26"/>
          <w:u w:val="single"/>
        </w:rPr>
        <w:t>.</w:t>
      </w:r>
    </w:p>
    <w:p w14:paraId="1B991EA9" w14:textId="77777777" w:rsidR="003C487E" w:rsidRPr="002D363C" w:rsidRDefault="003C487E" w:rsidP="002D363C"/>
    <w:sectPr w:rsidR="003C487E" w:rsidRPr="002D36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38A8"/>
    <w:rsid w:val="000029E3"/>
    <w:rsid w:val="000029E8"/>
    <w:rsid w:val="00004225"/>
    <w:rsid w:val="000066CA"/>
    <w:rsid w:val="00007264"/>
    <w:rsid w:val="000076A9"/>
    <w:rsid w:val="00014FAD"/>
    <w:rsid w:val="00015D2A"/>
    <w:rsid w:val="0002490B"/>
    <w:rsid w:val="00026465"/>
    <w:rsid w:val="000268DD"/>
    <w:rsid w:val="00030204"/>
    <w:rsid w:val="000312A0"/>
    <w:rsid w:val="0003396C"/>
    <w:rsid w:val="00035337"/>
    <w:rsid w:val="00052FB1"/>
    <w:rsid w:val="000540A0"/>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151"/>
    <w:rsid w:val="00117316"/>
    <w:rsid w:val="001209B4"/>
    <w:rsid w:val="001761FC"/>
    <w:rsid w:val="00182655"/>
    <w:rsid w:val="001840F2"/>
    <w:rsid w:val="00185134"/>
    <w:rsid w:val="001856C6"/>
    <w:rsid w:val="00191B5F"/>
    <w:rsid w:val="00192487"/>
    <w:rsid w:val="00193416"/>
    <w:rsid w:val="00195073"/>
    <w:rsid w:val="0019668D"/>
    <w:rsid w:val="00196E90"/>
    <w:rsid w:val="001A25FD"/>
    <w:rsid w:val="001A5371"/>
    <w:rsid w:val="001A72C7"/>
    <w:rsid w:val="001B73E3"/>
    <w:rsid w:val="001C316D"/>
    <w:rsid w:val="001D0C58"/>
    <w:rsid w:val="001D1A0D"/>
    <w:rsid w:val="001D36BF"/>
    <w:rsid w:val="001D4C28"/>
    <w:rsid w:val="001E0B1F"/>
    <w:rsid w:val="001E0C0F"/>
    <w:rsid w:val="001E1E0B"/>
    <w:rsid w:val="001F1173"/>
    <w:rsid w:val="001F45F7"/>
    <w:rsid w:val="002005A8"/>
    <w:rsid w:val="00203DD8"/>
    <w:rsid w:val="00204E1D"/>
    <w:rsid w:val="002059BD"/>
    <w:rsid w:val="00207FD8"/>
    <w:rsid w:val="00210C1A"/>
    <w:rsid w:val="00210FAF"/>
    <w:rsid w:val="00213B1E"/>
    <w:rsid w:val="00215284"/>
    <w:rsid w:val="002168F2"/>
    <w:rsid w:val="0022589F"/>
    <w:rsid w:val="002325AA"/>
    <w:rsid w:val="002343FE"/>
    <w:rsid w:val="00235F7B"/>
    <w:rsid w:val="0024698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63C"/>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C67"/>
    <w:rsid w:val="00383071"/>
    <w:rsid w:val="00383B19"/>
    <w:rsid w:val="00384CBC"/>
    <w:rsid w:val="003933F9"/>
    <w:rsid w:val="00395864"/>
    <w:rsid w:val="00396557"/>
    <w:rsid w:val="00397316"/>
    <w:rsid w:val="003A248F"/>
    <w:rsid w:val="003A4D9C"/>
    <w:rsid w:val="003B1668"/>
    <w:rsid w:val="003C487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5D3"/>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214"/>
    <w:rsid w:val="005028E5"/>
    <w:rsid w:val="00503735"/>
    <w:rsid w:val="00516A88"/>
    <w:rsid w:val="00522065"/>
    <w:rsid w:val="005224F2"/>
    <w:rsid w:val="0052750A"/>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A99"/>
    <w:rsid w:val="00607D6C"/>
    <w:rsid w:val="0061383D"/>
    <w:rsid w:val="00614D69"/>
    <w:rsid w:val="00617030"/>
    <w:rsid w:val="00621301"/>
    <w:rsid w:val="0062173F"/>
    <w:rsid w:val="00623215"/>
    <w:rsid w:val="006235FB"/>
    <w:rsid w:val="00626A15"/>
    <w:rsid w:val="006379E9"/>
    <w:rsid w:val="00637E47"/>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97E"/>
    <w:rsid w:val="00793F46"/>
    <w:rsid w:val="007A1325"/>
    <w:rsid w:val="007A1A18"/>
    <w:rsid w:val="007A3BAF"/>
    <w:rsid w:val="007B53D8"/>
    <w:rsid w:val="007C22C5"/>
    <w:rsid w:val="007C57E1"/>
    <w:rsid w:val="007C5811"/>
    <w:rsid w:val="007D2527"/>
    <w:rsid w:val="007D2DF5"/>
    <w:rsid w:val="007D451A"/>
    <w:rsid w:val="007D5E3E"/>
    <w:rsid w:val="007D7596"/>
    <w:rsid w:val="007E242C"/>
    <w:rsid w:val="007E6631"/>
    <w:rsid w:val="00803A12"/>
    <w:rsid w:val="00805417"/>
    <w:rsid w:val="008101FC"/>
    <w:rsid w:val="008266F9"/>
    <w:rsid w:val="008267E2"/>
    <w:rsid w:val="00826A9B"/>
    <w:rsid w:val="00834842"/>
    <w:rsid w:val="00840E7B"/>
    <w:rsid w:val="008536AF"/>
    <w:rsid w:val="00853D40"/>
    <w:rsid w:val="008564FC"/>
    <w:rsid w:val="00864E76"/>
    <w:rsid w:val="00872581"/>
    <w:rsid w:val="0087459D"/>
    <w:rsid w:val="00876474"/>
    <w:rsid w:val="0087680F"/>
    <w:rsid w:val="00876D81"/>
    <w:rsid w:val="00881D86"/>
    <w:rsid w:val="00883306"/>
    <w:rsid w:val="0088332D"/>
    <w:rsid w:val="008904F9"/>
    <w:rsid w:val="00890E4C"/>
    <w:rsid w:val="00890E74"/>
    <w:rsid w:val="00892798"/>
    <w:rsid w:val="0089418F"/>
    <w:rsid w:val="00897C29"/>
    <w:rsid w:val="008A1A9C"/>
    <w:rsid w:val="008A4633"/>
    <w:rsid w:val="008B032E"/>
    <w:rsid w:val="008C0FA2"/>
    <w:rsid w:val="008C2342"/>
    <w:rsid w:val="008C32C7"/>
    <w:rsid w:val="008C77B6"/>
    <w:rsid w:val="008D1B91"/>
    <w:rsid w:val="008D724A"/>
    <w:rsid w:val="008E7A3E"/>
    <w:rsid w:val="008F41FD"/>
    <w:rsid w:val="008F4479"/>
    <w:rsid w:val="008F4BA0"/>
    <w:rsid w:val="00901726"/>
    <w:rsid w:val="00920797"/>
    <w:rsid w:val="00920E6A"/>
    <w:rsid w:val="0092688D"/>
    <w:rsid w:val="00931816"/>
    <w:rsid w:val="00932C71"/>
    <w:rsid w:val="00933E05"/>
    <w:rsid w:val="00941AD0"/>
    <w:rsid w:val="009509D5"/>
    <w:rsid w:val="009538F5"/>
    <w:rsid w:val="00957187"/>
    <w:rsid w:val="00960255"/>
    <w:rsid w:val="009603E1"/>
    <w:rsid w:val="00961C9D"/>
    <w:rsid w:val="00963065"/>
    <w:rsid w:val="009702EA"/>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2A1"/>
    <w:rsid w:val="009F1CBB"/>
    <w:rsid w:val="009F3305"/>
    <w:rsid w:val="009F6FB2"/>
    <w:rsid w:val="00A071C0"/>
    <w:rsid w:val="00A15AE8"/>
    <w:rsid w:val="00A22670"/>
    <w:rsid w:val="00A24B35"/>
    <w:rsid w:val="00A271BA"/>
    <w:rsid w:val="00A27F86"/>
    <w:rsid w:val="00A431C6"/>
    <w:rsid w:val="00A54315"/>
    <w:rsid w:val="00A60FBC"/>
    <w:rsid w:val="00A65C0B"/>
    <w:rsid w:val="00A776BA"/>
    <w:rsid w:val="00A81FD2"/>
    <w:rsid w:val="00A8441A"/>
    <w:rsid w:val="00A8674A"/>
    <w:rsid w:val="00A86925"/>
    <w:rsid w:val="00A9376C"/>
    <w:rsid w:val="00A96E24"/>
    <w:rsid w:val="00AA6F6E"/>
    <w:rsid w:val="00AB122B"/>
    <w:rsid w:val="00AB21B0"/>
    <w:rsid w:val="00AB48D3"/>
    <w:rsid w:val="00AB7FC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8A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B6E"/>
    <w:rsid w:val="00C3164F"/>
    <w:rsid w:val="00C31B5E"/>
    <w:rsid w:val="00C34D3E"/>
    <w:rsid w:val="00C35B37"/>
    <w:rsid w:val="00C3747A"/>
    <w:rsid w:val="00C37F29"/>
    <w:rsid w:val="00C52A4D"/>
    <w:rsid w:val="00C56DCC"/>
    <w:rsid w:val="00C57075"/>
    <w:rsid w:val="00C72AFE"/>
    <w:rsid w:val="00C81619"/>
    <w:rsid w:val="00C82501"/>
    <w:rsid w:val="00CA013C"/>
    <w:rsid w:val="00CA6D6D"/>
    <w:rsid w:val="00CA7FC8"/>
    <w:rsid w:val="00CC4BD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1A2"/>
    <w:rsid w:val="00D61A4E"/>
    <w:rsid w:val="00D634EA"/>
    <w:rsid w:val="00D713A1"/>
    <w:rsid w:val="00D77956"/>
    <w:rsid w:val="00D80F0C"/>
    <w:rsid w:val="00D92077"/>
    <w:rsid w:val="00D951E2"/>
    <w:rsid w:val="00D9565A"/>
    <w:rsid w:val="00DB2337"/>
    <w:rsid w:val="00DB5F87"/>
    <w:rsid w:val="00DB699B"/>
    <w:rsid w:val="00DC0146"/>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385"/>
    <w:rsid w:val="00E353A2"/>
    <w:rsid w:val="00E362FA"/>
    <w:rsid w:val="00E36881"/>
    <w:rsid w:val="00E42E4C"/>
    <w:rsid w:val="00E47013"/>
    <w:rsid w:val="00E541F9"/>
    <w:rsid w:val="00E57B79"/>
    <w:rsid w:val="00E63419"/>
    <w:rsid w:val="00E64496"/>
    <w:rsid w:val="00E72115"/>
    <w:rsid w:val="00E8322E"/>
    <w:rsid w:val="00E84149"/>
    <w:rsid w:val="00E903E0"/>
    <w:rsid w:val="00EA1115"/>
    <w:rsid w:val="00EA39EB"/>
    <w:rsid w:val="00EA58CE"/>
    <w:rsid w:val="00EB33FF"/>
    <w:rsid w:val="00EB3D1A"/>
    <w:rsid w:val="00EB7A26"/>
    <w:rsid w:val="00EC2759"/>
    <w:rsid w:val="00EC7106"/>
    <w:rsid w:val="00ED0120"/>
    <w:rsid w:val="00ED1361"/>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3A7"/>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0C7EF7"/>
  <w14:defaultImageDpi w14:val="300"/>
  <w15:docId w15:val="{FE3DA804-60BA-B14B-948C-56AF780C5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01FC"/>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8101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01FC"/>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8101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
    <w:basedOn w:val="Normal"/>
    <w:next w:val="Normal"/>
    <w:link w:val="Heading4Char"/>
    <w:uiPriority w:val="9"/>
    <w:unhideWhenUsed/>
    <w:qFormat/>
    <w:rsid w:val="008101F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101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01FC"/>
  </w:style>
  <w:style w:type="character" w:customStyle="1" w:styleId="Heading1Char">
    <w:name w:val="Heading 1 Char"/>
    <w:aliases w:val="Pocket Char"/>
    <w:basedOn w:val="DefaultParagraphFont"/>
    <w:link w:val="Heading1"/>
    <w:uiPriority w:val="9"/>
    <w:rsid w:val="008101F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101FC"/>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8101FC"/>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9"/>
    <w:rsid w:val="008101FC"/>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01FC"/>
    <w:rPr>
      <w:b/>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8101FC"/>
    <w:rPr>
      <w:b/>
      <w:sz w:val="24"/>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8101FC"/>
    <w:rPr>
      <w:rFonts w:ascii="Times New Roman" w:hAnsi="Times New Roman" w:cs="Times New Roman"/>
      <w:b/>
      <w:i w:val="0"/>
      <w:iCs/>
      <w:sz w:val="24"/>
      <w:u w:val="single"/>
      <w:bdr w:val="single" w:sz="8" w:space="0" w:color="auto"/>
    </w:rPr>
  </w:style>
  <w:style w:type="character" w:styleId="FollowedHyperlink">
    <w:name w:val="FollowedHyperlink"/>
    <w:basedOn w:val="DefaultParagraphFont"/>
    <w:uiPriority w:val="99"/>
    <w:semiHidden/>
    <w:unhideWhenUsed/>
    <w:rsid w:val="008101F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101FC"/>
    <w:rPr>
      <w:color w:val="auto"/>
      <w:u w:val="none"/>
    </w:rPr>
  </w:style>
  <w:style w:type="paragraph" w:styleId="DocumentMap">
    <w:name w:val="Document Map"/>
    <w:basedOn w:val="Normal"/>
    <w:link w:val="DocumentMapChar"/>
    <w:uiPriority w:val="99"/>
    <w:semiHidden/>
    <w:unhideWhenUsed/>
    <w:rsid w:val="008101F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101FC"/>
    <w:rPr>
      <w:rFonts w:ascii="Lucida Grande" w:hAnsi="Lucida Grande" w:cs="Lucida Grande"/>
    </w:rPr>
  </w:style>
  <w:style w:type="paragraph" w:customStyle="1" w:styleId="textbold">
    <w:name w:val="text bold"/>
    <w:basedOn w:val="Normal"/>
    <w:link w:val="Emphasis"/>
    <w:uiPriority w:val="20"/>
    <w:qFormat/>
    <w:rsid w:val="001F45F7"/>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8101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4265D3"/>
  </w:style>
  <w:style w:type="character" w:customStyle="1" w:styleId="UnderlineBold">
    <w:name w:val="Underline + Bold"/>
    <w:basedOn w:val="DefaultParagraphFont"/>
    <w:uiPriority w:val="1"/>
    <w:qFormat/>
    <w:rsid w:val="000268DD"/>
    <w:rPr>
      <w:b/>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therpapers.com/essay/Ethicality-of-Labor-Strike-Demonstrates-by-Social-Workers/62694.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therpapers.com/essay/Ethicality-of-Labor-Strike-Demonstrates-by-Social-Workers/62694.html" TargetMode="External"/><Relationship Id="rId5" Type="http://schemas.openxmlformats.org/officeDocument/2006/relationships/numbering" Target="numbering.xml"/><Relationship Id="rId10" Type="http://schemas.openxmlformats.org/officeDocument/2006/relationships/hyperlink" Target="https://law.jrank.org/" TargetMode="External"/><Relationship Id="rId4" Type="http://schemas.openxmlformats.org/officeDocument/2006/relationships/customXml" Target="../customXml/item4.xml"/><Relationship Id="rId9" Type="http://schemas.openxmlformats.org/officeDocument/2006/relationships/hyperlink" Target="https://law.jrank.org/pages/10554/Strike-Status.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mtiazahma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8337225-FFDC-444D-BFCA-F6384A2A9AE2}">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61</TotalTime>
  <Pages>13</Pages>
  <Words>5816</Words>
  <Characters>33154</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38893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Ali  Ahmad</cp:lastModifiedBy>
  <cp:revision>31</cp:revision>
  <dcterms:created xsi:type="dcterms:W3CDTF">2021-07-08T14:26:00Z</dcterms:created>
  <dcterms:modified xsi:type="dcterms:W3CDTF">2021-07-08T17:00:00Z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