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1232A" w14:textId="51802C89" w:rsidR="00E746EF" w:rsidRPr="00E746EF" w:rsidRDefault="00E746EF" w:rsidP="00E746EF">
      <w:pPr>
        <w:pStyle w:val="Heading2"/>
        <w:rPr>
          <w:u w:val="single"/>
        </w:rPr>
      </w:pPr>
      <w:r w:rsidRPr="00E746EF">
        <w:rPr>
          <w:u w:val="single"/>
        </w:rPr>
        <w:t>Framework</w:t>
      </w:r>
    </w:p>
    <w:p w14:paraId="631C20A5" w14:textId="1F4A4E0E" w:rsidR="00341236" w:rsidRPr="0007420E" w:rsidRDefault="00341236" w:rsidP="00341236">
      <w:pPr>
        <w:pStyle w:val="Heading4"/>
        <w:rPr>
          <w:rFonts w:cs="Calibri"/>
        </w:rPr>
      </w:pPr>
      <w:r w:rsidRPr="0007420E">
        <w:rPr>
          <w:rFonts w:cs="Calibri"/>
        </w:rPr>
        <w:t>Freedom is a primary ethical good –</w:t>
      </w:r>
    </w:p>
    <w:p w14:paraId="491D4C5B" w14:textId="77777777" w:rsidR="00341236" w:rsidRPr="0007420E" w:rsidRDefault="00341236" w:rsidP="00341236">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040726EA" w14:textId="77777777" w:rsidR="00341236" w:rsidRPr="0007420E" w:rsidRDefault="00341236" w:rsidP="00341236">
      <w:pPr>
        <w:rPr>
          <w:sz w:val="16"/>
          <w:szCs w:val="16"/>
        </w:rPr>
      </w:pPr>
      <w:r w:rsidRPr="0007420E">
        <w:rPr>
          <w:sz w:val="16"/>
          <w:szCs w:val="16"/>
        </w:rPr>
        <w:t xml:space="preserve">[Alan Gewirth,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216C890B" w14:textId="77777777" w:rsidR="00341236" w:rsidRPr="0007420E" w:rsidRDefault="00341236" w:rsidP="00341236">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proofErr w:type="gramStart"/>
      <w:r w:rsidRPr="0007420E">
        <w:rPr>
          <w:b/>
          <w:bCs/>
          <w:u w:val="single"/>
        </w:rPr>
        <w:t>acts</w:t>
      </w:r>
      <w:proofErr w:type="gramEnd"/>
      <w:r w:rsidRPr="0007420E">
        <w:rPr>
          <w:b/>
          <w:bCs/>
          <w:u w:val="single"/>
        </w:rPr>
        <w:t xml:space="preserve">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07420E">
        <w:rPr>
          <w:sz w:val="10"/>
        </w:rPr>
        <w:t>), because</w:t>
      </w:r>
      <w:proofErr w:type="gramEnd"/>
      <w:r w:rsidRPr="0007420E">
        <w:rPr>
          <w:sz w:val="10"/>
        </w:rPr>
        <w:t xml:space="preserve"> it combines the formal consideration of consistency with the material consideration of the generic features and rights of action.</w:t>
      </w:r>
    </w:p>
    <w:p w14:paraId="5BD24103" w14:textId="77777777" w:rsidR="00341236" w:rsidRPr="0007420E" w:rsidRDefault="00341236" w:rsidP="00341236">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2C14FE03" w14:textId="77777777" w:rsidR="00341236" w:rsidRPr="0007420E" w:rsidRDefault="00341236" w:rsidP="00341236">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3C617E79" w14:textId="77777777" w:rsidR="00341236" w:rsidRPr="0007420E" w:rsidRDefault="00341236" w:rsidP="00341236">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07420E">
        <w:rPr>
          <w:sz w:val="16"/>
        </w:rPr>
        <w:t>whether or not</w:t>
      </w:r>
      <w:proofErr w:type="gramEnd"/>
      <w:r w:rsidRPr="0007420E">
        <w:rPr>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w:t>
      </w:r>
      <w:proofErr w:type="gramStart"/>
      <w:r w:rsidRPr="0007420E">
        <w:rPr>
          <w:b/>
          <w:u w:val="single"/>
        </w:rPr>
        <w:t>and also</w:t>
      </w:r>
      <w:proofErr w:type="gramEnd"/>
      <w:r w:rsidRPr="0007420E">
        <w:rPr>
          <w:b/>
          <w:u w:val="single"/>
        </w:rPr>
        <w:t xml:space="preserve">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w:t>
      </w:r>
      <w:proofErr w:type="gramStart"/>
      <w:r w:rsidRPr="0007420E">
        <w:rPr>
          <w:sz w:val="16"/>
        </w:rPr>
        <w:t>and also</w:t>
      </w:r>
      <w:proofErr w:type="gramEnd"/>
      <w:r w:rsidRPr="0007420E">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xml:space="preserve">, as an </w:t>
      </w:r>
      <w:proofErr w:type="gramStart"/>
      <w:r w:rsidRPr="0007420E">
        <w:rPr>
          <w:b/>
          <w:u w:val="single"/>
        </w:rPr>
        <w:t>end in itself</w:t>
      </w:r>
      <w:proofErr w:type="gramEnd"/>
      <w:r w:rsidRPr="0007420E">
        <w:rPr>
          <w:b/>
          <w:u w:val="single"/>
        </w:rPr>
        <w:t>.</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07420E">
        <w:rPr>
          <w:sz w:val="16"/>
        </w:rPr>
        <w:t>good</w:t>
      </w:r>
      <w:proofErr w:type="gramEnd"/>
      <w:r w:rsidRPr="0007420E">
        <w:rPr>
          <w:sz w:val="16"/>
        </w:rPr>
        <w:t xml:space="preserve"> or evil, have equal (absolute) worth as ends in themselves. For Kantian ethics </w:t>
      </w:r>
      <w:r w:rsidRPr="0007420E">
        <w:rPr>
          <w:b/>
          <w:u w:val="single"/>
        </w:rPr>
        <w:t xml:space="preserve">the rational nature in every person is an end </w:t>
      </w:r>
      <w:proofErr w:type="gramStart"/>
      <w:r w:rsidRPr="0007420E">
        <w:rPr>
          <w:b/>
          <w:u w:val="single"/>
        </w:rPr>
        <w:t>in itself whether</w:t>
      </w:r>
      <w:proofErr w:type="gramEnd"/>
      <w:r w:rsidRPr="0007420E">
        <w:rPr>
          <w:b/>
          <w:u w:val="single"/>
        </w:rPr>
        <w:t xml:space="preserve"> the person is morally good or bad.</w:t>
      </w:r>
    </w:p>
    <w:p w14:paraId="033DC971" w14:textId="77777777" w:rsidR="00341236" w:rsidRPr="00F60A9D" w:rsidRDefault="00341236" w:rsidP="00341236">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7465B396" w14:textId="77777777" w:rsidR="00341236" w:rsidRPr="00BA7908" w:rsidRDefault="00341236" w:rsidP="00341236">
      <w:pPr>
        <w:rPr>
          <w:sz w:val="16"/>
          <w:szCs w:val="16"/>
        </w:rPr>
      </w:pPr>
      <w:r w:rsidRPr="00BA7908">
        <w:rPr>
          <w:sz w:val="16"/>
          <w:szCs w:val="16"/>
        </w:rPr>
        <w:t>Philip Pettit, “Legitimacy and Justice in Republican Perspective” Current Legal Problems, 2012 RE Recut LHP AV</w:t>
      </w:r>
    </w:p>
    <w:p w14:paraId="7CA782E4" w14:textId="77777777" w:rsidR="00341236" w:rsidRPr="00F60A9D" w:rsidRDefault="00341236" w:rsidP="00341236">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 xml:space="preserve">be secured </w:t>
      </w:r>
      <w:proofErr w:type="gramStart"/>
      <w:r w:rsidRPr="00707B98">
        <w:rPr>
          <w:b/>
          <w:bCs/>
          <w:highlight w:val="yellow"/>
          <w:u w:val="single"/>
        </w:rPr>
        <w:t>on the basis of</w:t>
      </w:r>
      <w:proofErr w:type="gramEnd"/>
      <w:r w:rsidRPr="00707B98">
        <w:rPr>
          <w:b/>
          <w:bCs/>
          <w:highlight w:val="yellow"/>
          <w:u w:val="single"/>
        </w:rPr>
        <w:t xml:space="preserve">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41557045" w14:textId="7BF1467F" w:rsidR="00341236" w:rsidRPr="007C26D7" w:rsidRDefault="00341236" w:rsidP="00341236">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r w:rsidR="00E746EF">
        <w:t>P</w:t>
      </w:r>
      <w:r w:rsidR="00E746EF" w:rsidRPr="00426E6D">
        <w:t>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 </w:t>
      </w:r>
    </w:p>
    <w:p w14:paraId="05C0E242" w14:textId="77777777" w:rsidR="00341236" w:rsidRDefault="00341236" w:rsidP="00341236">
      <w:pPr>
        <w:pStyle w:val="Heading4"/>
      </w:pPr>
      <w:r w:rsidRPr="0007420E">
        <w:t>Impact calc</w:t>
      </w:r>
      <w:r>
        <w:t xml:space="preserve"> – power can be exercised non-arbitrarily insofar as those interfered with have control over domination, Pettit 2:</w:t>
      </w:r>
    </w:p>
    <w:p w14:paraId="53B4B3A0" w14:textId="77777777" w:rsidR="00341236" w:rsidRPr="00DA77C9" w:rsidRDefault="00341236" w:rsidP="00341236">
      <w:r>
        <w:t>Pettit P. Freedom in the market. Politics, Philosophy &amp; Economics. 2006;5(2):131-149. doi:10.1177/1470594X06064218 //LHP AV Accessed 7/4/21</w:t>
      </w:r>
    </w:p>
    <w:p w14:paraId="565BDD10" w14:textId="77777777" w:rsidR="00341236" w:rsidRPr="00E80A12" w:rsidRDefault="00341236" w:rsidP="00341236">
      <w:pPr>
        <w:rPr>
          <w:sz w:val="10"/>
        </w:rPr>
      </w:pPr>
      <w:proofErr w:type="gramStart"/>
      <w:r w:rsidRPr="00E80A12">
        <w:rPr>
          <w:sz w:val="10"/>
        </w:rPr>
        <w:t>In order to</w:t>
      </w:r>
      <w:proofErr w:type="gramEnd"/>
      <w:r w:rsidRPr="00E80A12">
        <w:rPr>
          <w:sz w:val="10"/>
        </w:rPr>
        <w:t xml:space="preserve">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1D3C83C9" w14:textId="77777777" w:rsidR="00341236" w:rsidRPr="0007420E" w:rsidRDefault="00341236" w:rsidP="00341236">
      <w:pPr>
        <w:pStyle w:val="Heading4"/>
      </w:pPr>
      <w:r w:rsidRPr="0007420E">
        <w:t>Prefer –</w:t>
      </w:r>
    </w:p>
    <w:p w14:paraId="359868BF" w14:textId="77777777" w:rsidR="00341236" w:rsidRPr="00F60A9D" w:rsidRDefault="00341236" w:rsidP="00341236">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w:t>
      </w:r>
      <w:proofErr w:type="spellStart"/>
      <w:r w:rsidRPr="00F60A9D">
        <w:rPr>
          <w:rFonts w:cs="Calibri"/>
        </w:rPr>
        <w:t>glang</w:t>
      </w:r>
      <w:proofErr w:type="spellEnd"/>
      <w:r w:rsidRPr="00F60A9D">
        <w:rPr>
          <w:rFonts w:cs="Calibri"/>
        </w:rPr>
        <w:t>:</w:t>
      </w:r>
    </w:p>
    <w:p w14:paraId="32F7401A" w14:textId="77777777" w:rsidR="00341236" w:rsidRPr="00BA7908" w:rsidRDefault="00341236" w:rsidP="00341236">
      <w:pPr>
        <w:rPr>
          <w:sz w:val="16"/>
          <w:szCs w:val="16"/>
        </w:rPr>
      </w:pPr>
      <w:r w:rsidRPr="00BA7908">
        <w:rPr>
          <w:sz w:val="16"/>
          <w:szCs w:val="16"/>
        </w:rPr>
        <w:t>PETTIT, PHILIP. “THE DOMINATION COMPLAINT.” Nomos, vol. 46, 2005, pp. 87–117. JSTOR, www.jstor.org/stable/24220143. Accessed 19 Aug. 2020.</w:t>
      </w:r>
    </w:p>
    <w:p w14:paraId="526301AE" w14:textId="77777777" w:rsidR="00341236" w:rsidRPr="00F60A9D" w:rsidRDefault="00341236" w:rsidP="00341236">
      <w:pPr>
        <w:rPr>
          <w:sz w:val="16"/>
        </w:rPr>
      </w:pPr>
      <w:r w:rsidRPr="003268AF">
        <w:rPr>
          <w:rStyle w:val="StyleUnderline"/>
          <w:bCs/>
          <w:highlight w:val="yellow"/>
        </w:rPr>
        <w:t>When</w:t>
      </w:r>
      <w:r w:rsidRPr="003268AF">
        <w:rPr>
          <w:rStyle w:val="StyleUnderline"/>
          <w:bCs/>
        </w:rPr>
        <w:t xml:space="preserve"> </w:t>
      </w:r>
      <w:proofErr w:type="gramStart"/>
      <w:r w:rsidRPr="003268AF">
        <w:rPr>
          <w:rStyle w:val="StyleUnderline"/>
          <w:bCs/>
        </w:rPr>
        <w:t>a number of</w:t>
      </w:r>
      <w:proofErr w:type="gramEnd"/>
      <w:r w:rsidRPr="003268AF">
        <w:rPr>
          <w:rStyle w:val="StyleUnderline"/>
          <w:bCs/>
        </w:rPr>
        <w:t xml:space="preserve"> </w:t>
      </w:r>
      <w:r w:rsidRPr="003268AF">
        <w:rPr>
          <w:rStyle w:val="StyleUnderline"/>
          <w:bCs/>
          <w:highlight w:val="yellow"/>
        </w:rPr>
        <w:t>people engage in discourse</w:t>
      </w:r>
      <w:r w:rsidRPr="003268AF">
        <w:rPr>
          <w:rStyle w:val="StyleUnderline"/>
          <w:bCs/>
        </w:rPr>
        <w:t>, their aim being to determine what is</w:t>
      </w:r>
      <w:r w:rsidRPr="00F60A9D">
        <w:rPr>
          <w:sz w:val="16"/>
        </w:rPr>
        <w:t xml:space="preserve"> so in some domain or how it is </w:t>
      </w:r>
      <w:r w:rsidRPr="003268AF">
        <w:rPr>
          <w:rStyle w:val="StyleUnderline"/>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Cs/>
          <w:highlight w:val="yellow"/>
        </w:rPr>
        <w:t>They authorize one another as voices that are</w:t>
      </w:r>
      <w:r w:rsidRPr="003268AF">
        <w:rPr>
          <w:rStyle w:val="StyleUnderline"/>
          <w:bCs/>
        </w:rPr>
        <w:t xml:space="preserve"> generally </w:t>
      </w:r>
      <w:r w:rsidRPr="003268AF">
        <w:rPr>
          <w:rStyle w:val="StyleUnderline"/>
          <w:bCs/>
          <w:highlight w:val="yellow"/>
        </w:rPr>
        <w:t>capable of providing reasons</w:t>
      </w:r>
      <w:r w:rsidRPr="003268AF">
        <w:rPr>
          <w:rStyle w:val="StyleUnderline"/>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w:t>
      </w:r>
      <w:proofErr w:type="gramStart"/>
      <w:r w:rsidRPr="00F60A9D">
        <w:rPr>
          <w:sz w:val="16"/>
        </w:rPr>
        <w:t>absolutely reasonable</w:t>
      </w:r>
      <w:proofErr w:type="gramEnd"/>
      <w:r w:rsidRPr="00F60A9D">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Cs/>
        </w:rPr>
        <w:t xml:space="preserve">the fact of being exposed to </w:t>
      </w:r>
      <w:r w:rsidRPr="003268AF">
        <w:rPr>
          <w:rStyle w:val="StyleUnderline"/>
          <w:bCs/>
          <w:highlight w:val="yellow"/>
        </w:rPr>
        <w:t>the possibility of interference from another impacts</w:t>
      </w:r>
      <w:r w:rsidRPr="003268AF">
        <w:rPr>
          <w:rStyle w:val="StyleUnderline"/>
          <w:bCs/>
        </w:rPr>
        <w:t xml:space="preserve"> in a serious way on </w:t>
      </w:r>
      <w:r w:rsidRPr="003268AF">
        <w:rPr>
          <w:rStyle w:val="StyleUnderline"/>
          <w:bCs/>
          <w:highlight w:val="yellow"/>
        </w:rPr>
        <w:t xml:space="preserve">the likelihood that a person will speak </w:t>
      </w:r>
      <w:r w:rsidRPr="003268AF">
        <w:rPr>
          <w:rStyle w:val="StyleUnderline"/>
          <w:bCs/>
          <w:strike/>
        </w:rPr>
        <w:t>his</w:t>
      </w:r>
      <w:r w:rsidRPr="003268AF">
        <w:rPr>
          <w:rStyle w:val="StyleUnderline"/>
          <w:bCs/>
        </w:rPr>
        <w:t xml:space="preserve"> </w:t>
      </w:r>
      <w:r w:rsidRPr="003268AF">
        <w:rPr>
          <w:rStyle w:val="StyleUnderline"/>
          <w:bCs/>
          <w:highlight w:val="yellow"/>
        </w:rPr>
        <w:t>[their]</w:t>
      </w:r>
      <w:r w:rsidRPr="003268AF">
        <w:rPr>
          <w:rStyle w:val="StyleUnderline"/>
          <w:bCs/>
        </w:rPr>
        <w:t xml:space="preserve"> </w:t>
      </w:r>
      <w:r w:rsidRPr="003268AF">
        <w:rPr>
          <w:rStyle w:val="StyleUnderline"/>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Cs/>
          <w:highlight w:val="yellow"/>
        </w:rPr>
        <w:t xml:space="preserve">domination will also lead others not to take seriously </w:t>
      </w:r>
      <w:r w:rsidRPr="003268AF">
        <w:rPr>
          <w:rStyle w:val="StyleUnderline"/>
          <w:bCs/>
        </w:rPr>
        <w:t xml:space="preserve">the words uttered by </w:t>
      </w:r>
      <w:r w:rsidRPr="003268AF">
        <w:rPr>
          <w:rStyle w:val="StyleUnderline"/>
          <w:bCs/>
          <w:highlight w:val="yellow"/>
        </w:rPr>
        <w:t xml:space="preserve">anyone in </w:t>
      </w:r>
      <w:r w:rsidRPr="003268AF">
        <w:rPr>
          <w:rStyle w:val="StyleUnderline"/>
          <w:bCs/>
        </w:rPr>
        <w:t xml:space="preserve">a position of </w:t>
      </w:r>
      <w:r w:rsidRPr="003268AF">
        <w:rPr>
          <w:rStyle w:val="StyleUnderline"/>
          <w:bCs/>
          <w:highlight w:val="yellow"/>
        </w:rPr>
        <w:t>subordination</w:t>
      </w:r>
      <w:r w:rsidRPr="003268AF">
        <w:rPr>
          <w:rStyle w:val="StyleUnderline"/>
          <w:bCs/>
        </w:rPr>
        <w:t xml:space="preserve"> and dependency. </w:t>
      </w:r>
      <w:r w:rsidRPr="003268AF">
        <w:rPr>
          <w:rStyle w:val="StyleUnderline"/>
          <w:bCs/>
          <w:highlight w:val="yellow"/>
        </w:rPr>
        <w:t xml:space="preserve">How can people trust the remarks of the vulnerable </w:t>
      </w:r>
      <w:r w:rsidRPr="003268AF">
        <w:rPr>
          <w:rStyle w:val="StyleUnderline"/>
          <w:bCs/>
        </w:rPr>
        <w:t xml:space="preserve">person, especially </w:t>
      </w:r>
      <w:r w:rsidRPr="003268AF">
        <w:rPr>
          <w:rStyle w:val="StyleUnderline"/>
          <w:bCs/>
          <w:highlight w:val="yellow"/>
        </w:rPr>
        <w:t xml:space="preserve">when they are tailored to </w:t>
      </w:r>
      <w:r w:rsidRPr="003268AF">
        <w:rPr>
          <w:rStyle w:val="StyleUnderline"/>
          <w:bCs/>
        </w:rPr>
        <w:t xml:space="preserve">fit with </w:t>
      </w:r>
      <w:r w:rsidRPr="003268AF">
        <w:rPr>
          <w:rStyle w:val="StyleUnderline"/>
          <w:bCs/>
          <w:highlight w:val="yellow"/>
        </w:rPr>
        <w:t xml:space="preserve">the opinions </w:t>
      </w:r>
      <w:r w:rsidRPr="003268AF">
        <w:rPr>
          <w:rStyle w:val="StyleUnderline"/>
          <w:bCs/>
        </w:rPr>
        <w:t xml:space="preserve">of someone in relation </w:t>
      </w:r>
      <w:r w:rsidRPr="003268AF">
        <w:rPr>
          <w:rStyle w:val="StyleUnderline"/>
          <w:bCs/>
          <w:highlight w:val="yellow"/>
        </w:rPr>
        <w:t>to whom they suffer</w:t>
      </w:r>
      <w:r w:rsidRPr="003268AF">
        <w:rPr>
          <w:rStyle w:val="StyleUnderline"/>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Cs/>
        </w:rPr>
        <w:t xml:space="preserve">they will have no reason to take the dominated person </w:t>
      </w:r>
      <w:proofErr w:type="gramStart"/>
      <w:r w:rsidRPr="003268AF">
        <w:rPr>
          <w:rStyle w:val="StyleUnderline"/>
          <w:bCs/>
        </w:rPr>
        <w:t>really seriously</w:t>
      </w:r>
      <w:proofErr w:type="gramEnd"/>
      <w:r w:rsidRPr="003268AF">
        <w:rPr>
          <w:rStyle w:val="StyleUnderline"/>
          <w:bCs/>
        </w:rPr>
        <w:t>; they will have no reason to grant that person a real voice</w:t>
      </w:r>
      <w:r w:rsidRPr="00F60A9D">
        <w:rPr>
          <w:sz w:val="16"/>
        </w:rPr>
        <w:t xml:space="preserve"> or give him or her a genuine hearing. </w:t>
      </w:r>
    </w:p>
    <w:p w14:paraId="3B44610E" w14:textId="77777777" w:rsidR="00341236" w:rsidRPr="00F60A9D" w:rsidRDefault="00341236" w:rsidP="00341236">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494C1EB1" w14:textId="77777777" w:rsidR="00341236" w:rsidRPr="00BA7908" w:rsidRDefault="00341236" w:rsidP="00341236">
      <w:pPr>
        <w:rPr>
          <w:sz w:val="16"/>
          <w:szCs w:val="16"/>
        </w:rPr>
      </w:pPr>
      <w:r w:rsidRPr="00BA7908">
        <w:rPr>
          <w:sz w:val="16"/>
          <w:szCs w:val="16"/>
        </w:rPr>
        <w:t>PETTIT, PHILIP. “THE DOMINATION COMPLAINT.” Nomos, vol. 46, 2005, pp. 87–117. JSTOR, www.jstor.org/stable/24220143. Accessed 19 Aug. 2020.</w:t>
      </w:r>
    </w:p>
    <w:p w14:paraId="08424685" w14:textId="77777777" w:rsidR="00341236" w:rsidRPr="00F60A9D" w:rsidRDefault="00341236" w:rsidP="00341236">
      <w:pPr>
        <w:rPr>
          <w:sz w:val="16"/>
        </w:rPr>
      </w:pPr>
      <w:r w:rsidRPr="00F60A9D">
        <w:rPr>
          <w:sz w:val="16"/>
        </w:rPr>
        <w:t xml:space="preserve">The primary reason why the complaint about being dominated is of the first significance is that </w:t>
      </w:r>
      <w:r w:rsidRPr="003268AF">
        <w:rPr>
          <w:rStyle w:val="StyleUnderline"/>
          <w:bCs/>
          <w:highlight w:val="yellow"/>
        </w:rPr>
        <w:t>domination</w:t>
      </w:r>
      <w:r w:rsidRPr="003268AF">
        <w:rPr>
          <w:rStyle w:val="StyleUnderline"/>
          <w:bCs/>
        </w:rPr>
        <w:t xml:space="preserve"> almost invariably </w:t>
      </w:r>
      <w:r w:rsidRPr="003268AF">
        <w:rPr>
          <w:rStyle w:val="StyleUnderline"/>
          <w:bCs/>
          <w:highlight w:val="yellow"/>
        </w:rPr>
        <w:t>undermines a person's capacity to enjoy respect</w:t>
      </w:r>
      <w:r w:rsidRPr="003268AF">
        <w:rPr>
          <w:rStyle w:val="StyleUnderline"/>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Cs/>
        </w:rPr>
        <w:t xml:space="preserve">we may expect </w:t>
      </w:r>
      <w:r w:rsidRPr="003268AF">
        <w:rPr>
          <w:rStyle w:val="StyleUnderline"/>
          <w:bCs/>
          <w:highlight w:val="yellow"/>
        </w:rPr>
        <w:t xml:space="preserve">most people </w:t>
      </w:r>
      <w:r w:rsidRPr="003268AF">
        <w:rPr>
          <w:rStyle w:val="StyleUnderline"/>
          <w:bCs/>
        </w:rPr>
        <w:t xml:space="preserve">to </w:t>
      </w:r>
      <w:r w:rsidRPr="003268AF">
        <w:rPr>
          <w:rStyle w:val="StyleUnderline"/>
          <w:bCs/>
          <w:highlight w:val="yellow"/>
        </w:rPr>
        <w:t>recognize domination when they see it, and</w:t>
      </w:r>
      <w:r w:rsidRPr="003268AF">
        <w:rPr>
          <w:rStyle w:val="StyleUnderline"/>
          <w:bCs/>
        </w:rPr>
        <w:t xml:space="preserve"> this in turn being obvious, to </w:t>
      </w:r>
      <w:r w:rsidRPr="003268AF">
        <w:rPr>
          <w:rStyle w:val="StyleUnderline"/>
          <w:bCs/>
          <w:highlight w:val="yellow"/>
        </w:rPr>
        <w:t xml:space="preserve">recognize that others will recognize it too, </w:t>
      </w:r>
      <w:r w:rsidRPr="003268AF">
        <w:rPr>
          <w:rStyle w:val="StyleUnderline"/>
          <w:bCs/>
        </w:rPr>
        <w:t xml:space="preserve">thereby </w:t>
      </w:r>
      <w:r w:rsidRPr="003268AF">
        <w:rPr>
          <w:rStyle w:val="StyleUnderline"/>
          <w:bCs/>
          <w:highlight w:val="yellow"/>
        </w:rPr>
        <w:t>giving rise to</w:t>
      </w:r>
      <w:r w:rsidRPr="003268AF">
        <w:rPr>
          <w:rStyle w:val="StyleUnderline"/>
          <w:bCs/>
        </w:rPr>
        <w:t xml:space="preserve"> the usual </w:t>
      </w:r>
      <w:r w:rsidRPr="003268AF">
        <w:rPr>
          <w:rStyle w:val="StyleUnderline"/>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Cs/>
          <w:highlight w:val="yellow"/>
        </w:rPr>
        <w:t>Once it is</w:t>
      </w:r>
      <w:r w:rsidRPr="003268AF">
        <w:rPr>
          <w:rStyle w:val="StyleUnderline"/>
          <w:bCs/>
        </w:rPr>
        <w:t xml:space="preserve"> recognized as a matter of </w:t>
      </w:r>
      <w:r w:rsidRPr="003268AF">
        <w:rPr>
          <w:rStyle w:val="StyleUnderline"/>
          <w:bCs/>
          <w:highlight w:val="yellow"/>
        </w:rPr>
        <w:t xml:space="preserve">common awareness </w:t>
      </w:r>
      <w:r w:rsidRPr="003268AF">
        <w:rPr>
          <w:rStyle w:val="StyleUnderline"/>
          <w:bCs/>
        </w:rPr>
        <w:t xml:space="preserve">that someone is dominated, however, then </w:t>
      </w:r>
      <w:r w:rsidRPr="003268AF">
        <w:rPr>
          <w:rStyle w:val="StyleUnderline"/>
          <w:bCs/>
          <w:highlight w:val="yellow"/>
        </w:rPr>
        <w:t>that person will no longer</w:t>
      </w:r>
      <w:r w:rsidRPr="003268AF">
        <w:rPr>
          <w:rStyle w:val="StyleUnderline"/>
          <w:bCs/>
        </w:rPr>
        <w:t xml:space="preserve"> be able to </w:t>
      </w:r>
      <w:r w:rsidRPr="003268AF">
        <w:rPr>
          <w:rStyle w:val="StyleUnderline"/>
          <w:bCs/>
          <w:highlight w:val="yellow"/>
        </w:rPr>
        <w:t>enjoy</w:t>
      </w:r>
      <w:r w:rsidRPr="003268AF">
        <w:rPr>
          <w:rStyle w:val="StyleUnderline"/>
          <w:bCs/>
        </w:rPr>
        <w:t xml:space="preserve"> the basic </w:t>
      </w:r>
      <w:r w:rsidRPr="003268AF">
        <w:rPr>
          <w:rStyle w:val="StyleUnderline"/>
          <w:bCs/>
          <w:highlight w:val="yellow"/>
        </w:rPr>
        <w:t xml:space="preserve">respect </w:t>
      </w:r>
      <w:r w:rsidRPr="003268AF">
        <w:rPr>
          <w:rStyle w:val="StyleUnderline"/>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Cs/>
          <w:highlight w:val="yellow"/>
        </w:rPr>
        <w:t>Being a person is inseparable from</w:t>
      </w:r>
      <w:r w:rsidRPr="003268AF">
        <w:rPr>
          <w:rStyle w:val="StyleUnderline"/>
          <w:bCs/>
        </w:rPr>
        <w:t xml:space="preserve"> earning and </w:t>
      </w:r>
      <w:r w:rsidRPr="003268AF">
        <w:rPr>
          <w:rStyle w:val="StyleUnderline"/>
          <w:bCs/>
          <w:highlight w:val="yellow"/>
        </w:rPr>
        <w:t>receiving respect</w:t>
      </w:r>
      <w:r w:rsidRPr="003268AF">
        <w:rPr>
          <w:rStyle w:val="StyleUnderline"/>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Cs/>
          <w:highlight w:val="yellow"/>
        </w:rPr>
        <w:t xml:space="preserve">. Let some people be dominated and </w:t>
      </w:r>
      <w:r w:rsidRPr="003268AF">
        <w:rPr>
          <w:rStyle w:val="StyleUnderline"/>
          <w:bCs/>
        </w:rPr>
        <w:t xml:space="preserve">to that extent </w:t>
      </w:r>
      <w:r w:rsidRPr="003268AF">
        <w:rPr>
          <w:rStyle w:val="StyleUnderline"/>
          <w:bCs/>
          <w:highlight w:val="yellow"/>
        </w:rPr>
        <w:t>they will be put out of any community that involves those who dominate</w:t>
      </w:r>
      <w:r w:rsidRPr="003268AF">
        <w:rPr>
          <w:rStyle w:val="StyleUnderline"/>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7198041A" w14:textId="77777777" w:rsidR="00341236" w:rsidRPr="00EF4D9C" w:rsidRDefault="00341236" w:rsidP="00341236">
      <w:pPr>
        <w:pStyle w:val="Heading4"/>
      </w:pPr>
      <w:r w:rsidRPr="00EF4D9C">
        <w:t xml:space="preserve">3] Sociality – </w:t>
      </w:r>
      <w:r>
        <w:t xml:space="preserve">Agents are constructed by recognition through the other. </w:t>
      </w:r>
      <w:r w:rsidRPr="00EF4D9C">
        <w:t xml:space="preserve">However, that leaves agents vulnerable to denial by the not-I. </w:t>
      </w:r>
      <w:r>
        <w:t xml:space="preserve">This </w:t>
      </w:r>
      <w:r w:rsidRPr="00EF4D9C">
        <w:t>commits agents to mutual recognition. Wood</w:t>
      </w:r>
      <w:r>
        <w:t>:</w:t>
      </w:r>
    </w:p>
    <w:p w14:paraId="6FE24497" w14:textId="77777777" w:rsidR="00341236" w:rsidRPr="00A070CE" w:rsidRDefault="00341236" w:rsidP="00341236">
      <w:r w:rsidRPr="00A070CE">
        <w:t xml:space="preserve">Allen W. Wood, "Fichte's Philosophy of Right and Ethics," forthcoming in Günter </w:t>
      </w:r>
      <w:proofErr w:type="spellStart"/>
      <w:r w:rsidRPr="00A070CE">
        <w:t>Zöller</w:t>
      </w:r>
      <w:proofErr w:type="spellEnd"/>
      <w:r w:rsidRPr="00A070CE">
        <w:t xml:space="preserve"> (ed). The Cambridge Companion to Fichte. New York: Cambridge University Press.</w:t>
      </w:r>
    </w:p>
    <w:p w14:paraId="566E4B77" w14:textId="77777777" w:rsidR="00341236" w:rsidRPr="00EF4D9C" w:rsidRDefault="00341236" w:rsidP="00341236">
      <w:pPr>
        <w:rPr>
          <w:b/>
          <w:bCs/>
          <w:u w:val="single"/>
        </w:rPr>
      </w:pPr>
      <w:r w:rsidRPr="000E4979">
        <w:rPr>
          <w:sz w:val="10"/>
        </w:rPr>
        <w:t>To understand another as a rational being making such a demand, and to display such understanding in action is to "recognize" (</w:t>
      </w:r>
      <w:proofErr w:type="spellStart"/>
      <w:r w:rsidRPr="000E4979">
        <w:rPr>
          <w:sz w:val="10"/>
        </w:rPr>
        <w:t>anerkennen</w:t>
      </w:r>
      <w:proofErr w:type="spellEnd"/>
      <w:r w:rsidRPr="000E4979">
        <w:rPr>
          <w:sz w:val="10"/>
        </w:rPr>
        <w:t xml:space="preserve">) the other (GA I/3:353).  </w:t>
      </w:r>
      <w:r w:rsidRPr="008742FE">
        <w:rPr>
          <w:b/>
          <w:bCs/>
          <w:highlight w:val="yellow"/>
          <w:u w:val="single"/>
        </w:rPr>
        <w:t>Since every free being necessarily wills</w:t>
      </w:r>
      <w:r w:rsidRPr="006620DC">
        <w:rPr>
          <w:b/>
          <w:bCs/>
          <w:u w:val="single"/>
        </w:rPr>
        <w:t xml:space="preserve"> to make use of </w:t>
      </w:r>
      <w:r w:rsidRPr="008742FE">
        <w:rPr>
          <w:b/>
          <w:bCs/>
          <w:highlight w:val="yellow"/>
          <w:u w:val="single"/>
        </w:rPr>
        <w:t>its freedom, the basic demand I necessarily make</w:t>
      </w:r>
      <w:r w:rsidRPr="006620DC">
        <w:rPr>
          <w:b/>
          <w:bCs/>
          <w:u w:val="single"/>
        </w:rPr>
        <w:t xml:space="preserve"> on every other free being </w:t>
      </w:r>
      <w:r w:rsidRPr="008742FE">
        <w:rPr>
          <w:b/>
          <w:bCs/>
          <w:highlight w:val="yellow"/>
          <w:u w:val="single"/>
        </w:rPr>
        <w:t xml:space="preserve">is that it should </w:t>
      </w:r>
      <w:r w:rsidRPr="006620DC">
        <w:rPr>
          <w:b/>
          <w:bCs/>
          <w:u w:val="single"/>
        </w:rPr>
        <w:t xml:space="preserve">limit its action in such a way that I am </w:t>
      </w:r>
      <w:r w:rsidRPr="008742FE">
        <w:rPr>
          <w:b/>
          <w:bCs/>
          <w:highlight w:val="yellow"/>
          <w:u w:val="single"/>
        </w:rPr>
        <w:t>allow</w:t>
      </w:r>
      <w:r w:rsidRPr="006620DC">
        <w:rPr>
          <w:b/>
          <w:bCs/>
          <w:u w:val="single"/>
        </w:rPr>
        <w:t xml:space="preserve">ed a sphere for </w:t>
      </w:r>
      <w:r w:rsidRPr="008742FE">
        <w:rPr>
          <w:b/>
          <w:bCs/>
          <w:highlight w:val="yellow"/>
          <w:u w:val="single"/>
        </w:rPr>
        <w:t>the exercise of my freedom</w:t>
      </w:r>
      <w:r w:rsidRPr="008742FE">
        <w:rPr>
          <w:sz w:val="10"/>
          <w:highlight w:val="yellow"/>
        </w:rPr>
        <w:t xml:space="preserve"> </w:t>
      </w:r>
      <w:r w:rsidRPr="000E4979">
        <w:rPr>
          <w:sz w:val="10"/>
        </w:rPr>
        <w:t>(GA I/3:357-358).  Fichte argues that for this reason</w:t>
      </w:r>
      <w:r w:rsidRPr="006620DC">
        <w:rPr>
          <w:b/>
          <w:bCs/>
          <w:u w:val="single"/>
        </w:rPr>
        <w:t xml:space="preserve"> </w:t>
      </w:r>
      <w:r w:rsidRPr="008742FE">
        <w:rPr>
          <w:b/>
          <w:bCs/>
          <w:highlight w:val="yellow"/>
          <w:u w:val="single"/>
        </w:rPr>
        <w:t>I must assume that others will recognize me</w:t>
      </w:r>
      <w:r w:rsidRPr="000E4979">
        <w:rPr>
          <w:sz w:val="10"/>
        </w:rPr>
        <w:t xml:space="preserve">, but </w:t>
      </w:r>
      <w:r w:rsidRPr="008742FE">
        <w:rPr>
          <w:b/>
          <w:bCs/>
          <w:highlight w:val="yellow"/>
          <w:u w:val="single"/>
        </w:rPr>
        <w:t xml:space="preserve">since I cannot expect others to do so unless I treat them as rational </w:t>
      </w:r>
      <w:r w:rsidRPr="006620DC">
        <w:rPr>
          <w:b/>
          <w:bCs/>
          <w:u w:val="single"/>
        </w:rPr>
        <w:t xml:space="preserve">beings, </w:t>
      </w:r>
      <w:r w:rsidRPr="008742FE">
        <w:rPr>
          <w:b/>
          <w:bCs/>
          <w:highlight w:val="yellow"/>
          <w:u w:val="single"/>
        </w:rPr>
        <w:t xml:space="preserve">I am bound </w:t>
      </w:r>
      <w:r w:rsidRPr="006620DC">
        <w:rPr>
          <w:b/>
          <w:bCs/>
          <w:u w:val="single"/>
        </w:rPr>
        <w:t>by mere logical consistency</w:t>
      </w:r>
      <w:r w:rsidRPr="000E4979">
        <w:rPr>
          <w:sz w:val="10"/>
        </w:rPr>
        <w:t xml:space="preserve"> (and prior to any moral requirement) </w:t>
      </w:r>
      <w:r w:rsidRPr="008742FE">
        <w:rPr>
          <w:b/>
          <w:bCs/>
          <w:highlight w:val="yellow"/>
          <w:u w:val="single"/>
        </w:rPr>
        <w:t xml:space="preserve">to recognize all others </w:t>
      </w:r>
      <w:r w:rsidRPr="006620DC">
        <w:rPr>
          <w:b/>
          <w:bCs/>
          <w:u w:val="single"/>
        </w:rPr>
        <w:t>and treat them accordingly</w:t>
      </w:r>
      <w:r w:rsidRPr="000E4979">
        <w:rPr>
          <w:sz w:val="10"/>
        </w:rPr>
        <w:t xml:space="preserve"> (GA I/3:349-356). </w:t>
      </w:r>
      <w:r w:rsidRPr="006620DC">
        <w:rPr>
          <w:b/>
          <w:bCs/>
          <w:u w:val="single"/>
        </w:rPr>
        <w:t xml:space="preserve">Recognition must be presupposed as the condition of all interactions between free beings, and it must be presupposed </w:t>
      </w:r>
      <w:r w:rsidRPr="008742FE">
        <w:rPr>
          <w:b/>
          <w:bCs/>
          <w:highlight w:val="yellow"/>
          <w:u w:val="single"/>
        </w:rPr>
        <w:t>as a reciprocal relation</w:t>
      </w:r>
      <w:r w:rsidRPr="000E4979">
        <w:rPr>
          <w:sz w:val="10"/>
        </w:rPr>
        <w:t xml:space="preserve">, which Fichte calls the "relation of right". It grounds the "principle of right": "I must in all cases recognize the free being outside me as such, </w:t>
      </w:r>
      <w:proofErr w:type="gramStart"/>
      <w:r w:rsidRPr="000E4979">
        <w:rPr>
          <w:sz w:val="10"/>
        </w:rPr>
        <w:t>i.e.</w:t>
      </w:r>
      <w:proofErr w:type="gramEnd"/>
      <w:r w:rsidRPr="000E4979">
        <w:rPr>
          <w:sz w:val="10"/>
        </w:rPr>
        <w:t xml:space="preserv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t>
      </w:r>
      <w:r w:rsidRPr="006620DC">
        <w:rPr>
          <w:b/>
          <w:bCs/>
          <w:u w:val="single"/>
        </w:rPr>
        <w:t xml:space="preserve">We have seen that </w:t>
      </w:r>
      <w:r w:rsidRPr="00EF4D9C">
        <w:rPr>
          <w:b/>
          <w:bCs/>
          <w:highlight w:val="yellow"/>
          <w:u w:val="single"/>
        </w:rPr>
        <w:t>the I must be limited by a not-I</w:t>
      </w:r>
      <w:r w:rsidRPr="006620DC">
        <w:rPr>
          <w:b/>
          <w:bCs/>
          <w:u w:val="single"/>
        </w:rPr>
        <w:t>.</w:t>
      </w:r>
      <w:r w:rsidRPr="000E4979">
        <w:rPr>
          <w:sz w:val="10"/>
        </w:rPr>
        <w:t xml:space="preserve"> Fichte interprets as saying that </w:t>
      </w:r>
      <w:r w:rsidRPr="006620DC">
        <w:rPr>
          <w:b/>
          <w:bCs/>
          <w:u w:val="single"/>
        </w:rPr>
        <w:t>the I and an external, material world must exercise a mutual causal influence on one another</w:t>
      </w:r>
      <w:r w:rsidRPr="000E4979">
        <w:rPr>
          <w:sz w:val="10"/>
        </w:rPr>
        <w:t xml:space="preserve">.  But </w:t>
      </w:r>
      <w:r w:rsidRPr="006620DC">
        <w:rPr>
          <w:b/>
          <w:bCs/>
          <w:u w:val="single"/>
        </w:rPr>
        <w:t xml:space="preserve">since only matter can act on matter, the I too must be matter – or at least it must have a material vehicle for its relations of activity and passivity to the not-I. To be an I therefore, one must be embodied, and the starting point of the external sphere recognized by others must be its body </w:t>
      </w:r>
    </w:p>
    <w:p w14:paraId="605202C0" w14:textId="3389F0F1" w:rsidR="00341236" w:rsidRPr="00E746EF" w:rsidRDefault="00341236" w:rsidP="00E746EF">
      <w:pPr>
        <w:pStyle w:val="Heading2"/>
        <w:rPr>
          <w:u w:val="single"/>
        </w:rPr>
      </w:pPr>
      <w:r w:rsidRPr="00E746EF">
        <w:rPr>
          <w:u w:val="single"/>
        </w:rPr>
        <w:t>Contention</w:t>
      </w:r>
    </w:p>
    <w:p w14:paraId="1BDC7239" w14:textId="77777777" w:rsidR="00341236" w:rsidRDefault="00341236" w:rsidP="00341236">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7316A5B5" w14:textId="77777777" w:rsidR="00341236" w:rsidRPr="007D4300" w:rsidRDefault="00341236" w:rsidP="0034123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46E00904" w14:textId="77777777" w:rsidR="00341236" w:rsidRPr="0082170A" w:rsidRDefault="00341236" w:rsidP="00341236">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444C7A">
        <w:rPr>
          <w:sz w:val="10"/>
        </w:rPr>
        <w:t>labour</w:t>
      </w:r>
      <w:proofErr w:type="spellEnd"/>
      <w:r w:rsidRPr="00444C7A">
        <w:rPr>
          <w:sz w:val="10"/>
        </w:rPr>
        <w:t xml:space="preserve">, which is a clear right of free men, does not describe the behaviour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w:t>
      </w:r>
    </w:p>
    <w:p w14:paraId="4DED18C7" w14:textId="77777777" w:rsidR="00341236" w:rsidRPr="00341236" w:rsidRDefault="00341236" w:rsidP="00341236"/>
    <w:p w14:paraId="45405684" w14:textId="77777777" w:rsidR="00341236" w:rsidRPr="00F36497" w:rsidRDefault="00341236" w:rsidP="00341236">
      <w:pPr>
        <w:pStyle w:val="Heading4"/>
      </w:pPr>
      <w:r w:rsidRPr="0007420E">
        <w:t xml:space="preserve">Absent a right to strike, </w:t>
      </w:r>
      <w:r>
        <w:t>workers are dominated –</w:t>
      </w:r>
    </w:p>
    <w:p w14:paraId="5043ECD4" w14:textId="77777777" w:rsidR="00341236" w:rsidRDefault="00341236" w:rsidP="00341236">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58E169EA" w14:textId="77777777" w:rsidR="00341236" w:rsidRDefault="00341236" w:rsidP="0034123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AA91B3C" w14:textId="77777777" w:rsidR="00341236" w:rsidRPr="00DC007D" w:rsidRDefault="00341236" w:rsidP="00341236">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E42EAC">
        <w:rPr>
          <w:b/>
          <w:bCs/>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2486B5D9" w14:textId="77777777" w:rsidR="00341236" w:rsidRDefault="00341236" w:rsidP="00341236">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5EFB12A2" w14:textId="77777777" w:rsidR="00341236" w:rsidRDefault="00341236" w:rsidP="0034123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106B1A8" w14:textId="45C70FD1" w:rsidR="00341236" w:rsidRDefault="00341236" w:rsidP="00341236">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E42EAC">
        <w:rPr>
          <w:b/>
          <w:bCs/>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00B6927B" w14:textId="771E2C15" w:rsidR="00341236" w:rsidRDefault="00341236" w:rsidP="00341236">
      <w:pPr>
        <w:rPr>
          <w:sz w:val="10"/>
        </w:rPr>
      </w:pPr>
    </w:p>
    <w:p w14:paraId="74701FC9" w14:textId="34997770" w:rsidR="00341236" w:rsidRDefault="00341236" w:rsidP="00341236">
      <w:pPr>
        <w:pStyle w:val="Heading4"/>
      </w:pPr>
      <w:r>
        <w:t>3] S</w:t>
      </w:r>
      <w:r>
        <w:t xml:space="preserve">trikes challenge the notion of labor as a mere commodity – that empowers workers and resists arbitrary managerial authority, </w:t>
      </w:r>
      <w:proofErr w:type="spellStart"/>
      <w:r>
        <w:t>Gourevitch</w:t>
      </w:r>
      <w:proofErr w:type="spellEnd"/>
      <w:r>
        <w:t xml:space="preserve"> </w:t>
      </w:r>
      <w:r w:rsidR="00B172EE">
        <w:t>4</w:t>
      </w:r>
      <w:r>
        <w:t>:</w:t>
      </w:r>
    </w:p>
    <w:p w14:paraId="0C805C28" w14:textId="77777777" w:rsidR="00341236" w:rsidRDefault="00341236" w:rsidP="00341236">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35C2101" w14:textId="77777777" w:rsidR="00341236" w:rsidRPr="00204CD8" w:rsidRDefault="00341236" w:rsidP="00341236">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w:t>
      </w:r>
      <w:proofErr w:type="gramStart"/>
      <w:r w:rsidRPr="00204CD8">
        <w:rPr>
          <w:sz w:val="10"/>
        </w:rPr>
        <w:t>at the moment</w:t>
      </w:r>
      <w:proofErr w:type="gramEnd"/>
      <w:r w:rsidRPr="00204CD8">
        <w:rPr>
          <w:sz w:val="10"/>
        </w:rPr>
        <w:t xml:space="preserve">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5B8E12B2" w14:textId="77777777" w:rsidR="00341236" w:rsidRPr="00450D02" w:rsidRDefault="00341236" w:rsidP="00341236">
      <w:pPr>
        <w:rPr>
          <w:sz w:val="10"/>
        </w:rPr>
      </w:pPr>
    </w:p>
    <w:p w14:paraId="6B5C5363" w14:textId="1C06DB54" w:rsidR="00E42E4C" w:rsidRDefault="00B77DF5" w:rsidP="00B77DF5">
      <w:pPr>
        <w:pStyle w:val="Heading2"/>
        <w:rPr>
          <w:u w:val="single"/>
        </w:rPr>
      </w:pPr>
      <w:r>
        <w:rPr>
          <w:u w:val="single"/>
        </w:rPr>
        <w:t xml:space="preserve">Underview </w:t>
      </w:r>
    </w:p>
    <w:p w14:paraId="3368E2B6" w14:textId="03E5A1CF" w:rsidR="00B77DF5" w:rsidRDefault="00B77DF5" w:rsidP="00B77DF5">
      <w:pPr>
        <w:pStyle w:val="Heading4"/>
      </w:pPr>
      <w:r>
        <w:t xml:space="preserve">A] Interpretation: Debaters must, on the page with their name and the school they attend, disclose all taglines, full citations, and the first and last three words of the pieces of evidence read in their cases on the </w:t>
      </w:r>
      <w:r>
        <w:t xml:space="preserve">2020-21 </w:t>
      </w:r>
      <w:r>
        <w:t xml:space="preserve">NDCA </w:t>
      </w:r>
      <w:r>
        <w:t xml:space="preserve">LD </w:t>
      </w:r>
      <w:r>
        <w:t>wiki at least one hour before the round if they have read that case before.</w:t>
      </w:r>
    </w:p>
    <w:p w14:paraId="088D8F99" w14:textId="77777777" w:rsidR="00B77DF5" w:rsidRPr="00B77DF5" w:rsidRDefault="00B77DF5" w:rsidP="00B77DF5"/>
    <w:p w14:paraId="59CE2101" w14:textId="31BDE893" w:rsidR="00B77DF5" w:rsidRDefault="00B77DF5" w:rsidP="00B77DF5">
      <w:pPr>
        <w:pStyle w:val="Heading4"/>
      </w:pPr>
      <w:r>
        <w:t xml:space="preserve">B] Violation: </w:t>
      </w:r>
      <w:r>
        <w:t xml:space="preserve">screenshot in the doc. </w:t>
      </w:r>
    </w:p>
    <w:p w14:paraId="5D9023B2" w14:textId="7DB64AC3" w:rsidR="00B77DF5" w:rsidRDefault="00B77DF5" w:rsidP="00B77DF5"/>
    <w:p w14:paraId="555F18A5" w14:textId="43F0A96E" w:rsidR="00B77DF5" w:rsidRDefault="00B77DF5" w:rsidP="00B77DF5">
      <w:pPr>
        <w:pStyle w:val="Heading4"/>
      </w:pPr>
      <w:r>
        <w:t xml:space="preserve">C] Net Benefits </w:t>
      </w:r>
    </w:p>
    <w:p w14:paraId="02A0AC45" w14:textId="68FD753B" w:rsidR="00B77DF5" w:rsidRDefault="00B77DF5" w:rsidP="00B77DF5"/>
    <w:p w14:paraId="1583A045" w14:textId="0989DD2C" w:rsidR="00B77DF5" w:rsidRDefault="00B77DF5" w:rsidP="00B77DF5">
      <w:pPr>
        <w:pStyle w:val="Heading4"/>
      </w:pPr>
      <w:r>
        <w:t xml:space="preserve">1. Reciprocity – </w:t>
      </w:r>
      <w:r w:rsidR="00A44C4A">
        <w:t>my</w:t>
      </w:r>
      <w:r>
        <w:t xml:space="preserve"> </w:t>
      </w:r>
      <w:r w:rsidR="00A44C4A">
        <w:t>ACs</w:t>
      </w:r>
      <w:r>
        <w:t xml:space="preserve"> ha</w:t>
      </w:r>
      <w:r w:rsidR="00A84AC6">
        <w:t xml:space="preserve">ve </w:t>
      </w:r>
      <w:r>
        <w:t xml:space="preserve">been </w:t>
      </w:r>
      <w:r w:rsidR="00A84AC6">
        <w:t xml:space="preserve">up </w:t>
      </w:r>
      <w:r>
        <w:t>for all last night and this morning. They’ve gotten so much time to prep it out, while I have no idea what their typical strategy looks like.</w:t>
      </w:r>
    </w:p>
    <w:p w14:paraId="0F8862C3" w14:textId="77777777" w:rsidR="008E384C" w:rsidRDefault="008E384C" w:rsidP="008E384C">
      <w:pPr>
        <w:widowControl w:val="0"/>
        <w:autoSpaceDE w:val="0"/>
        <w:autoSpaceDN w:val="0"/>
        <w:adjustRightInd w:val="0"/>
        <w:ind w:right="-720"/>
        <w:rPr>
          <w:b/>
        </w:rPr>
      </w:pPr>
    </w:p>
    <w:p w14:paraId="01827621" w14:textId="6655D1F0" w:rsidR="008E384C" w:rsidRDefault="008E384C" w:rsidP="008E384C">
      <w:pPr>
        <w:pStyle w:val="Heading4"/>
      </w:pPr>
      <w:r>
        <w:t xml:space="preserve">2. Element of Surprise – </w:t>
      </w:r>
      <w:r w:rsidRPr="008726A1">
        <w:t>A</w:t>
      </w:r>
      <w:r w:rsidRPr="008726A1">
        <w:t xml:space="preserve"> world without disclosure rewards debaters for running arguments not because they are good, but because their opponents won't know how to respond. Disclosure forces debaters to commit to quality; under my interpretation, debaters would have to write cases knowing that their opponents will have the opportunity for thoughtful preparation. </w:t>
      </w:r>
    </w:p>
    <w:p w14:paraId="0563D45C" w14:textId="61D67DAD" w:rsidR="008E384C" w:rsidRDefault="008E384C" w:rsidP="008E384C"/>
    <w:p w14:paraId="7CA02EC9" w14:textId="30E9AB11" w:rsidR="008E384C" w:rsidRDefault="008E384C" w:rsidP="008E384C">
      <w:pPr>
        <w:pStyle w:val="Heading4"/>
      </w:pPr>
      <w:r>
        <w:t xml:space="preserve">3. Disclosing on slack doesn’t solve – </w:t>
      </w:r>
    </w:p>
    <w:p w14:paraId="46AD6EEA" w14:textId="2248EB49" w:rsidR="008E384C" w:rsidRDefault="008E384C" w:rsidP="008E384C">
      <w:pPr>
        <w:rPr>
          <w:b/>
          <w:bCs/>
        </w:rPr>
      </w:pPr>
      <w:r>
        <w:rPr>
          <w:b/>
          <w:bCs/>
        </w:rPr>
        <w:t xml:space="preserve">A] I only get to see what you’ve been reading for 30 minutes </w:t>
      </w:r>
    </w:p>
    <w:p w14:paraId="1D49357F" w14:textId="757ACC09" w:rsidR="008E384C" w:rsidRDefault="008E384C" w:rsidP="008E384C">
      <w:pPr>
        <w:rPr>
          <w:b/>
          <w:bCs/>
        </w:rPr>
      </w:pPr>
      <w:r>
        <w:rPr>
          <w:b/>
          <w:bCs/>
        </w:rPr>
        <w:t xml:space="preserve">B] There is no way to verify it – on public domains like the wiki people can call you out if you mis disclose </w:t>
      </w:r>
    </w:p>
    <w:p w14:paraId="17F2F90E" w14:textId="1ABDEF29" w:rsidR="008E384C" w:rsidRDefault="008E384C" w:rsidP="008E384C">
      <w:pPr>
        <w:rPr>
          <w:b/>
          <w:bCs/>
        </w:rPr>
      </w:pPr>
      <w:r>
        <w:rPr>
          <w:b/>
          <w:bCs/>
        </w:rPr>
        <w:t>C] Novices get scared to talking to older debaters, let alone asking them to change their disclosure practices</w:t>
      </w:r>
    </w:p>
    <w:p w14:paraId="038CB21E" w14:textId="4799E18B" w:rsidR="008E384C" w:rsidRDefault="008E384C" w:rsidP="008E384C">
      <w:pPr>
        <w:rPr>
          <w:b/>
          <w:bCs/>
        </w:rPr>
      </w:pPr>
    </w:p>
    <w:p w14:paraId="756E779F" w14:textId="30F9BBF5" w:rsidR="008E384C" w:rsidRDefault="008E384C" w:rsidP="008E384C">
      <w:pPr>
        <w:pStyle w:val="Heading4"/>
      </w:pPr>
      <w:r>
        <w:t xml:space="preserve">Fairness and Education are voters – </w:t>
      </w:r>
    </w:p>
    <w:p w14:paraId="524760AF" w14:textId="77AC71C1" w:rsidR="008E384C" w:rsidRDefault="008E384C" w:rsidP="008E384C"/>
    <w:p w14:paraId="2D94EB75" w14:textId="6A4E8112" w:rsidR="008E384C" w:rsidRDefault="008E384C" w:rsidP="008E384C">
      <w:pPr>
        <w:pStyle w:val="Heading4"/>
      </w:pPr>
      <w:r>
        <w:t xml:space="preserve">CI – </w:t>
      </w:r>
    </w:p>
    <w:p w14:paraId="69710974" w14:textId="60BA8E3E" w:rsidR="008E384C" w:rsidRDefault="008E384C" w:rsidP="008E384C"/>
    <w:p w14:paraId="6FEFC047" w14:textId="5B816462" w:rsidR="008E384C" w:rsidRDefault="008E384C" w:rsidP="008E384C">
      <w:pPr>
        <w:pStyle w:val="Heading4"/>
      </w:pPr>
      <w:r>
        <w:t xml:space="preserve">DTD – </w:t>
      </w:r>
    </w:p>
    <w:p w14:paraId="0DF4FC3D" w14:textId="0A7D7493" w:rsidR="009D79D9" w:rsidRDefault="009D79D9" w:rsidP="009D79D9"/>
    <w:p w14:paraId="298F5C0C" w14:textId="0CF481DF" w:rsidR="00341236" w:rsidRDefault="009D79D9" w:rsidP="00341236">
      <w:pPr>
        <w:pStyle w:val="Heading4"/>
      </w:pPr>
      <w:r>
        <w:t>No RVI’</w:t>
      </w:r>
      <w:r w:rsidR="00341236">
        <w:t>s –</w:t>
      </w:r>
    </w:p>
    <w:p w14:paraId="1B26F220" w14:textId="5B42296F" w:rsidR="00341236" w:rsidRPr="00341236" w:rsidRDefault="00341236" w:rsidP="00341236">
      <w:pPr>
        <w:rPr>
          <w:b/>
          <w:bCs/>
        </w:rPr>
      </w:pPr>
      <w:r w:rsidRPr="00341236">
        <w:rPr>
          <w:b/>
          <w:bCs/>
        </w:rPr>
        <w:t xml:space="preserve">A] Baiting </w:t>
      </w:r>
    </w:p>
    <w:p w14:paraId="143C62D1" w14:textId="4B937CE7" w:rsidR="00341236" w:rsidRPr="00341236" w:rsidRDefault="00341236" w:rsidP="00341236">
      <w:pPr>
        <w:rPr>
          <w:b/>
          <w:bCs/>
        </w:rPr>
      </w:pPr>
      <w:r w:rsidRPr="00341236">
        <w:rPr>
          <w:b/>
          <w:bCs/>
        </w:rPr>
        <w:t xml:space="preserve">B] Norming </w:t>
      </w:r>
    </w:p>
    <w:p w14:paraId="742B7BF6" w14:textId="06B07FFE" w:rsidR="00341236" w:rsidRPr="00341236" w:rsidRDefault="00341236" w:rsidP="00341236">
      <w:pPr>
        <w:rPr>
          <w:b/>
          <w:bCs/>
        </w:rPr>
      </w:pPr>
      <w:r w:rsidRPr="00341236">
        <w:rPr>
          <w:b/>
          <w:bCs/>
        </w:rPr>
        <w:t>C] Logic</w:t>
      </w:r>
    </w:p>
    <w:p w14:paraId="3C2AE194" w14:textId="7967AE5D" w:rsidR="00341236" w:rsidRPr="00341236" w:rsidRDefault="00341236" w:rsidP="00341236">
      <w:pPr>
        <w:rPr>
          <w:b/>
          <w:bCs/>
        </w:rPr>
      </w:pPr>
      <w:r w:rsidRPr="00341236">
        <w:rPr>
          <w:b/>
          <w:bCs/>
        </w:rPr>
        <w:t xml:space="preserve">D] Chilling Effect </w:t>
      </w:r>
    </w:p>
    <w:p w14:paraId="19991AD3" w14:textId="6AD9D8F0" w:rsidR="00341236" w:rsidRPr="00341236" w:rsidRDefault="00341236" w:rsidP="00341236">
      <w:pPr>
        <w:rPr>
          <w:b/>
          <w:bCs/>
        </w:rPr>
      </w:pPr>
      <w:r w:rsidRPr="00341236">
        <w:rPr>
          <w:b/>
          <w:bCs/>
        </w:rPr>
        <w:t xml:space="preserve">E] 1NC Sandbagging </w:t>
      </w:r>
    </w:p>
    <w:p w14:paraId="26221B19" w14:textId="6B357E54" w:rsidR="008E384C" w:rsidRDefault="008E384C" w:rsidP="008E384C"/>
    <w:p w14:paraId="7E3C596B" w14:textId="77777777" w:rsidR="008E384C" w:rsidRPr="008E384C" w:rsidRDefault="008E384C" w:rsidP="008E384C"/>
    <w:p w14:paraId="24B41218" w14:textId="6F670D15" w:rsidR="00B77DF5" w:rsidRPr="00B77DF5" w:rsidRDefault="009A6BFE" w:rsidP="00B77DF5">
      <w:r w:rsidRPr="009A6BFE">
        <w:drawing>
          <wp:inline distT="0" distB="0" distL="0" distR="0" wp14:anchorId="5F6DD0D1" wp14:editId="5B1B7E29">
            <wp:extent cx="5486400" cy="5220970"/>
            <wp:effectExtent l="0" t="0" r="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9"/>
                    <a:stretch>
                      <a:fillRect/>
                    </a:stretch>
                  </pic:blipFill>
                  <pic:spPr>
                    <a:xfrm>
                      <a:off x="0" y="0"/>
                      <a:ext cx="5486400" cy="5220970"/>
                    </a:xfrm>
                    <a:prstGeom prst="rect">
                      <a:avLst/>
                    </a:prstGeom>
                  </pic:spPr>
                </pic:pic>
              </a:graphicData>
            </a:graphic>
          </wp:inline>
        </w:drawing>
      </w:r>
    </w:p>
    <w:p w14:paraId="2C53ECFA" w14:textId="77777777" w:rsidR="00B77DF5" w:rsidRPr="00B77DF5" w:rsidRDefault="00B77DF5" w:rsidP="00B77DF5"/>
    <w:p w14:paraId="78406EB8" w14:textId="77777777" w:rsidR="00B77DF5" w:rsidRPr="00B77DF5" w:rsidRDefault="00B77DF5" w:rsidP="00B77DF5"/>
    <w:p w14:paraId="2B2671DE" w14:textId="77777777" w:rsidR="00B77DF5" w:rsidRPr="00B77DF5" w:rsidRDefault="00B77DF5" w:rsidP="00B77DF5"/>
    <w:p w14:paraId="4E18E8E0" w14:textId="77777777" w:rsidR="00B77DF5" w:rsidRPr="00B77DF5" w:rsidRDefault="00B77DF5" w:rsidP="00B77DF5"/>
    <w:sectPr w:rsidR="00B77DF5" w:rsidRPr="00B77D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D22381"/>
    <w:multiLevelType w:val="hybridMultilevel"/>
    <w:tmpl w:val="B782A2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7D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236"/>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52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474"/>
    <w:rsid w:val="0087680F"/>
    <w:rsid w:val="00876D81"/>
    <w:rsid w:val="00881D86"/>
    <w:rsid w:val="00883306"/>
    <w:rsid w:val="0088332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84C"/>
    <w:rsid w:val="008E7A3E"/>
    <w:rsid w:val="008F41FD"/>
    <w:rsid w:val="008F4479"/>
    <w:rsid w:val="008F4BA0"/>
    <w:rsid w:val="00901726"/>
    <w:rsid w:val="00920797"/>
    <w:rsid w:val="00920E6A"/>
    <w:rsid w:val="00931816"/>
    <w:rsid w:val="00932C71"/>
    <w:rsid w:val="00933E05"/>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BFE"/>
    <w:rsid w:val="009B69F5"/>
    <w:rsid w:val="009C5FF7"/>
    <w:rsid w:val="009C6292"/>
    <w:rsid w:val="009D15DB"/>
    <w:rsid w:val="009D3133"/>
    <w:rsid w:val="009D79D9"/>
    <w:rsid w:val="009E160D"/>
    <w:rsid w:val="009F02A1"/>
    <w:rsid w:val="009F1CBB"/>
    <w:rsid w:val="009F3305"/>
    <w:rsid w:val="009F6FB2"/>
    <w:rsid w:val="00A071C0"/>
    <w:rsid w:val="00A15AE8"/>
    <w:rsid w:val="00A22670"/>
    <w:rsid w:val="00A24B35"/>
    <w:rsid w:val="00A271BA"/>
    <w:rsid w:val="00A27F86"/>
    <w:rsid w:val="00A431C6"/>
    <w:rsid w:val="00A44C4A"/>
    <w:rsid w:val="00A54315"/>
    <w:rsid w:val="00A60FBC"/>
    <w:rsid w:val="00A65C0B"/>
    <w:rsid w:val="00A776BA"/>
    <w:rsid w:val="00A81FD2"/>
    <w:rsid w:val="00A8441A"/>
    <w:rsid w:val="00A84AC6"/>
    <w:rsid w:val="00A8674A"/>
    <w:rsid w:val="00A86925"/>
    <w:rsid w:val="00A9376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2EE"/>
    <w:rsid w:val="00B24662"/>
    <w:rsid w:val="00B3569C"/>
    <w:rsid w:val="00B43676"/>
    <w:rsid w:val="00B5602D"/>
    <w:rsid w:val="00B60125"/>
    <w:rsid w:val="00B6656B"/>
    <w:rsid w:val="00B71625"/>
    <w:rsid w:val="00B75C54"/>
    <w:rsid w:val="00B77DF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6EF"/>
    <w:rsid w:val="00E8322E"/>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BBBA33"/>
  <w14:defaultImageDpi w14:val="300"/>
  <w15:docId w15:val="{A66711C2-58AC-D34B-A3A5-06EBFEF0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DF5"/>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B77D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DF5"/>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77D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T"/>
    <w:basedOn w:val="Normal"/>
    <w:next w:val="Normal"/>
    <w:link w:val="Heading4Char"/>
    <w:uiPriority w:val="9"/>
    <w:unhideWhenUsed/>
    <w:qFormat/>
    <w:rsid w:val="00B77DF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77D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DF5"/>
  </w:style>
  <w:style w:type="character" w:customStyle="1" w:styleId="Heading1Char">
    <w:name w:val="Heading 1 Char"/>
    <w:aliases w:val="Pocket Char"/>
    <w:basedOn w:val="DefaultParagraphFont"/>
    <w:link w:val="Heading1"/>
    <w:uiPriority w:val="9"/>
    <w:rsid w:val="00B77DF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77DF5"/>
    <w:rPr>
      <w:rFonts w:ascii="Times New Roman" w:eastAsiaTheme="majorEastAsia" w:hAnsi="Times New Roman" w:cstheme="majorBidi"/>
      <w:b/>
      <w:bCs/>
      <w:sz w:val="36"/>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B77DF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77DF5"/>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DF5"/>
    <w:rPr>
      <w:b/>
      <w:sz w:val="24"/>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B77DF5"/>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s"/>
    <w:basedOn w:val="DefaultParagraphFont"/>
    <w:link w:val="textbold"/>
    <w:uiPriority w:val="20"/>
    <w:qFormat/>
    <w:rsid w:val="00B77DF5"/>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B77DF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77DF5"/>
    <w:rPr>
      <w:color w:val="auto"/>
      <w:u w:val="none"/>
    </w:rPr>
  </w:style>
  <w:style w:type="paragraph" w:styleId="DocumentMap">
    <w:name w:val="Document Map"/>
    <w:basedOn w:val="Normal"/>
    <w:link w:val="DocumentMapChar"/>
    <w:uiPriority w:val="99"/>
    <w:semiHidden/>
    <w:unhideWhenUsed/>
    <w:rsid w:val="00B77D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77DF5"/>
    <w:rPr>
      <w:rFonts w:ascii="Lucida Grande" w:hAnsi="Lucida Grande" w:cs="Lucida Grande"/>
    </w:rPr>
  </w:style>
  <w:style w:type="paragraph" w:customStyle="1" w:styleId="textbold">
    <w:name w:val="text bold"/>
    <w:basedOn w:val="Normal"/>
    <w:link w:val="Emphasis"/>
    <w:uiPriority w:val="20"/>
    <w:qFormat/>
    <w:rsid w:val="00B77DF5"/>
    <w:pPr>
      <w:ind w:left="720"/>
    </w:pPr>
    <w:rPr>
      <w:b/>
      <w:iCs/>
      <w:u w:val="single"/>
      <w:bdr w:val="single" w:sz="8" w:space="0" w:color="auto"/>
    </w:rPr>
  </w:style>
  <w:style w:type="paragraph" w:styleId="NormalWeb">
    <w:name w:val="Normal (Web)"/>
    <w:basedOn w:val="Normal"/>
    <w:uiPriority w:val="99"/>
    <w:unhideWhenUsed/>
    <w:rsid w:val="00B77DF5"/>
    <w:pPr>
      <w:spacing w:before="100" w:beforeAutospacing="1" w:after="100" w:afterAutospacing="1" w:line="240" w:lineRule="auto"/>
    </w:pPr>
    <w:rPr>
      <w:rFonts w:eastAsia="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3,No Spacing111112"/>
    <w:basedOn w:val="Heading1"/>
    <w:link w:val="Hyperlink"/>
    <w:autoRedefine/>
    <w:uiPriority w:val="99"/>
    <w:qFormat/>
    <w:rsid w:val="00B77D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412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mtiazahma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8472</Words>
  <Characters>48292</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Ali  Ahmad</cp:lastModifiedBy>
  <cp:revision>7</cp:revision>
  <dcterms:created xsi:type="dcterms:W3CDTF">2021-07-09T14:06:00Z</dcterms:created>
  <dcterms:modified xsi:type="dcterms:W3CDTF">2021-07-09T14:43:00Z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