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1C883" w14:textId="77777777" w:rsidR="00BD4AE1" w:rsidRDefault="00BD4AE1" w:rsidP="00BD4AE1">
      <w:pPr>
        <w:pStyle w:val="Heading2"/>
      </w:pPr>
      <w:r>
        <w:t>1</w:t>
      </w:r>
    </w:p>
    <w:p w14:paraId="6B36484B"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The standard is maximizing expected wellbeing. Prefer:</w:t>
      </w:r>
    </w:p>
    <w:p w14:paraId="1C804515"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1] Theory first –</w:t>
      </w:r>
    </w:p>
    <w:p w14:paraId="7FE6F664"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A] Ground – both debaters have ground underneath util because every action has a consequence that can be weighed fairly using different metrics under the framing – other frameworks flow exclusively to one side. </w:t>
      </w:r>
    </w:p>
    <w:p w14:paraId="5A874A45"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B] Topic lit – most articles are written through a utilitarian lens because they are crafted for policymakers and the general public who believes consequences are important – key to fairness because topic lit is how we determine in-round engagement. </w:t>
      </w:r>
    </w:p>
    <w:p w14:paraId="1339214B"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2] Use epistemic modesty to evaluate competing frameworks: that means multiply the probability the framework is true by the magnitude of the impact under a framework. Prefer: </w:t>
      </w:r>
    </w:p>
    <w:p w14:paraId="11BF0720"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A] Maximizes the probability of achieving net most moral value—beating a </w:t>
      </w:r>
      <w:proofErr w:type="gramStart"/>
      <w:r w:rsidRPr="008432FE">
        <w:rPr>
          <w:rFonts w:eastAsia="Times New Roman" w:cs="Calibri"/>
          <w:b/>
          <w:iCs/>
          <w:sz w:val="26"/>
        </w:rPr>
        <w:t>framework acts</w:t>
      </w:r>
      <w:proofErr w:type="gramEnd"/>
      <w:r w:rsidRPr="008432FE">
        <w:rPr>
          <w:rFonts w:eastAsia="Times New Roman" w:cs="Calibri"/>
          <w:b/>
          <w:iCs/>
          <w:sz w:val="26"/>
        </w:rPr>
        <w:t xml:space="preserve"> as mitigation to their impacts which means its substantively true. </w:t>
      </w:r>
    </w:p>
    <w:p w14:paraId="68811809"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B] Clash – disincentives debaters from going all in for framework which means we get the ideal balance between topic ed and </w:t>
      </w:r>
      <w:proofErr w:type="spellStart"/>
      <w:r w:rsidRPr="008432FE">
        <w:rPr>
          <w:rFonts w:eastAsia="Times New Roman" w:cs="Calibri"/>
          <w:b/>
          <w:iCs/>
          <w:sz w:val="26"/>
        </w:rPr>
        <w:t>phil</w:t>
      </w:r>
      <w:proofErr w:type="spellEnd"/>
      <w:r w:rsidRPr="008432FE">
        <w:rPr>
          <w:rFonts w:eastAsia="Times New Roman" w:cs="Calibri"/>
          <w:b/>
          <w:iCs/>
          <w:sz w:val="26"/>
        </w:rPr>
        <w:t xml:space="preserve"> ed—it’s important to talk about contention-level offense.</w:t>
      </w:r>
    </w:p>
    <w:p w14:paraId="3B840110"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3] Actor specificity:</w:t>
      </w:r>
    </w:p>
    <w:p w14:paraId="52299CF3"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A] Aggregation – governments only have access to averages and aggregates which are the basis of justification for their policies</w:t>
      </w:r>
    </w:p>
    <w:p w14:paraId="217703D3"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B] No intent-foresight distinction – If we foresee a consequence, then it becomes part of our deliberation which makes it intrinsic to our action since we intend it to happen</w:t>
      </w:r>
    </w:p>
    <w:p w14:paraId="6DDA7E8E" w14:textId="77777777" w:rsidR="00BD4AE1" w:rsidRPr="008432FE" w:rsidRDefault="00BD4AE1" w:rsidP="00BD4AE1">
      <w:pPr>
        <w:keepNext/>
        <w:keepLines/>
        <w:spacing w:before="40" w:after="0"/>
        <w:outlineLvl w:val="3"/>
        <w:rPr>
          <w:rFonts w:eastAsia="Times New Roman" w:cs="Calibri"/>
          <w:b/>
          <w:iCs/>
          <w:sz w:val="26"/>
        </w:rPr>
      </w:pPr>
      <w:r w:rsidRPr="008432FE">
        <w:rPr>
          <w:rFonts w:eastAsia="Times New Roman" w:cs="Calibri"/>
          <w:b/>
          <w:iCs/>
          <w:sz w:val="26"/>
        </w:rPr>
        <w:t xml:space="preserve">C] Util is intrinsic to us we can’t avoid that maximizing </w:t>
      </w:r>
      <w:proofErr w:type="spellStart"/>
      <w:r w:rsidRPr="008432FE">
        <w:rPr>
          <w:rFonts w:eastAsia="Times New Roman" w:cs="Calibri"/>
          <w:b/>
          <w:iCs/>
          <w:sz w:val="26"/>
        </w:rPr>
        <w:t>well being</w:t>
      </w:r>
      <w:proofErr w:type="spellEnd"/>
      <w:r w:rsidRPr="008432FE">
        <w:rPr>
          <w:rFonts w:eastAsia="Times New Roman" w:cs="Calibri"/>
          <w:b/>
          <w:iCs/>
          <w:sz w:val="26"/>
        </w:rPr>
        <w:t xml:space="preserve"> is the most moral action </w:t>
      </w:r>
    </w:p>
    <w:p w14:paraId="723603AC" w14:textId="77777777" w:rsidR="00BD4AE1" w:rsidRPr="008432FE" w:rsidRDefault="00BD4AE1" w:rsidP="00BD4AE1">
      <w:pPr>
        <w:spacing w:after="0" w:line="240" w:lineRule="auto"/>
        <w:rPr>
          <w:rFonts w:eastAsia="Calibri" w:cs="Calibri"/>
          <w:b/>
          <w:sz w:val="24"/>
        </w:rPr>
      </w:pPr>
      <w:r w:rsidRPr="008432FE">
        <w:rPr>
          <w:rFonts w:eastAsia="Calibri" w:cs="Calibri"/>
          <w:b/>
          <w:bCs/>
          <w:sz w:val="26"/>
        </w:rPr>
        <w:t xml:space="preserve">Nagel 86: </w:t>
      </w:r>
      <w:r w:rsidRPr="008432FE">
        <w:rPr>
          <w:rFonts w:eastAsia="Calibri" w:cs="Calibri"/>
          <w:sz w:val="24"/>
        </w:rPr>
        <w:t xml:space="preserve">Thomas Nagel, The View </w:t>
      </w:r>
      <w:proofErr w:type="gramStart"/>
      <w:r w:rsidRPr="008432FE">
        <w:rPr>
          <w:rFonts w:eastAsia="Calibri" w:cs="Calibri"/>
          <w:sz w:val="24"/>
        </w:rPr>
        <w:t>From</w:t>
      </w:r>
      <w:proofErr w:type="gramEnd"/>
      <w:r w:rsidRPr="008432FE">
        <w:rPr>
          <w:rFonts w:eastAsia="Calibri" w:cs="Calibri"/>
          <w:sz w:val="24"/>
        </w:rPr>
        <w:t xml:space="preserve"> Nowhere, HUP, 1986: 156-168.</w:t>
      </w:r>
    </w:p>
    <w:p w14:paraId="7F7B66DB" w14:textId="71D10776" w:rsidR="00D46908" w:rsidRPr="00D46908" w:rsidRDefault="00BD4AE1" w:rsidP="00D46908">
      <w:pPr>
        <w:spacing w:after="0" w:line="240" w:lineRule="auto"/>
        <w:jc w:val="both"/>
        <w:rPr>
          <w:rFonts w:eastAsia="Times New Roman" w:cs="Calibri"/>
          <w:sz w:val="24"/>
          <w:u w:val="single"/>
        </w:rPr>
      </w:pPr>
      <w:r w:rsidRPr="008432FE">
        <w:rPr>
          <w:rFonts w:eastAsia="Times New Roman" w:cs="Calibri"/>
          <w:sz w:val="12"/>
        </w:rPr>
        <w:t xml:space="preserve">I shall defend the unsurprising claim that </w:t>
      </w:r>
      <w:r w:rsidRPr="008432FE">
        <w:rPr>
          <w:rFonts w:eastAsia="Times New Roman" w:cs="Calibri"/>
          <w:sz w:val="24"/>
          <w:highlight w:val="cyan"/>
          <w:u w:val="single"/>
        </w:rPr>
        <w:t>sensory pleasure is good and pain bad</w:t>
      </w:r>
      <w:r w:rsidRPr="008432FE">
        <w:rPr>
          <w:rFonts w:eastAsia="Times New Roman" w:cs="Calibri"/>
          <w:sz w:val="12"/>
        </w:rPr>
        <w:t xml:space="preserve">, no matter </w:t>
      </w:r>
      <w:proofErr w:type="spellStart"/>
      <w:r w:rsidRPr="008432FE">
        <w:rPr>
          <w:rFonts w:eastAsia="Times New Roman" w:cs="Calibri"/>
          <w:sz w:val="12"/>
        </w:rPr>
        <w:t>whose</w:t>
      </w:r>
      <w:proofErr w:type="spellEnd"/>
      <w:r w:rsidRPr="008432FE">
        <w:rPr>
          <w:rFonts w:eastAsia="Times New Roman" w:cs="Calibri"/>
          <w:sz w:val="12"/>
        </w:rPr>
        <w:t xml:space="preserve"> they are</w:t>
      </w:r>
      <w:r w:rsidRPr="008432FE">
        <w:rPr>
          <w:rFonts w:eastAsia="Times New Roman" w:cs="Calibri"/>
          <w:bCs/>
          <w:sz w:val="12"/>
        </w:rPr>
        <w:t>.</w:t>
      </w:r>
      <w:r w:rsidRPr="008432FE">
        <w:rPr>
          <w:rFonts w:eastAsia="Times New Roman" w:cs="Calibri"/>
          <w:sz w:val="12"/>
        </w:rPr>
        <w:t xml:space="preserve"> The point of the exercise is to see how the pressures of objectification operate in a simple case. Physical pleasure and pain do not usually depend on activities or desires which themselves raise questions of justification and value. </w:t>
      </w:r>
      <w:r w:rsidRPr="008432FE">
        <w:rPr>
          <w:rFonts w:eastAsia="Times New Roman" w:cs="Calibri"/>
          <w:sz w:val="24"/>
          <w:u w:val="single"/>
        </w:rPr>
        <w:t xml:space="preserve">They are </w:t>
      </w:r>
      <w:r w:rsidRPr="008432FE">
        <w:rPr>
          <w:rFonts w:eastAsia="Times New Roman" w:cs="Calibri"/>
          <w:sz w:val="24"/>
          <w:highlight w:val="cyan"/>
          <w:u w:val="single"/>
        </w:rPr>
        <w:t>just sensory experiences</w:t>
      </w:r>
      <w:r w:rsidRPr="008432FE">
        <w:rPr>
          <w:rFonts w:eastAsia="Times New Roman" w:cs="Calibri"/>
          <w:sz w:val="12"/>
        </w:rPr>
        <w:t xml:space="preserve"> in relation to which we are fairly passive, but </w:t>
      </w:r>
      <w:r w:rsidRPr="008432FE">
        <w:rPr>
          <w:rFonts w:eastAsia="Times New Roman" w:cs="Calibri"/>
          <w:sz w:val="24"/>
          <w:u w:val="single"/>
        </w:rPr>
        <w:t xml:space="preserve">toward which </w:t>
      </w:r>
      <w:r w:rsidRPr="008432FE">
        <w:rPr>
          <w:rFonts w:eastAsia="Times New Roman" w:cs="Calibri"/>
          <w:sz w:val="24"/>
          <w:highlight w:val="cyan"/>
          <w:u w:val="single"/>
        </w:rPr>
        <w:t>we feel involuntary desire</w:t>
      </w:r>
      <w:r w:rsidRPr="008432FE">
        <w:rPr>
          <w:rFonts w:eastAsia="Times New Roman" w:cs="Calibri"/>
          <w:sz w:val="24"/>
          <w:u w:val="single"/>
        </w:rPr>
        <w:t xml:space="preserve"> or aversion.</w:t>
      </w:r>
      <w:r w:rsidRPr="008432FE">
        <w:rPr>
          <w:rFonts w:eastAsia="Times New Roman" w:cs="Calibri"/>
          <w:sz w:val="12"/>
        </w:rPr>
        <w:t xml:space="preserve"> Almost</w:t>
      </w:r>
      <w:r>
        <w:rPr>
          <w:rFonts w:eastAsia="Times New Roman" w:cs="Calibri"/>
          <w:sz w:val="12"/>
        </w:rPr>
        <w:t xml:space="preserve"> </w:t>
      </w:r>
      <w:r w:rsidRPr="00D44035">
        <w:rPr>
          <w:rFonts w:eastAsia="Times New Roman" w:cs="Calibri"/>
          <w:sz w:val="24"/>
          <w:highlight w:val="cyan"/>
          <w:u w:val="single"/>
        </w:rPr>
        <w:t>E</w:t>
      </w:r>
      <w:r w:rsidRPr="008432FE">
        <w:rPr>
          <w:rFonts w:eastAsia="Times New Roman" w:cs="Calibri"/>
          <w:sz w:val="24"/>
          <w:highlight w:val="cyan"/>
          <w:u w:val="single"/>
        </w:rPr>
        <w:t>veryone takes the avoidance of</w:t>
      </w:r>
      <w:r w:rsidRPr="008432FE">
        <w:rPr>
          <w:rFonts w:eastAsia="Times New Roman" w:cs="Calibri"/>
          <w:sz w:val="24"/>
          <w:u w:val="single"/>
        </w:rPr>
        <w:t xml:space="preserve"> </w:t>
      </w:r>
      <w:r w:rsidRPr="008432FE">
        <w:rPr>
          <w:rFonts w:eastAsia="Times New Roman" w:cs="Calibri"/>
          <w:sz w:val="12"/>
        </w:rPr>
        <w:t>his</w:t>
      </w:r>
      <w:r w:rsidRPr="008432FE">
        <w:rPr>
          <w:rFonts w:eastAsia="Times New Roman" w:cs="Calibri"/>
          <w:sz w:val="24"/>
          <w:u w:val="single"/>
        </w:rPr>
        <w:t xml:space="preserve"> </w:t>
      </w:r>
      <w:r w:rsidRPr="00D44035">
        <w:rPr>
          <w:rFonts w:eastAsia="Times New Roman" w:cs="Calibri"/>
          <w:sz w:val="24"/>
          <w:u w:val="single"/>
        </w:rPr>
        <w:t xml:space="preserve">own </w:t>
      </w:r>
      <w:r w:rsidRPr="008432FE">
        <w:rPr>
          <w:rFonts w:eastAsia="Times New Roman" w:cs="Calibri"/>
          <w:sz w:val="24"/>
          <w:highlight w:val="cyan"/>
          <w:u w:val="single"/>
        </w:rPr>
        <w:t>pain and</w:t>
      </w:r>
      <w:r w:rsidRPr="008432FE">
        <w:rPr>
          <w:rFonts w:eastAsia="Times New Roman" w:cs="Calibri"/>
          <w:sz w:val="24"/>
          <w:u w:val="single"/>
        </w:rPr>
        <w:t xml:space="preserve"> the </w:t>
      </w:r>
      <w:r w:rsidRPr="008432FE">
        <w:rPr>
          <w:rFonts w:eastAsia="Times New Roman" w:cs="Calibri"/>
          <w:sz w:val="24"/>
          <w:highlight w:val="cyan"/>
          <w:u w:val="single"/>
        </w:rPr>
        <w:t>promotion of</w:t>
      </w:r>
      <w:r w:rsidRPr="008432FE">
        <w:rPr>
          <w:rFonts w:eastAsia="Times New Roman" w:cs="Calibri"/>
          <w:sz w:val="24"/>
          <w:u w:val="single"/>
        </w:rPr>
        <w:t xml:space="preserve"> </w:t>
      </w:r>
      <w:r w:rsidRPr="008432FE">
        <w:rPr>
          <w:rFonts w:eastAsia="Times New Roman" w:cs="Calibri"/>
          <w:sz w:val="12"/>
        </w:rPr>
        <w:t>his</w:t>
      </w:r>
      <w:r w:rsidRPr="008432FE">
        <w:rPr>
          <w:rFonts w:eastAsia="Times New Roman" w:cs="Calibri"/>
          <w:sz w:val="24"/>
          <w:u w:val="single"/>
        </w:rPr>
        <w:t xml:space="preserve"> </w:t>
      </w:r>
      <w:r w:rsidRPr="008432FE">
        <w:rPr>
          <w:rFonts w:eastAsia="Times New Roman" w:cs="Calibri"/>
          <w:sz w:val="24"/>
          <w:highlight w:val="cyan"/>
          <w:u w:val="single"/>
        </w:rPr>
        <w:t>own pleasure as</w:t>
      </w:r>
      <w:r w:rsidRPr="008432FE">
        <w:rPr>
          <w:rFonts w:eastAsia="Times New Roman" w:cs="Calibri"/>
          <w:sz w:val="24"/>
          <w:u w:val="single"/>
        </w:rPr>
        <w:t xml:space="preserve"> subjective </w:t>
      </w:r>
      <w:r w:rsidRPr="008432FE">
        <w:rPr>
          <w:rFonts w:eastAsia="Times New Roman" w:cs="Calibri"/>
          <w:sz w:val="24"/>
          <w:highlight w:val="cyan"/>
          <w:u w:val="single"/>
        </w:rPr>
        <w:t>reasons for action in a fairly</w:t>
      </w:r>
      <w:r w:rsidRPr="008432FE">
        <w:rPr>
          <w:rFonts w:eastAsia="Times New Roman" w:cs="Calibri"/>
          <w:sz w:val="24"/>
          <w:u w:val="single"/>
        </w:rPr>
        <w:t xml:space="preserve"> </w:t>
      </w:r>
      <w:r w:rsidRPr="008432FE">
        <w:rPr>
          <w:rFonts w:eastAsia="Times New Roman" w:cs="Calibri"/>
          <w:sz w:val="24"/>
          <w:highlight w:val="cyan"/>
          <w:u w:val="single"/>
        </w:rPr>
        <w:t>simple way</w:t>
      </w:r>
      <w:r w:rsidRPr="008432FE">
        <w:rPr>
          <w:rFonts w:eastAsia="Times New Roman" w:cs="Calibri"/>
          <w:sz w:val="24"/>
          <w:u w:val="single"/>
        </w:rPr>
        <w:t xml:space="preserve">; they are </w:t>
      </w:r>
      <w:r w:rsidRPr="008432FE">
        <w:rPr>
          <w:rFonts w:eastAsia="Times New Roman" w:cs="Calibri"/>
          <w:sz w:val="24"/>
          <w:highlight w:val="cyan"/>
          <w:u w:val="single"/>
        </w:rPr>
        <w:t>not back</w:t>
      </w:r>
      <w:r>
        <w:rPr>
          <w:rFonts w:eastAsia="Times New Roman" w:cs="Calibri"/>
          <w:sz w:val="24"/>
          <w:highlight w:val="cyan"/>
          <w:u w:val="single"/>
        </w:rPr>
        <w:t xml:space="preserve"> </w:t>
      </w:r>
      <w:r w:rsidRPr="008432FE">
        <w:rPr>
          <w:rFonts w:eastAsia="Times New Roman" w:cs="Calibri"/>
          <w:sz w:val="24"/>
          <w:highlight w:val="cyan"/>
          <w:u w:val="single"/>
        </w:rPr>
        <w:t>up by any further reasons.</w:t>
      </w:r>
    </w:p>
    <w:p w14:paraId="4ACF9C7C" w14:textId="77777777" w:rsidR="00D46908" w:rsidRPr="008432FE" w:rsidRDefault="00D46908" w:rsidP="00BD4AE1">
      <w:pPr>
        <w:spacing w:after="0" w:line="240" w:lineRule="auto"/>
        <w:jc w:val="both"/>
        <w:rPr>
          <w:rFonts w:eastAsia="Times New Roman" w:cs="Calibri"/>
          <w:sz w:val="24"/>
          <w:u w:val="single"/>
        </w:rPr>
      </w:pPr>
    </w:p>
    <w:p w14:paraId="65C15465" w14:textId="6443E50A" w:rsidR="00A95652" w:rsidRDefault="00BD4AE1" w:rsidP="00BD4AE1">
      <w:pPr>
        <w:pStyle w:val="Heading2"/>
      </w:pPr>
      <w:r>
        <w:t>2</w:t>
      </w:r>
    </w:p>
    <w:p w14:paraId="2DB8E8D7" w14:textId="77777777" w:rsidR="00BD4AE1" w:rsidRDefault="00BD4AE1" w:rsidP="00BD4AE1">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29C94005" w14:textId="77777777" w:rsidR="00BD4AE1" w:rsidRPr="00AE32FC" w:rsidRDefault="00BD4AE1" w:rsidP="00BD4AE1"/>
    <w:p w14:paraId="28A9D756" w14:textId="77777777" w:rsidR="00BD4AE1" w:rsidRPr="00AA4BB6" w:rsidRDefault="00BD4AE1" w:rsidP="00BD4AE1">
      <w:pPr>
        <w:pStyle w:val="Heading4"/>
      </w:pPr>
      <w:r>
        <w:t xml:space="preserve">The WHO supports a positive agenda for policy action against TRIPS and for increasing the availability of generic drugs. </w:t>
      </w:r>
    </w:p>
    <w:p w14:paraId="16B6B7B7" w14:textId="77777777" w:rsidR="00BD4AE1" w:rsidRDefault="00BD4AE1" w:rsidP="00BD4AE1">
      <w:pPr>
        <w:rPr>
          <w:rStyle w:val="Style13ptBold"/>
          <w:b w:val="0"/>
          <w:bCs w:val="0"/>
        </w:rPr>
      </w:pPr>
      <w:proofErr w:type="spell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 xml:space="preserve">TRIPS, Pharmaceutical Patents and Access to Essential Medicines: Seattle, Doha and Beyond,” Chicago Journal of International Law, 2003] </w:t>
      </w:r>
      <w:r>
        <w:rPr>
          <w:szCs w:val="16"/>
        </w:rPr>
        <w:t>TJHSSTAP</w:t>
      </w:r>
    </w:p>
    <w:p w14:paraId="7AB2A72B" w14:textId="77777777" w:rsidR="00BD4AE1" w:rsidRPr="00AA4BB6" w:rsidRDefault="00BD4AE1" w:rsidP="00BD4AE1">
      <w:pPr>
        <w:rPr>
          <w:rStyle w:val="Emphasis"/>
          <w:b w:val="0"/>
          <w:iCs w:val="0"/>
          <w:sz w:val="16"/>
          <w:u w:val="none"/>
        </w:rPr>
      </w:pPr>
      <w:r w:rsidRPr="00AA4BB6">
        <w:rPr>
          <w:rStyle w:val="Emphasis"/>
          <w:b w:val="0"/>
          <w:iCs w:val="0"/>
          <w:sz w:val="16"/>
          <w:u w:val="none"/>
        </w:rPr>
        <w:t xml:space="preserve">However, </w:t>
      </w:r>
      <w:r w:rsidRPr="00AA4BB6">
        <w:rPr>
          <w:rStyle w:val="Emphasis"/>
          <w:bCs/>
          <w:iCs w:val="0"/>
          <w:sz w:val="26"/>
        </w:rPr>
        <w:t xml:space="preserve">subsequent </w:t>
      </w:r>
      <w:r w:rsidRPr="00AA4BB6">
        <w:rPr>
          <w:rStyle w:val="Emphasis"/>
          <w:bCs/>
          <w:iCs w:val="0"/>
          <w:sz w:val="26"/>
          <w:highlight w:val="yellow"/>
        </w:rPr>
        <w:t>resolutions</w:t>
      </w:r>
      <w:r w:rsidRPr="00AA4BB6">
        <w:rPr>
          <w:rStyle w:val="Emphasis"/>
          <w:bCs/>
          <w:iCs w:val="0"/>
          <w:sz w:val="26"/>
        </w:rPr>
        <w:t xml:space="preserve"> of the World Health Assembly </w:t>
      </w:r>
      <w:r w:rsidRPr="00AA4BB6">
        <w:rPr>
          <w:rStyle w:val="Emphasis"/>
          <w:bCs/>
          <w:iCs w:val="0"/>
          <w:sz w:val="26"/>
          <w:highlight w:val="yellow"/>
        </w:rPr>
        <w:t>have strengthened the WHO’s mandate in the trade arena</w:t>
      </w:r>
      <w:r w:rsidRPr="00AA4BB6">
        <w:rPr>
          <w:rStyle w:val="Emphasis"/>
          <w:b w:val="0"/>
          <w:iCs w:val="0"/>
          <w:sz w:val="16"/>
          <w:u w:val="none"/>
        </w:rPr>
        <w:t xml:space="preserve">. In 2001, </w:t>
      </w:r>
      <w:r w:rsidRPr="00AA4BB6">
        <w:rPr>
          <w:rStyle w:val="Emphasis"/>
          <w:bCs/>
          <w:iCs w:val="0"/>
          <w:sz w:val="26"/>
        </w:rPr>
        <w:t>the World Health Assembly adopted two resolutions</w:t>
      </w:r>
      <w:r w:rsidRPr="00AA4BB6">
        <w:rPr>
          <w:rStyle w:val="Emphasis"/>
          <w:b w:val="0"/>
          <w:iCs w:val="0"/>
          <w:sz w:val="16"/>
          <w:u w:val="none"/>
        </w:rPr>
        <w:t xml:space="preserve"> in particular that had a bearing on the debate over TRIPS [30]. </w:t>
      </w:r>
      <w:r w:rsidRPr="00AA4BB6">
        <w:rPr>
          <w:rStyle w:val="Emphasis"/>
          <w:bCs/>
          <w:iCs w:val="0"/>
          <w:sz w:val="26"/>
          <w:highlight w:val="yellow"/>
        </w:rPr>
        <w:t>The resolutions addressed: – the need to</w:t>
      </w:r>
      <w:r w:rsidRPr="00AA4BB6">
        <w:rPr>
          <w:rStyle w:val="Emphasis"/>
          <w:bCs/>
          <w:iCs w:val="0"/>
          <w:sz w:val="26"/>
        </w:rPr>
        <w:t xml:space="preserve"> strengthen policies to </w:t>
      </w:r>
      <w:r w:rsidRPr="00AA4BB6">
        <w:rPr>
          <w:rStyle w:val="Emphasis"/>
          <w:bCs/>
          <w:iCs w:val="0"/>
          <w:sz w:val="26"/>
          <w:highlight w:val="yellow"/>
        </w:rPr>
        <w:t>increase the availability of generic drugs</w:t>
      </w:r>
      <w:r w:rsidRPr="00AA4BB6">
        <w:rPr>
          <w:rStyle w:val="Emphasis"/>
          <w:bCs/>
          <w:iCs w:val="0"/>
          <w:sz w:val="26"/>
        </w:rPr>
        <w:t xml:space="preserve">; – </w:t>
      </w:r>
      <w:r w:rsidRPr="00AA4BB6">
        <w:rPr>
          <w:rStyle w:val="Emphasis"/>
          <w:bCs/>
          <w:iCs w:val="0"/>
          <w:sz w:val="26"/>
          <w:highlight w:val="yellow"/>
        </w:rPr>
        <w:t>and</w:t>
      </w:r>
      <w:r w:rsidRPr="00AA4BB6">
        <w:rPr>
          <w:rStyle w:val="Emphasis"/>
          <w:bCs/>
          <w:iCs w:val="0"/>
          <w:sz w:val="26"/>
        </w:rPr>
        <w:t xml:space="preserve"> the need t</w:t>
      </w:r>
      <w:r w:rsidRPr="00AA4BB6">
        <w:rPr>
          <w:rStyle w:val="Emphasis"/>
          <w:bCs/>
          <w:iCs w:val="0"/>
          <w:sz w:val="26"/>
          <w:highlight w:val="yellow"/>
        </w:rPr>
        <w:t>o evaluate the impact of TRIPS on access to drug</w:t>
      </w:r>
      <w:r w:rsidRPr="00AA4BB6">
        <w:rPr>
          <w:rStyle w:val="Emphasis"/>
          <w:b w:val="0"/>
          <w:iCs w:val="0"/>
          <w:sz w:val="16"/>
          <w:u w:val="none"/>
        </w:rPr>
        <w:t xml:space="preserve">s, local manufacturing capacity, and the development of new drugs. As a result, </w:t>
      </w:r>
      <w:r w:rsidRPr="00AA4BB6">
        <w:rPr>
          <w:rStyle w:val="Emphasis"/>
          <w:bCs/>
          <w:iCs w:val="0"/>
          <w:sz w:val="26"/>
        </w:rPr>
        <w:t xml:space="preserve">the WHO’s work </w:t>
      </w:r>
      <w:proofErr w:type="spellStart"/>
      <w:r w:rsidRPr="00AA4BB6">
        <w:rPr>
          <w:rStyle w:val="Emphasis"/>
          <w:bCs/>
          <w:iCs w:val="0"/>
          <w:sz w:val="26"/>
        </w:rPr>
        <w:t>programme</w:t>
      </w:r>
      <w:proofErr w:type="spellEnd"/>
      <w:r w:rsidRPr="00AA4BB6">
        <w:rPr>
          <w:rStyle w:val="Emphasis"/>
          <w:bCs/>
          <w:iCs w:val="0"/>
          <w:sz w:val="26"/>
        </w:rPr>
        <w:t xml:space="preserve"> on pharmaceuticals and trade now includes the provision of policy guidance</w:t>
      </w:r>
      <w:r w:rsidRPr="00AA4BB6">
        <w:rPr>
          <w:rStyle w:val="Emphasis"/>
          <w:b w:val="0"/>
          <w:iCs w:val="0"/>
          <w:sz w:val="16"/>
          <w:u w:val="none"/>
        </w:rPr>
        <w:t xml:space="preserve"> and information </w:t>
      </w:r>
      <w:r w:rsidRPr="00AA4BB6">
        <w:rPr>
          <w:rStyle w:val="Emphasis"/>
          <w:bCs/>
          <w:iCs w:val="0"/>
          <w:sz w:val="26"/>
        </w:rPr>
        <w:t>on intellectual property</w:t>
      </w:r>
      <w:r w:rsidRPr="00AA4BB6">
        <w:rPr>
          <w:rStyle w:val="Emphasis"/>
          <w:b w:val="0"/>
          <w:iCs w:val="0"/>
          <w:sz w:val="16"/>
          <w:u w:val="none"/>
        </w:rPr>
        <w:t xml:space="preserve"> and health to countries for monitoring and analyzing the effects of TRIPS on access to medicines [31].</w:t>
      </w:r>
    </w:p>
    <w:p w14:paraId="32C40599" w14:textId="77777777" w:rsidR="00BD4AE1" w:rsidRDefault="00BD4AE1" w:rsidP="00BD4AE1">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517847E" w14:textId="77777777" w:rsidR="00BD4AE1" w:rsidRPr="009F03D9" w:rsidRDefault="00BD4AE1" w:rsidP="00BD4AE1">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12429B4F" w14:textId="77777777" w:rsidR="00BD4AE1" w:rsidRPr="009F03D9" w:rsidRDefault="00BD4AE1" w:rsidP="00BD4AE1">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204CEEC2" w14:textId="77777777" w:rsidR="00BD4AE1" w:rsidRPr="009F03D9" w:rsidRDefault="00BD4AE1" w:rsidP="00BD4AE1">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2703FC6" w14:textId="77777777" w:rsidR="00BD4AE1" w:rsidRPr="009F03D9" w:rsidRDefault="00BD4AE1" w:rsidP="00BD4AE1">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674B6AB7" w14:textId="77777777" w:rsidR="00BD4AE1" w:rsidRDefault="00BD4AE1" w:rsidP="00BD4AE1"/>
    <w:p w14:paraId="5349DBE0" w14:textId="77777777" w:rsidR="00BD4AE1" w:rsidRDefault="00BD4AE1" w:rsidP="00BD4AE1">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538501B5" w14:textId="77777777" w:rsidR="00BD4AE1" w:rsidRDefault="00BD4AE1" w:rsidP="00BD4AE1">
      <w:pPr>
        <w:rPr>
          <w:rStyle w:val="Style13ptBold"/>
          <w:bCs w:val="0"/>
        </w:rPr>
      </w:pPr>
      <w:proofErr w:type="spellStart"/>
      <w:r>
        <w:rPr>
          <w:rStyle w:val="Style13ptBold"/>
        </w:rPr>
        <w:t>Murtugudde</w:t>
      </w:r>
      <w:proofErr w:type="spellEnd"/>
      <w:r>
        <w:rPr>
          <w:rStyle w:val="Style13ptBold"/>
        </w:rPr>
        <w:t xml:space="preserv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 xml:space="preserve">Why We Need the World Health Organization Now More Than Ever,” Science, 4/19/2020] </w:t>
      </w:r>
      <w:r>
        <w:rPr>
          <w:szCs w:val="16"/>
        </w:rPr>
        <w:t>TJHSSTAP</w:t>
      </w:r>
    </w:p>
    <w:p w14:paraId="309F54B9" w14:textId="77777777" w:rsidR="00BD4AE1" w:rsidRPr="00CC0E7F" w:rsidRDefault="00BD4AE1" w:rsidP="00BD4AE1">
      <w:pPr>
        <w:rPr>
          <w:bCs/>
          <w:sz w:val="16"/>
        </w:rPr>
      </w:pPr>
      <w:r w:rsidRPr="00CC0E7F">
        <w:rPr>
          <w:b/>
          <w:sz w:val="26"/>
          <w:highlight w:val="yellow"/>
          <w:u w:val="single"/>
        </w:rPr>
        <w:t>WHO continues to play an indispensable role</w:t>
      </w:r>
      <w:r w:rsidRPr="00AA4BB6">
        <w:rPr>
          <w:b/>
          <w:sz w:val="26"/>
          <w:u w:val="single"/>
        </w:rPr>
        <w:t xml:space="preserve"> during the current COVID-19 outbreak </w:t>
      </w:r>
      <w:proofErr w:type="gramStart"/>
      <w:r w:rsidRPr="00AA4BB6">
        <w:rPr>
          <w:b/>
          <w:sz w:val="26"/>
          <w:u w:val="single"/>
        </w:rPr>
        <w:t>itself</w:t>
      </w:r>
      <w:r w:rsidRPr="00CC0E7F">
        <w:rPr>
          <w:bCs/>
          <w:sz w:val="16"/>
        </w:rPr>
        <w:t>.</w:t>
      </w:r>
      <w:proofErr w:type="gramEnd"/>
      <w:r w:rsidRPr="00CC0E7F">
        <w:rPr>
          <w:bCs/>
          <w:sz w:val="16"/>
        </w:rPr>
        <w:t xml:space="preserve"> In November 2018, the US National Academies of Sciences, Engineering and Medicine </w:t>
      </w:r>
      <w:proofErr w:type="spellStart"/>
      <w:r w:rsidRPr="00CC0E7F">
        <w:rPr>
          <w:bCs/>
          <w:sz w:val="16"/>
        </w:rPr>
        <w:t>organised</w:t>
      </w:r>
      <w:proofErr w:type="spellEnd"/>
      <w:r w:rsidRPr="00CC0E7F">
        <w:rPr>
          <w:bCs/>
          <w:sz w:val="16"/>
        </w:rPr>
        <w:t xml:space="preserve"> a workshop to explore lessons from past influenza outbreaks and so develop recommendations for pandemic preparedness for 2030. </w:t>
      </w:r>
      <w:r w:rsidRPr="00AA4BB6">
        <w:rPr>
          <w:b/>
          <w:sz w:val="26"/>
          <w:u w:val="single"/>
        </w:rPr>
        <w:t xml:space="preserve">The salient findings serve well to underscore the critical role of WHO for humankind. </w:t>
      </w:r>
      <w:r w:rsidRPr="00CC0E7F">
        <w:rPr>
          <w:bCs/>
          <w:sz w:val="16"/>
        </w:rPr>
        <w:t>The world’s influenza burden has only increased in the last two decades, a period in which there have also been 30 new zoonotic diseases. A warming world with increasing humidity, lost habitats and industrial livestock/poultry farming has many opportunities for pathogens to move from animals and birds to humans.</w:t>
      </w:r>
      <w:r w:rsidRPr="00AA4BB6">
        <w:rPr>
          <w:b/>
          <w:sz w:val="26"/>
          <w:u w:val="single"/>
        </w:rPr>
        <w:t xml:space="preserve"> Increasing global connectivity simply </w:t>
      </w:r>
      <w:proofErr w:type="spellStart"/>
      <w:r w:rsidRPr="00AA4BB6">
        <w:rPr>
          <w:b/>
          <w:sz w:val="26"/>
          <w:u w:val="single"/>
        </w:rPr>
        <w:t>catalyses</w:t>
      </w:r>
      <w:proofErr w:type="spellEnd"/>
      <w:r w:rsidRPr="00AA4BB6">
        <w:rPr>
          <w:b/>
          <w:sz w:val="26"/>
          <w:u w:val="single"/>
        </w:rPr>
        <w:t xml:space="preserve"> this process, as much as it </w:t>
      </w:r>
      <w:proofErr w:type="spellStart"/>
      <w:r w:rsidRPr="00AA4BB6">
        <w:rPr>
          <w:b/>
          <w:sz w:val="26"/>
          <w:u w:val="single"/>
        </w:rPr>
        <w:t>catalyses</w:t>
      </w:r>
      <w:proofErr w:type="spellEnd"/>
      <w:r w:rsidRPr="00AA4BB6">
        <w:rPr>
          <w:b/>
          <w:sz w:val="26"/>
          <w:u w:val="single"/>
        </w:rPr>
        <w:t xml:space="preserve"> economic growth.</w:t>
      </w:r>
      <w:r w:rsidRPr="00CC0E7F">
        <w:rPr>
          <w:bCs/>
          <w:sz w:val="16"/>
        </w:rPr>
        <w:t xml:space="preserve"> </w:t>
      </w:r>
      <w:r w:rsidRPr="00CC0E7F">
        <w:rPr>
          <w:b/>
          <w:sz w:val="26"/>
          <w:highlight w:val="yellow"/>
          <w:u w:val="single"/>
        </w:rPr>
        <w:t>WHO coordinates health research, clinical trials, drug safety, vaccine development, surveillance, virus sharing</w:t>
      </w:r>
      <w:r w:rsidRPr="00CC0E7F">
        <w:rPr>
          <w:bCs/>
          <w:sz w:val="16"/>
        </w:rPr>
        <w:t xml:space="preserve">, </w:t>
      </w:r>
      <w:proofErr w:type="gramStart"/>
      <w:r w:rsidRPr="00CC0E7F">
        <w:rPr>
          <w:bCs/>
          <w:sz w:val="16"/>
        </w:rPr>
        <w:t>etc.</w:t>
      </w:r>
      <w:proofErr w:type="gramEnd"/>
      <w:r w:rsidRPr="00CC0E7F">
        <w:rPr>
          <w:bCs/>
          <w:sz w:val="16"/>
        </w:rPr>
        <w:t xml:space="preserve"> The importance of WHO’s work on </w:t>
      </w:r>
      <w:proofErr w:type="spellStart"/>
      <w:r w:rsidRPr="00CC0E7F">
        <w:rPr>
          <w:bCs/>
          <w:sz w:val="16"/>
        </w:rPr>
        <w:t>immunisation</w:t>
      </w:r>
      <w:proofErr w:type="spellEnd"/>
      <w:r w:rsidRPr="00CC0E7F">
        <w:rPr>
          <w:bCs/>
          <w:sz w:val="16"/>
        </w:rPr>
        <w:t xml:space="preserve"> across the globe, especially with HIV, can hardly be overstated. </w:t>
      </w:r>
      <w:r w:rsidRPr="00CC0E7F">
        <w:rPr>
          <w:b/>
          <w:sz w:val="26"/>
          <w:highlight w:val="yellow"/>
          <w:u w:val="single"/>
        </w:rPr>
        <w:t xml:space="preserve">It has a rich track record of collaborating with private-sector </w:t>
      </w:r>
      <w:proofErr w:type="spellStart"/>
      <w:r w:rsidRPr="00CC0E7F">
        <w:rPr>
          <w:b/>
          <w:sz w:val="26"/>
          <w:highlight w:val="yellow"/>
          <w:u w:val="single"/>
        </w:rPr>
        <w:t>organisations</w:t>
      </w:r>
      <w:proofErr w:type="spellEnd"/>
      <w:r w:rsidRPr="00CC0E7F">
        <w:rPr>
          <w:b/>
          <w:sz w:val="26"/>
          <w:highlight w:val="yellow"/>
          <w:u w:val="single"/>
        </w:rPr>
        <w:t xml:space="preserve"> to advance research and development of health solutions</w:t>
      </w:r>
      <w:r w:rsidRPr="00CC0E7F">
        <w:rPr>
          <w:bCs/>
          <w:sz w:val="16"/>
        </w:rPr>
        <w:t xml:space="preserve"> and improving their access in the global south. It discharges its duties </w:t>
      </w:r>
      <w:r w:rsidRPr="00CC0E7F">
        <w:rPr>
          <w:b/>
          <w:sz w:val="26"/>
          <w:szCs w:val="26"/>
          <w:highlight w:val="yellow"/>
          <w:u w:val="single"/>
        </w:rPr>
        <w:t>while</w:t>
      </w:r>
      <w:r w:rsidRPr="00CC0E7F">
        <w:rPr>
          <w:bCs/>
          <w:sz w:val="16"/>
          <w:highlight w:val="yellow"/>
        </w:rPr>
        <w:t xml:space="preserve"> </w:t>
      </w:r>
      <w:r w:rsidRPr="00CC0E7F">
        <w:rPr>
          <w:b/>
          <w:sz w:val="26"/>
          <w:highlight w:val="yellow"/>
          <w:u w:val="single"/>
        </w:rPr>
        <w:t>maintaining a dynamic equilibrium</w:t>
      </w:r>
      <w:r w:rsidRPr="00CC0E7F">
        <w:rPr>
          <w:b/>
          <w:sz w:val="26"/>
          <w:u w:val="single"/>
        </w:rPr>
        <w:t xml:space="preserve"> between such diverse and powerful forces as national securities, economic interests, human rights and ethics</w:t>
      </w:r>
      <w:r w:rsidRPr="00CC0E7F">
        <w:rPr>
          <w:bCs/>
          <w:sz w:val="16"/>
        </w:rPr>
        <w:t xml:space="preserve">. COVID-19 has highlighted how political calculations can hamper data-sharing and mitigation efforts within and across national borders, and </w:t>
      </w:r>
      <w:r w:rsidRPr="00CC0E7F">
        <w:rPr>
          <w:b/>
          <w:sz w:val="26"/>
          <w:szCs w:val="26"/>
          <w:highlight w:val="yellow"/>
          <w:u w:val="single"/>
        </w:rPr>
        <w:t>WHO often</w:t>
      </w:r>
      <w:r w:rsidRPr="00CC0E7F">
        <w:rPr>
          <w:bCs/>
          <w:sz w:val="16"/>
        </w:rPr>
        <w:t xml:space="preserve"> simply becomes a convenient political scapegoat in such situations. </w:t>
      </w:r>
      <w:r w:rsidRPr="00CC0E7F">
        <w:rPr>
          <w:b/>
          <w:sz w:val="26"/>
          <w:u w:val="single"/>
        </w:rPr>
        <w:t>International Health Regulations</w:t>
      </w:r>
      <w:r w:rsidRPr="00CC0E7F">
        <w:rPr>
          <w:bCs/>
          <w:sz w:val="16"/>
        </w:rPr>
        <w:t xml:space="preserve">, a 2005 agreement between 196 countries to work together for global health security, </w:t>
      </w:r>
      <w:r w:rsidRPr="00CC0E7F">
        <w:rPr>
          <w:b/>
          <w:sz w:val="26"/>
          <w:highlight w:val="yellow"/>
          <w:u w:val="single"/>
        </w:rPr>
        <w:t>focuses on detection, assessment and reporting of public health events</w:t>
      </w:r>
      <w:r w:rsidRPr="00CC0E7F">
        <w:rPr>
          <w:bCs/>
          <w:sz w:val="16"/>
        </w:rPr>
        <w:t xml:space="preserve">, and also includes non-pharmaceutical interventions such as travel and trade restrictions. </w:t>
      </w:r>
      <w:r w:rsidRPr="00CC0E7F">
        <w:rPr>
          <w:b/>
          <w:sz w:val="26"/>
          <w:u w:val="single"/>
        </w:rPr>
        <w:t xml:space="preserve">WHO coordinates and helps build capacity to implement </w:t>
      </w:r>
      <w:proofErr w:type="gramStart"/>
      <w:r w:rsidRPr="00CC0E7F">
        <w:rPr>
          <w:b/>
          <w:sz w:val="26"/>
          <w:u w:val="single"/>
        </w:rPr>
        <w:t>IHR</w:t>
      </w:r>
      <w:r w:rsidRPr="00CC0E7F">
        <w:rPr>
          <w:bCs/>
          <w:sz w:val="16"/>
        </w:rPr>
        <w:t>.</w:t>
      </w:r>
      <w:proofErr w:type="gramEnd"/>
    </w:p>
    <w:p w14:paraId="6B81FA1F" w14:textId="77777777" w:rsidR="00BD4AE1" w:rsidRDefault="00BD4AE1" w:rsidP="00BD4AE1">
      <w:pPr>
        <w:pStyle w:val="Heading4"/>
      </w:pPr>
      <w:r>
        <w:t>WHO diplomacy solves great power conflict</w:t>
      </w:r>
    </w:p>
    <w:p w14:paraId="74656AF3" w14:textId="77777777" w:rsidR="00BD4AE1" w:rsidRPr="00487F05" w:rsidRDefault="00BD4AE1" w:rsidP="00BD4AE1">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71C4D77F" w14:textId="77777777" w:rsidR="00BD4AE1" w:rsidRPr="00054633" w:rsidRDefault="00BD4AE1" w:rsidP="00BD4AE1">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278C20A5" w14:textId="77777777" w:rsidR="00BD4AE1" w:rsidRPr="00054633" w:rsidRDefault="00BD4AE1" w:rsidP="00BD4AE1">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45CD1702" w14:textId="77777777" w:rsidR="00BD4AE1" w:rsidRPr="00054633" w:rsidRDefault="00BD4AE1" w:rsidP="00BD4AE1">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43C606E4" w14:textId="67F4A6C6" w:rsidR="00BD4AE1" w:rsidRDefault="00BD4AE1" w:rsidP="00BD4AE1">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1BB6ADD7" w14:textId="2FAEDD83" w:rsidR="00BD4AE1" w:rsidRDefault="00BD4AE1" w:rsidP="00BD4AE1">
      <w:pPr>
        <w:pStyle w:val="Heading2"/>
      </w:pPr>
      <w:r>
        <w:t>3</w:t>
      </w:r>
    </w:p>
    <w:p w14:paraId="4755DD09" w14:textId="77777777" w:rsidR="00BD4AE1" w:rsidRPr="006D7464" w:rsidRDefault="00BD4AE1" w:rsidP="00BD4AE1">
      <w:pPr>
        <w:pStyle w:val="Heading4"/>
      </w:pPr>
      <w:r w:rsidRPr="006D7464">
        <w:t xml:space="preserve">Util Overview – their framework fails: </w:t>
      </w:r>
    </w:p>
    <w:p w14:paraId="440D89AC" w14:textId="77777777" w:rsidR="00BD4AE1" w:rsidRPr="006D7464" w:rsidRDefault="00BD4AE1" w:rsidP="00BD4AE1">
      <w:pPr>
        <w:pStyle w:val="Heading4"/>
      </w:pPr>
      <w:r w:rsidRPr="006D7464">
        <w:t>1] Instability of the subject means moral theories can’t focus on individuals since there’s nothing that unifies them across time – that means only state of affairs have value and you should consequentially promote good ones</w:t>
      </w:r>
    </w:p>
    <w:p w14:paraId="5667586F" w14:textId="77777777" w:rsidR="00BD4AE1" w:rsidRPr="006D7464" w:rsidRDefault="00BD4AE1" w:rsidP="00BD4AE1">
      <w:pPr>
        <w:pStyle w:val="Heading4"/>
      </w:pPr>
      <w:r w:rsidRPr="006D7464">
        <w:t>2] Unstable affect proves personal identity doesn’t exist – that means util since it doesn’t matter how individuals relate to certain identarian categories, just hot to maximize benefits across people</w:t>
      </w:r>
    </w:p>
    <w:p w14:paraId="55B88911" w14:textId="77777777" w:rsidR="00BD4AE1" w:rsidRPr="006D7464" w:rsidRDefault="00BD4AE1" w:rsidP="00BD4AE1">
      <w:pPr>
        <w:pStyle w:val="Heading4"/>
      </w:pPr>
      <w:r w:rsidRPr="006D7464">
        <w:t>3] Their framework is impact-justified – the reason why majoritarianism is bad is because it creates violence towards certain groups which assumes util</w:t>
      </w:r>
    </w:p>
    <w:p w14:paraId="236F3CDA" w14:textId="77777777" w:rsidR="00BD4AE1" w:rsidRPr="006D7464" w:rsidRDefault="00BD4AE1" w:rsidP="00BD4AE1">
      <w:pPr>
        <w:pStyle w:val="Heading4"/>
      </w:pPr>
      <w:r w:rsidRPr="006D7464">
        <w:t>4] Bindingness – Deleuze is not motivational because even if our relations are determined through affect subjects don’t have a reason to follow them – util is motivational because putting your hand on a stove triggers a response to take it off – ethical theories must be motivational or else nobody would follow them</w:t>
      </w:r>
    </w:p>
    <w:p w14:paraId="7D7E2B58" w14:textId="6D8F3E0E" w:rsidR="00BD4AE1" w:rsidRDefault="00BD4AE1" w:rsidP="00BD4AE1">
      <w:pPr>
        <w:pStyle w:val="Heading4"/>
      </w:pPr>
      <w:r w:rsidRPr="006D7464">
        <w:t>5] Determinism – Deleuze says the subject is constantly affected by everything around it and which means there can be no constant subject that chooses to take in certain affects and proves their framework is impossible.</w:t>
      </w:r>
    </w:p>
    <w:p w14:paraId="7BC27A9F" w14:textId="6F3BE4DC" w:rsidR="005339D5" w:rsidRPr="005339D5" w:rsidRDefault="005339D5" w:rsidP="005339D5">
      <w:pPr>
        <w:pStyle w:val="Heading4"/>
        <w:rPr>
          <w:b w:val="0"/>
          <w:sz w:val="12"/>
          <w:szCs w:val="12"/>
        </w:rPr>
      </w:pPr>
      <w:r>
        <w:t xml:space="preserve">6] </w:t>
      </w:r>
      <w:r>
        <w:t>Deleuze is to</w:t>
      </w:r>
      <w:r w:rsidR="001A548D">
        <w:t>o</w:t>
      </w:r>
      <w:r>
        <w:t xml:space="preserve"> abstract and only makes things worse in the material world. Hallward 07 </w:t>
      </w:r>
      <w:r w:rsidRPr="005F371F">
        <w:rPr>
          <w:b w:val="0"/>
          <w:sz w:val="12"/>
          <w:szCs w:val="12"/>
        </w:rPr>
        <w:t xml:space="preserve">©2007 Joshua </w:t>
      </w:r>
      <w:proofErr w:type="spellStart"/>
      <w:r w:rsidRPr="005F371F">
        <w:rPr>
          <w:b w:val="0"/>
          <w:sz w:val="12"/>
          <w:szCs w:val="12"/>
        </w:rPr>
        <w:t>Delpech</w:t>
      </w:r>
      <w:proofErr w:type="spellEnd"/>
      <w:r w:rsidRPr="005F371F">
        <w:rPr>
          <w:b w:val="0"/>
          <w:sz w:val="12"/>
          <w:szCs w:val="12"/>
        </w:rPr>
        <w:t>-Ramey. All rights reserve</w:t>
      </w:r>
      <w:r>
        <w:rPr>
          <w:b w:val="0"/>
          <w:sz w:val="12"/>
          <w:szCs w:val="12"/>
        </w:rPr>
        <w:t xml:space="preserve">d. </w:t>
      </w:r>
      <w:proofErr w:type="spellStart"/>
      <w:r w:rsidRPr="005F371F">
        <w:rPr>
          <w:b w:val="0"/>
          <w:sz w:val="12"/>
          <w:szCs w:val="12"/>
        </w:rPr>
        <w:t>Delpech</w:t>
      </w:r>
      <w:proofErr w:type="spellEnd"/>
      <w:r w:rsidRPr="005F371F">
        <w:rPr>
          <w:b w:val="0"/>
          <w:sz w:val="12"/>
          <w:szCs w:val="12"/>
        </w:rPr>
        <w:t xml:space="preserve">-Ramey, Joshua. “Without Art: Peter Hallward’s Out of This World: Deleuze and the Philosophy of Creation.” Journal for Cultural and Religious Theory vol. 8 no. 3 (Fall 2007): 136-145. </w:t>
      </w:r>
      <w:r>
        <w:rPr>
          <w:b w:val="0"/>
          <w:sz w:val="12"/>
          <w:szCs w:val="12"/>
        </w:rPr>
        <w:t xml:space="preserve"> </w:t>
      </w:r>
      <w:r w:rsidRPr="005F371F">
        <w:rPr>
          <w:b w:val="0"/>
          <w:sz w:val="12"/>
          <w:szCs w:val="12"/>
        </w:rPr>
        <w:t xml:space="preserve">JOSHUA DELPECH RAMEY teaches in the Philosophy Department at Villanova University. Having written several articles on aesthetics and contemporary continental philosophy, he is currently completing a manuscript on unexplored connections between Deleuze and Renaissance philosophy. </w:t>
      </w:r>
    </w:p>
    <w:p w14:paraId="6EE7255D" w14:textId="77777777" w:rsidR="005339D5" w:rsidRPr="005339D5" w:rsidRDefault="005339D5" w:rsidP="005339D5">
      <w:pPr>
        <w:rPr>
          <w:sz w:val="16"/>
        </w:rPr>
      </w:pPr>
      <w:r w:rsidRPr="005339D5">
        <w:rPr>
          <w:sz w:val="16"/>
        </w:rPr>
        <w:t xml:space="preserve">According to Hallward, genuine materialist philosophers, among whom he includes figures such as Marx, Darwin, Sartre, and </w:t>
      </w:r>
      <w:proofErr w:type="spellStart"/>
      <w:r w:rsidRPr="005339D5">
        <w:rPr>
          <w:sz w:val="16"/>
        </w:rPr>
        <w:t>Badiou</w:t>
      </w:r>
      <w:proofErr w:type="spellEnd"/>
      <w:r w:rsidRPr="005339D5">
        <w:rPr>
          <w:sz w:val="16"/>
        </w:rPr>
        <w:t xml:space="preserve">, all insist that “actual or worldly processes inflect the course of both natural and human history” while </w:t>
      </w:r>
      <w:r w:rsidRPr="003B2168">
        <w:rPr>
          <w:rStyle w:val="Emphasis"/>
          <w:highlight w:val="cyan"/>
        </w:rPr>
        <w:t>Deleuze</w:t>
      </w:r>
      <w:r w:rsidRPr="002053E6">
        <w:rPr>
          <w:b/>
          <w:u w:val="single"/>
        </w:rPr>
        <w:t>,</w:t>
      </w:r>
      <w:r w:rsidRPr="005339D5">
        <w:rPr>
          <w:sz w:val="16"/>
        </w:rPr>
        <w:t xml:space="preserve"> on the other hand, </w:t>
      </w:r>
      <w:r w:rsidRPr="003B2168">
        <w:rPr>
          <w:rStyle w:val="Emphasis"/>
          <w:highlight w:val="cyan"/>
        </w:rPr>
        <w:t>believes</w:t>
      </w:r>
      <w:r w:rsidRPr="003B2168">
        <w:rPr>
          <w:rStyle w:val="Emphasis"/>
        </w:rPr>
        <w:t xml:space="preserve"> that </w:t>
      </w:r>
      <w:r w:rsidRPr="003B2168">
        <w:rPr>
          <w:rStyle w:val="Emphasis"/>
          <w:highlight w:val="cyan"/>
        </w:rPr>
        <w:t>only</w:t>
      </w:r>
      <w:r w:rsidRPr="003B2168">
        <w:rPr>
          <w:rStyle w:val="Emphasis"/>
        </w:rPr>
        <w:t xml:space="preserve"> </w:t>
      </w:r>
      <w:r w:rsidRPr="003B2168">
        <w:rPr>
          <w:rStyle w:val="Emphasis"/>
          <w:highlight w:val="cyan"/>
        </w:rPr>
        <w:t>virtual</w:t>
      </w:r>
      <w:r w:rsidRPr="003B2168">
        <w:rPr>
          <w:rStyle w:val="Emphasis"/>
        </w:rPr>
        <w:t xml:space="preserve"> or “spiritual” </w:t>
      </w:r>
      <w:r w:rsidRPr="003B2168">
        <w:rPr>
          <w:rStyle w:val="Emphasis"/>
          <w:highlight w:val="cyan"/>
        </w:rPr>
        <w:t>processes</w:t>
      </w:r>
      <w:r w:rsidRPr="005339D5">
        <w:rPr>
          <w:sz w:val="16"/>
        </w:rPr>
        <w:t xml:space="preserve"> (as he tendentiously calls them) </w:t>
      </w:r>
      <w:r w:rsidRPr="003B2168">
        <w:rPr>
          <w:rStyle w:val="Emphasis"/>
          <w:highlight w:val="cyan"/>
        </w:rPr>
        <w:t>are</w:t>
      </w:r>
      <w:r w:rsidRPr="003B2168">
        <w:rPr>
          <w:rStyle w:val="Emphasis"/>
        </w:rPr>
        <w:t xml:space="preserve"> the </w:t>
      </w:r>
      <w:r w:rsidRPr="003B2168">
        <w:rPr>
          <w:rStyle w:val="Emphasis"/>
          <w:highlight w:val="cyan"/>
        </w:rPr>
        <w:t>true</w:t>
      </w:r>
      <w:r w:rsidRPr="003B2168">
        <w:rPr>
          <w:rStyle w:val="Emphasis"/>
        </w:rPr>
        <w:t xml:space="preserve"> determinants of natural and human lives</w:t>
      </w:r>
      <w:r w:rsidRPr="005339D5">
        <w:rPr>
          <w:sz w:val="16"/>
        </w:rPr>
        <w:t xml:space="preserve">.8 Virtual processes, which Deleuze variously calls intensities, singularities, sense- events, or folds, are described by Hallward as the harbingers of a cosmic creativity irreducible to actual causal or </w:t>
      </w:r>
      <w:proofErr w:type="spellStart"/>
      <w:r w:rsidRPr="005339D5">
        <w:rPr>
          <w:sz w:val="16"/>
        </w:rPr>
        <w:t>spatio</w:t>
      </w:r>
      <w:proofErr w:type="spellEnd"/>
      <w:r w:rsidRPr="005339D5">
        <w:rPr>
          <w:sz w:val="16"/>
        </w:rPr>
        <w:t xml:space="preserve">-temporal dynamics. But then Hallward argues that despite equating Being with a creative process, </w:t>
      </w:r>
      <w:r w:rsidRPr="003B2168">
        <w:rPr>
          <w:rStyle w:val="Emphasis"/>
        </w:rPr>
        <w:t xml:space="preserve">Deleuze’s philosophy cannot count as a true materialism. </w:t>
      </w:r>
      <w:r w:rsidRPr="003B2168">
        <w:rPr>
          <w:rStyle w:val="Emphasis"/>
          <w:highlight w:val="cyan"/>
        </w:rPr>
        <w:t>Deleuze</w:t>
      </w:r>
      <w:r w:rsidRPr="003B2168">
        <w:rPr>
          <w:rStyle w:val="Emphasis"/>
        </w:rPr>
        <w:t xml:space="preserve">’s thought </w:t>
      </w:r>
      <w:r w:rsidRPr="003B2168">
        <w:rPr>
          <w:rStyle w:val="Emphasis"/>
          <w:highlight w:val="cyan"/>
        </w:rPr>
        <w:t>is not</w:t>
      </w:r>
      <w:r w:rsidRPr="003B2168">
        <w:rPr>
          <w:rStyle w:val="Emphasis"/>
        </w:rPr>
        <w:t xml:space="preserve"> finally a philosophy </w:t>
      </w:r>
      <w:r w:rsidRPr="003B2168">
        <w:rPr>
          <w:rStyle w:val="Emphasis"/>
          <w:highlight w:val="cyan"/>
        </w:rPr>
        <w:t>attempting to change the actual world, but to escape it</w:t>
      </w:r>
      <w:r w:rsidRPr="003B2168">
        <w:rPr>
          <w:rStyle w:val="Emphasis"/>
        </w:rPr>
        <w:t xml:space="preserve">. </w:t>
      </w:r>
      <w:r w:rsidRPr="003B2168">
        <w:rPr>
          <w:rStyle w:val="Emphasis"/>
          <w:highlight w:val="cyan"/>
        </w:rPr>
        <w:t>Thought does not change actuality</w:t>
      </w:r>
      <w:r w:rsidRPr="003B2168">
        <w:rPr>
          <w:rStyle w:val="Emphasis"/>
        </w:rPr>
        <w:t>, but merely reacts to or “counter-actualizes” actual experience</w:t>
      </w:r>
      <w:r w:rsidRPr="005339D5">
        <w:rPr>
          <w:sz w:val="16"/>
        </w:rPr>
        <w:t xml:space="preserve"> such that a contemplative, even mystical communion is established between thought and the creative forces of life. Whatever effects such contemplation may have on the actual world and its mundane affairs are ultimately irrelevant to the adventures of thought itself. Such, at least, is Hallward’s argument. Hallward’s claim about the whole of Deleuze’s thought, if true, </w:t>
      </w:r>
      <w:r w:rsidRPr="003B2168">
        <w:rPr>
          <w:rStyle w:val="Emphasis"/>
        </w:rPr>
        <w:t xml:space="preserve">is </w:t>
      </w:r>
      <w:r w:rsidRPr="003B2168">
        <w:rPr>
          <w:rStyle w:val="Emphasis"/>
          <w:highlight w:val="cyan"/>
        </w:rPr>
        <w:t>devastating to any attempt to relate Deleuze’s work to contemporary ethics and politic</w:t>
      </w:r>
      <w:r w:rsidRPr="002053E6">
        <w:rPr>
          <w:b/>
          <w:u w:val="single"/>
        </w:rPr>
        <w:t>s</w:t>
      </w:r>
      <w:r w:rsidRPr="005339D5">
        <w:rPr>
          <w:sz w:val="16"/>
        </w:rPr>
        <w:t xml:space="preserve">. The claim is not that </w:t>
      </w:r>
      <w:proofErr w:type="spellStart"/>
      <w:r w:rsidRPr="005339D5">
        <w:rPr>
          <w:sz w:val="16"/>
        </w:rPr>
        <w:t>Deleuzian</w:t>
      </w:r>
      <w:proofErr w:type="spellEnd"/>
      <w:r w:rsidRPr="005339D5">
        <w:rPr>
          <w:sz w:val="16"/>
        </w:rPr>
        <w:t xml:space="preserve"> creativity does not transform the actual world in important ways, but that such transformation is fundamentally irrelevant because it is oriented beyond activity toward mere contemplation of the abstract essence of creativity itself. This claim, however, is based on a strategic misreading of Deleuze’s oeuvre. Although Hallward admits that his reading is neither a close textual exegesis nor an attempt to elucidate the details of any single one of Deleuze’s thoughts on time, the structure of events, the nature of repetition, or any of the other topics Deleuze’s vast work covers, Hallward does root his arguments deeply in Deleuze’s texts. Often this rooting takes strange liberties, such as the following passage from Hallward’s “Introduction” that splices a sentence from Deleuze’s Logic of Sense with Cinema I: The Movement-Image. Hallward writes, </w:t>
      </w:r>
      <w:proofErr w:type="gramStart"/>
      <w:r w:rsidRPr="005339D5">
        <w:rPr>
          <w:sz w:val="16"/>
        </w:rPr>
        <w:t>Rather</w:t>
      </w:r>
      <w:proofErr w:type="gramEnd"/>
      <w:r w:rsidRPr="005339D5">
        <w:rPr>
          <w:sz w:val="16"/>
        </w:rPr>
        <w:t xml:space="preserve"> than seek to elaborate rules for the consistent representation of reality</w:t>
      </w:r>
      <w:r w:rsidRPr="002053E6">
        <w:rPr>
          <w:b/>
          <w:u w:val="single"/>
        </w:rPr>
        <w:t xml:space="preserve">, </w:t>
      </w:r>
      <w:r w:rsidRPr="003B2168">
        <w:rPr>
          <w:rStyle w:val="Emphasis"/>
        </w:rPr>
        <w:t>Deleuze sees the fundamental task of philosophy as exclusively conditioned by our immediate participation in reality</w:t>
      </w:r>
      <w:r w:rsidRPr="005339D5">
        <w:rPr>
          <w:sz w:val="16"/>
        </w:rPr>
        <w:t xml:space="preserve">. Rather than represent the world in a reliable way, Deleuze maintains that our real concern is to “know how the individual would be able to transcend his form and his syntactical link with the world” so as to become the transparent vessel for that “non-organic life of things which burns us, [...,] which is the divine part in us, the spiritual relationship in which we are alone with God as light” (LS 178; C1, 54).9 The crucial point missing here is that the “light” that is mentioned in the Cinema books is precisely the light of film itself. The “divine part in us” Deleuze is thinking of here is not that which removes us from one another, but that which joins us most intensely together in the creation of a work of art: it is the efforts which culminate in the projection of a film—as Deleuze himself once put it, there is no intersubjectivity except an artistic one.10 Consider the collective effort involved in making a movie, or making music, or works of theatre or dance. We transcend our organic forms and syntactical links with the world not as an act of dematerialization or evaporation, but as a concrete, messy experiment that can be carried out only in and as the work of making art, doing science, or creating philosophical concepts. It is Deleuze’s constant focus on work—his focus on the ideas of artistic and philosophical apprenticeship, initiation, and experimentation from Difference and Repetition through What is </w:t>
      </w:r>
      <w:proofErr w:type="gramStart"/>
      <w:r w:rsidRPr="005339D5">
        <w:rPr>
          <w:sz w:val="16"/>
        </w:rPr>
        <w:t>Philosophy?—</w:t>
      </w:r>
      <w:proofErr w:type="gramEnd"/>
      <w:r w:rsidRPr="005339D5">
        <w:rPr>
          <w:sz w:val="16"/>
        </w:rPr>
        <w:t xml:space="preserve">that makes his thought materialist, but this is the aspect of Deleuze’s thought for which Hallward has the least attention.11 </w:t>
      </w:r>
    </w:p>
    <w:p w14:paraId="2B4C9AA5" w14:textId="77777777" w:rsidR="005339D5" w:rsidRPr="005339D5" w:rsidRDefault="005339D5" w:rsidP="005339D5"/>
    <w:p w14:paraId="6274AD6D" w14:textId="448BB462" w:rsidR="00BD4AE1" w:rsidRDefault="00D46908" w:rsidP="00BD4AE1">
      <w:pPr>
        <w:pStyle w:val="Heading2"/>
      </w:pPr>
      <w:r>
        <w:t>A2 Permissibility and Presumption</w:t>
      </w:r>
    </w:p>
    <w:p w14:paraId="054B5A57" w14:textId="7777777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rPr>
      </w:pPr>
      <w:r>
        <w:rPr>
          <w:rFonts w:ascii="Helvetica-Bold" w:hAnsi="Helvetica-Bold" w:cs="Helvetica-Bold"/>
          <w:b/>
          <w:bCs/>
          <w:color w:val="000000"/>
          <w:sz w:val="26"/>
          <w:szCs w:val="26"/>
          <w:lang w:val="x-none"/>
        </w:rPr>
        <w:t>Presumption and permissibility negate –</w:t>
      </w:r>
      <w:r>
        <w:rPr>
          <w:rFonts w:ascii="Helvetica-Bold" w:hAnsi="Helvetica-Bold" w:cs="Helvetica-Bold"/>
          <w:b/>
          <w:bCs/>
          <w:color w:val="000000"/>
          <w:sz w:val="26"/>
          <w:szCs w:val="26"/>
        </w:rPr>
        <w:t xml:space="preserve"> </w:t>
      </w:r>
    </w:p>
    <w:p w14:paraId="37CDCAE0" w14:textId="7777777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a) statements are more often false than true since I can prove something false in infinite ways </w:t>
      </w:r>
    </w:p>
    <w:p w14:paraId="52DFF048" w14:textId="7777777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b) negating is harder – two justifications: </w:t>
      </w:r>
    </w:p>
    <w:p w14:paraId="6CE19994" w14:textId="77777777" w:rsidR="00B97F22" w:rsidRDefault="00B97F22" w:rsidP="00B97F22">
      <w:pPr>
        <w:autoSpaceDE w:val="0"/>
        <w:autoSpaceDN w:val="0"/>
        <w:adjustRightInd w:val="0"/>
        <w:spacing w:before="40" w:after="0" w:line="256" w:lineRule="auto"/>
        <w:ind w:left="720"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1] judge psychology – the </w:t>
      </w:r>
      <w:proofErr w:type="spellStart"/>
      <w:r>
        <w:rPr>
          <w:rFonts w:ascii="Helvetica-Bold" w:hAnsi="Helvetica-Bold" w:cs="Helvetica-Bold"/>
          <w:b/>
          <w:bCs/>
          <w:color w:val="000000"/>
          <w:sz w:val="26"/>
          <w:szCs w:val="26"/>
          <w:lang w:val="x-none"/>
        </w:rPr>
        <w:t>aff</w:t>
      </w:r>
      <w:proofErr w:type="spellEnd"/>
      <w:r>
        <w:rPr>
          <w:rFonts w:ascii="Helvetica-Bold" w:hAnsi="Helvetica-Bold" w:cs="Helvetica-Bold"/>
          <w:b/>
          <w:bCs/>
          <w:color w:val="000000"/>
          <w:sz w:val="26"/>
          <w:szCs w:val="26"/>
          <w:lang w:val="x-none"/>
        </w:rPr>
        <w:t xml:space="preserve"> gets to speak first and last which produces a cognitive bias against the neg </w:t>
      </w:r>
    </w:p>
    <w:p w14:paraId="2CAB0487" w14:textId="77777777" w:rsidR="00B97F22" w:rsidRDefault="00B97F22" w:rsidP="00B97F22">
      <w:pPr>
        <w:autoSpaceDE w:val="0"/>
        <w:autoSpaceDN w:val="0"/>
        <w:adjustRightInd w:val="0"/>
        <w:spacing w:before="40" w:after="0" w:line="256" w:lineRule="auto"/>
        <w:ind w:left="720"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2] the </w:t>
      </w:r>
      <w:proofErr w:type="spellStart"/>
      <w:r>
        <w:rPr>
          <w:rFonts w:ascii="Helvetica-Bold" w:hAnsi="Helvetica-Bold" w:cs="Helvetica-Bold"/>
          <w:b/>
          <w:bCs/>
          <w:color w:val="000000"/>
          <w:sz w:val="26"/>
          <w:szCs w:val="26"/>
          <w:lang w:val="x-none"/>
        </w:rPr>
        <w:t>aff</w:t>
      </w:r>
      <w:proofErr w:type="spellEnd"/>
      <w:r>
        <w:rPr>
          <w:rFonts w:ascii="Helvetica-Bold" w:hAnsi="Helvetica-Bold" w:cs="Helvetica-Bold"/>
          <w:b/>
          <w:bCs/>
          <w:color w:val="000000"/>
          <w:sz w:val="26"/>
          <w:szCs w:val="26"/>
          <w:lang w:val="x-none"/>
        </w:rPr>
        <w:t xml:space="preserve"> has infinite prep time to strategically craft their ac – if we are equal on the flow I did the better debating</w:t>
      </w:r>
    </w:p>
    <w:p w14:paraId="2B77050A" w14:textId="7777777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c) the </w:t>
      </w:r>
      <w:proofErr w:type="spellStart"/>
      <w:r>
        <w:rPr>
          <w:rFonts w:ascii="Helvetica-Bold" w:hAnsi="Helvetica-Bold" w:cs="Helvetica-Bold"/>
          <w:b/>
          <w:bCs/>
          <w:color w:val="000000"/>
          <w:sz w:val="26"/>
          <w:szCs w:val="26"/>
          <w:lang w:val="x-none"/>
        </w:rPr>
        <w:t>aff</w:t>
      </w:r>
      <w:proofErr w:type="spellEnd"/>
      <w:r>
        <w:rPr>
          <w:rFonts w:ascii="Helvetica-Bold" w:hAnsi="Helvetica-Bold" w:cs="Helvetica-Bold"/>
          <w:b/>
          <w:bCs/>
          <w:color w:val="000000"/>
          <w:sz w:val="26"/>
          <w:szCs w:val="26"/>
          <w:lang w:val="x-none"/>
        </w:rPr>
        <w:t xml:space="preserve"> has to prove an obligation which means lack of that obligation negates </w:t>
      </w:r>
    </w:p>
    <w:p w14:paraId="484DD10C" w14:textId="7777777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d) real world policies require positive justification before being adopted which means the </w:t>
      </w:r>
      <w:proofErr w:type="spellStart"/>
      <w:r>
        <w:rPr>
          <w:rFonts w:ascii="Helvetica-Bold" w:hAnsi="Helvetica-Bold" w:cs="Helvetica-Bold"/>
          <w:b/>
          <w:bCs/>
          <w:color w:val="000000"/>
          <w:sz w:val="26"/>
          <w:szCs w:val="26"/>
          <w:lang w:val="x-none"/>
        </w:rPr>
        <w:t>aff</w:t>
      </w:r>
      <w:proofErr w:type="spellEnd"/>
      <w:r>
        <w:rPr>
          <w:rFonts w:ascii="Helvetica-Bold" w:hAnsi="Helvetica-Bold" w:cs="Helvetica-Bold"/>
          <w:b/>
          <w:bCs/>
          <w:color w:val="000000"/>
          <w:sz w:val="26"/>
          <w:szCs w:val="26"/>
          <w:lang w:val="x-none"/>
        </w:rPr>
        <w:t xml:space="preserve"> carries the burden of proof </w:t>
      </w:r>
    </w:p>
    <w:p w14:paraId="4AC961CB" w14:textId="10091A97" w:rsidR="00B97F22" w:rsidRDefault="00B97F22" w:rsidP="00B97F22">
      <w:pPr>
        <w:autoSpaceDE w:val="0"/>
        <w:autoSpaceDN w:val="0"/>
        <w:adjustRightInd w:val="0"/>
        <w:spacing w:before="40" w:after="0" w:line="256" w:lineRule="auto"/>
        <w:ind w:right="-720"/>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e) moral repugnance – it’s ethically safer to presume prohibition because assuming permissibility allows for the chance that we’re wrong and commit morally horrible actions.</w:t>
      </w:r>
    </w:p>
    <w:p w14:paraId="656028EA" w14:textId="77777777" w:rsidR="00B97F22" w:rsidRPr="00B97F22" w:rsidRDefault="00B97F22" w:rsidP="00D46908">
      <w:pPr>
        <w:spacing w:after="0" w:line="240" w:lineRule="auto"/>
        <w:jc w:val="both"/>
        <w:rPr>
          <w:rFonts w:ascii="Helvetica-Bold" w:hAnsi="Helvetica-Bold" w:cs="Helvetica-Bold"/>
          <w:b/>
          <w:bCs/>
          <w:color w:val="000000"/>
          <w:sz w:val="26"/>
          <w:szCs w:val="26"/>
        </w:rPr>
      </w:pPr>
    </w:p>
    <w:p w14:paraId="538D1BD1" w14:textId="77777777" w:rsidR="00D46908" w:rsidRPr="00D46908" w:rsidRDefault="00D46908" w:rsidP="00D46908">
      <w:pPr>
        <w:autoSpaceDE w:val="0"/>
        <w:autoSpaceDN w:val="0"/>
        <w:adjustRightInd w:val="0"/>
        <w:spacing w:before="40" w:after="0" w:line="256" w:lineRule="auto"/>
        <w:ind w:right="-720"/>
        <w:rPr>
          <w:rFonts w:ascii="Helvetica-Bold" w:hAnsi="Helvetica-Bold" w:cs="Helvetica-Bold"/>
          <w:b/>
          <w:bCs/>
          <w:sz w:val="26"/>
          <w:szCs w:val="26"/>
          <w:lang w:val="x-none"/>
        </w:rPr>
      </w:pPr>
      <w:r>
        <w:rPr>
          <w:rFonts w:ascii="Helvetica-Bold" w:hAnsi="Helvetica-Bold" w:cs="Helvetica-Bold"/>
          <w:b/>
          <w:bCs/>
          <w:color w:val="000000"/>
          <w:sz w:val="26"/>
          <w:szCs w:val="26"/>
          <w:lang w:val="x-none"/>
        </w:rPr>
        <w:t>A2 True Until False - No true until false – they get the burden of proof wrong – we just assume it’s your name because</w:t>
      </w:r>
      <w:r w:rsidRPr="00D46908">
        <w:rPr>
          <w:rFonts w:ascii="Helvetica-Bold" w:hAnsi="Helvetica-Bold" w:cs="Helvetica-Bold"/>
          <w:b/>
          <w:bCs/>
          <w:sz w:val="26"/>
          <w:szCs w:val="26"/>
          <w:lang w:val="x-none"/>
        </w:rPr>
        <w:t xml:space="preserve"> we aren’t annoying people. Also, resolutions are complex statements that require a greater burden of proof – you expect an average person to know their name but not to evaluate morality in the context of the resolution. </w:t>
      </w:r>
    </w:p>
    <w:p w14:paraId="6771022E" w14:textId="77777777" w:rsidR="00D46908" w:rsidRPr="00D46908" w:rsidRDefault="00D46908" w:rsidP="00D46908">
      <w:pPr>
        <w:autoSpaceDE w:val="0"/>
        <w:autoSpaceDN w:val="0"/>
        <w:adjustRightInd w:val="0"/>
        <w:spacing w:before="40" w:after="0" w:line="256" w:lineRule="auto"/>
        <w:ind w:right="-720"/>
        <w:rPr>
          <w:rFonts w:ascii="Helvetica-Bold" w:hAnsi="Helvetica-Bold" w:cs="Helvetica-Bold"/>
          <w:b/>
          <w:bCs/>
          <w:sz w:val="26"/>
          <w:szCs w:val="26"/>
          <w:lang w:val="x-none"/>
        </w:rPr>
      </w:pPr>
    </w:p>
    <w:p w14:paraId="756D9612" w14:textId="77777777" w:rsidR="00D46908" w:rsidRPr="00D46908" w:rsidRDefault="00D46908" w:rsidP="00D46908">
      <w:pPr>
        <w:autoSpaceDE w:val="0"/>
        <w:autoSpaceDN w:val="0"/>
        <w:adjustRightInd w:val="0"/>
        <w:spacing w:before="40" w:after="0" w:line="256" w:lineRule="auto"/>
        <w:ind w:right="-720"/>
        <w:rPr>
          <w:rFonts w:ascii="Helvetica-Bold" w:hAnsi="Helvetica-Bold" w:cs="Helvetica-Bold"/>
          <w:b/>
          <w:bCs/>
          <w:sz w:val="26"/>
          <w:szCs w:val="26"/>
          <w:lang w:val="x-none"/>
        </w:rPr>
      </w:pPr>
      <w:r w:rsidRPr="00D46908">
        <w:rPr>
          <w:rFonts w:ascii="Helvetica-Bold" w:hAnsi="Helvetica-Bold" w:cs="Helvetica-Bold"/>
          <w:b/>
          <w:bCs/>
          <w:sz w:val="26"/>
          <w:szCs w:val="26"/>
          <w:lang w:val="x-none"/>
        </w:rPr>
        <w:t>A2 Can’t Trust Anything</w:t>
      </w:r>
      <w:r w:rsidRPr="00D46908">
        <w:rPr>
          <w:rFonts w:ascii="Helvetica-Bold" w:hAnsi="Helvetica-Bold" w:cs="Helvetica-Bold"/>
          <w:b/>
          <w:bCs/>
          <w:sz w:val="32"/>
          <w:szCs w:val="32"/>
          <w:lang w:val="x-none"/>
        </w:rPr>
        <w:t xml:space="preserve"> - </w:t>
      </w:r>
      <w:r w:rsidRPr="00D46908">
        <w:rPr>
          <w:rFonts w:ascii="Helvetica-Bold" w:hAnsi="Helvetica-Bold" w:cs="Helvetica-Bold"/>
          <w:b/>
          <w:bCs/>
          <w:sz w:val="26"/>
          <w:szCs w:val="26"/>
          <w:lang w:val="x-none"/>
        </w:rPr>
        <w:t xml:space="preserve">Not trusting anything has not impact – I don’t trust anything and operate just fine. Also, epistemics disproves – our reasoning process operates outside of how the judge evaluates debate arguments which means their argument isn’t applicable. </w:t>
      </w:r>
    </w:p>
    <w:p w14:paraId="347022BB" w14:textId="77777777" w:rsidR="00BD4AE1" w:rsidRPr="00BD4AE1" w:rsidRDefault="00BD4AE1" w:rsidP="00BD4AE1"/>
    <w:sectPr w:rsidR="00BD4AE1" w:rsidRPr="00BD4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4AE1"/>
    <w:rsid w:val="000139A3"/>
    <w:rsid w:val="00100833"/>
    <w:rsid w:val="00104529"/>
    <w:rsid w:val="00105942"/>
    <w:rsid w:val="00107396"/>
    <w:rsid w:val="00144A4C"/>
    <w:rsid w:val="00176AB0"/>
    <w:rsid w:val="00177B7D"/>
    <w:rsid w:val="0018322D"/>
    <w:rsid w:val="001A548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39D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3DA3"/>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7F22"/>
    <w:rsid w:val="00BD4AE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690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961B"/>
  <w15:chartTrackingRefBased/>
  <w15:docId w15:val="{C25FC989-9A8B-4DF7-93BB-0F38B0D0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4AE1"/>
    <w:rPr>
      <w:rFonts w:ascii="Calibri" w:hAnsi="Calibri"/>
    </w:rPr>
  </w:style>
  <w:style w:type="paragraph" w:styleId="Heading1">
    <w:name w:val="heading 1"/>
    <w:aliases w:val="Pocket"/>
    <w:basedOn w:val="Normal"/>
    <w:next w:val="Normal"/>
    <w:link w:val="Heading1Char"/>
    <w:qFormat/>
    <w:rsid w:val="00BD4A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4A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4A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3"/>
    <w:unhideWhenUsed/>
    <w:qFormat/>
    <w:rsid w:val="00BD4A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4A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4AE1"/>
  </w:style>
  <w:style w:type="character" w:customStyle="1" w:styleId="Heading1Char">
    <w:name w:val="Heading 1 Char"/>
    <w:aliases w:val="Pocket Char"/>
    <w:basedOn w:val="DefaultParagraphFont"/>
    <w:link w:val="Heading1"/>
    <w:rsid w:val="00BD4A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4A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4A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D4AE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BD4A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4AE1"/>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6"/>
    <w:qFormat/>
    <w:rsid w:val="00BD4AE1"/>
    <w:rPr>
      <w:b w:val="0"/>
      <w:sz w:val="22"/>
      <w:u w:val="single"/>
    </w:rPr>
  </w:style>
  <w:style w:type="character" w:styleId="Hyperlink">
    <w:name w:val="Hyperlink"/>
    <w:basedOn w:val="DefaultParagraphFont"/>
    <w:uiPriority w:val="99"/>
    <w:semiHidden/>
    <w:unhideWhenUsed/>
    <w:rsid w:val="00BD4AE1"/>
    <w:rPr>
      <w:color w:val="auto"/>
      <w:u w:val="none"/>
    </w:rPr>
  </w:style>
  <w:style w:type="character" w:styleId="FollowedHyperlink">
    <w:name w:val="FollowedHyperlink"/>
    <w:basedOn w:val="DefaultParagraphFont"/>
    <w:uiPriority w:val="99"/>
    <w:semiHidden/>
    <w:unhideWhenUsed/>
    <w:rsid w:val="00BD4AE1"/>
    <w:rPr>
      <w:color w:val="auto"/>
      <w:u w:val="none"/>
    </w:rPr>
  </w:style>
  <w:style w:type="paragraph" w:customStyle="1" w:styleId="textbold">
    <w:name w:val="text bold"/>
    <w:basedOn w:val="Normal"/>
    <w:link w:val="Emphasis"/>
    <w:autoRedefine/>
    <w:uiPriority w:val="7"/>
    <w:qFormat/>
    <w:rsid w:val="00BD4AE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2754</Words>
  <Characters>15699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5</cp:revision>
  <dcterms:created xsi:type="dcterms:W3CDTF">2021-09-18T13:39:00Z</dcterms:created>
  <dcterms:modified xsi:type="dcterms:W3CDTF">2021-09-18T13:59:00Z</dcterms:modified>
</cp:coreProperties>
</file>