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C2FB4" w14:textId="3EB18E7B" w:rsidR="00A42A2F" w:rsidRDefault="00A6199E" w:rsidP="00A42A2F">
      <w:pPr>
        <w:pStyle w:val="Heading2"/>
      </w:pPr>
      <w:r>
        <w:t>1</w:t>
      </w:r>
    </w:p>
    <w:p w14:paraId="10F9D82C"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The standard is maximizing expected wellbeing. Prefer:</w:t>
      </w:r>
    </w:p>
    <w:p w14:paraId="5BE6D225"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1] Theory first –</w:t>
      </w:r>
    </w:p>
    <w:p w14:paraId="4118BE31"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A] Ground – both debaters have ground underneath util because every action has a consequence that can be weighed fairly using different metrics under the framing – other frameworks flow exclusively to one side. </w:t>
      </w:r>
    </w:p>
    <w:p w14:paraId="6D453517"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B] Topic lit – most articles are written through a utilitarian lens because they are crafted for policymakers and the general public who believes consequences are important – key to fairness because topic lit is how we determine in-round engagement. </w:t>
      </w:r>
    </w:p>
    <w:p w14:paraId="1312A4A6"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2] Use epistemic modesty to evaluate competing frameworks: that means multiply the probability the framework is true by the magnitude of the impact under a framework. Prefer: </w:t>
      </w:r>
    </w:p>
    <w:p w14:paraId="4D43405B"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A] Maximizes the probability of achieving net most moral value—beating a </w:t>
      </w:r>
      <w:proofErr w:type="gramStart"/>
      <w:r w:rsidRPr="008432FE">
        <w:rPr>
          <w:rFonts w:eastAsia="Times New Roman" w:cs="Calibri"/>
          <w:b/>
          <w:iCs/>
          <w:sz w:val="26"/>
        </w:rPr>
        <w:t>framework acts</w:t>
      </w:r>
      <w:proofErr w:type="gramEnd"/>
      <w:r w:rsidRPr="008432FE">
        <w:rPr>
          <w:rFonts w:eastAsia="Times New Roman" w:cs="Calibri"/>
          <w:b/>
          <w:iCs/>
          <w:sz w:val="26"/>
        </w:rPr>
        <w:t xml:space="preserve"> as mitigation to their impacts which means its substantively true. </w:t>
      </w:r>
    </w:p>
    <w:p w14:paraId="2808CAE9"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B] Clash – disincentives debaters from going all in for framework which means we get the ideal balance between topic ed and </w:t>
      </w:r>
      <w:proofErr w:type="spellStart"/>
      <w:r w:rsidRPr="008432FE">
        <w:rPr>
          <w:rFonts w:eastAsia="Times New Roman" w:cs="Calibri"/>
          <w:b/>
          <w:iCs/>
          <w:sz w:val="26"/>
        </w:rPr>
        <w:t>phil</w:t>
      </w:r>
      <w:proofErr w:type="spellEnd"/>
      <w:r w:rsidRPr="008432FE">
        <w:rPr>
          <w:rFonts w:eastAsia="Times New Roman" w:cs="Calibri"/>
          <w:b/>
          <w:iCs/>
          <w:sz w:val="26"/>
        </w:rPr>
        <w:t xml:space="preserve"> ed—it’s important to talk about contention-level offense.</w:t>
      </w:r>
    </w:p>
    <w:p w14:paraId="745D1D0A"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3] Actor specificity:</w:t>
      </w:r>
    </w:p>
    <w:p w14:paraId="33300504"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A] Aggregation – governments only have access to averages and aggregates which are the basis of justification for their policies</w:t>
      </w:r>
    </w:p>
    <w:p w14:paraId="543D3202"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B] No intent-foresight distinction – If we foresee a consequence, then it becomes part of our deliberation which makes it intrinsic to our action since we intend it to happen</w:t>
      </w:r>
    </w:p>
    <w:p w14:paraId="4AB46279" w14:textId="77777777" w:rsidR="00CF6283" w:rsidRPr="008432FE" w:rsidRDefault="00CF6283" w:rsidP="00CF6283">
      <w:pPr>
        <w:keepNext/>
        <w:keepLines/>
        <w:spacing w:before="40" w:after="0"/>
        <w:outlineLvl w:val="3"/>
        <w:rPr>
          <w:rFonts w:eastAsia="Times New Roman" w:cs="Calibri"/>
          <w:b/>
          <w:iCs/>
          <w:sz w:val="26"/>
        </w:rPr>
      </w:pPr>
      <w:r w:rsidRPr="008432FE">
        <w:rPr>
          <w:rFonts w:eastAsia="Times New Roman" w:cs="Calibri"/>
          <w:b/>
          <w:iCs/>
          <w:sz w:val="26"/>
        </w:rPr>
        <w:t xml:space="preserve">C] Util is intrinsic to us we can’t avoid that maximizing </w:t>
      </w:r>
      <w:proofErr w:type="spellStart"/>
      <w:r w:rsidRPr="008432FE">
        <w:rPr>
          <w:rFonts w:eastAsia="Times New Roman" w:cs="Calibri"/>
          <w:b/>
          <w:iCs/>
          <w:sz w:val="26"/>
        </w:rPr>
        <w:t>well being</w:t>
      </w:r>
      <w:proofErr w:type="spellEnd"/>
      <w:r w:rsidRPr="008432FE">
        <w:rPr>
          <w:rFonts w:eastAsia="Times New Roman" w:cs="Calibri"/>
          <w:b/>
          <w:iCs/>
          <w:sz w:val="26"/>
        </w:rPr>
        <w:t xml:space="preserve"> is the most moral action </w:t>
      </w:r>
    </w:p>
    <w:p w14:paraId="05329D71" w14:textId="77777777" w:rsidR="00CF6283" w:rsidRPr="008432FE" w:rsidRDefault="00CF6283" w:rsidP="00CF6283">
      <w:pPr>
        <w:spacing w:after="0" w:line="240" w:lineRule="auto"/>
        <w:rPr>
          <w:rFonts w:eastAsia="Calibri" w:cs="Calibri"/>
          <w:b/>
          <w:sz w:val="24"/>
        </w:rPr>
      </w:pPr>
      <w:r w:rsidRPr="008432FE">
        <w:rPr>
          <w:rFonts w:eastAsia="Calibri" w:cs="Calibri"/>
          <w:b/>
          <w:bCs/>
          <w:sz w:val="26"/>
        </w:rPr>
        <w:t xml:space="preserve">Nagel 86: </w:t>
      </w:r>
      <w:r w:rsidRPr="008432FE">
        <w:rPr>
          <w:rFonts w:eastAsia="Calibri" w:cs="Calibri"/>
          <w:sz w:val="24"/>
        </w:rPr>
        <w:t xml:space="preserve">Thomas Nagel, The View </w:t>
      </w:r>
      <w:proofErr w:type="gramStart"/>
      <w:r w:rsidRPr="008432FE">
        <w:rPr>
          <w:rFonts w:eastAsia="Calibri" w:cs="Calibri"/>
          <w:sz w:val="24"/>
        </w:rPr>
        <w:t>From</w:t>
      </w:r>
      <w:proofErr w:type="gramEnd"/>
      <w:r w:rsidRPr="008432FE">
        <w:rPr>
          <w:rFonts w:eastAsia="Calibri" w:cs="Calibri"/>
          <w:sz w:val="24"/>
        </w:rPr>
        <w:t xml:space="preserve"> Nowhere, HUP, 1986: 156-168.</w:t>
      </w:r>
    </w:p>
    <w:p w14:paraId="01CEB798" w14:textId="77777777" w:rsidR="00CF6283" w:rsidRPr="008432FE" w:rsidRDefault="00CF6283" w:rsidP="00CF6283">
      <w:pPr>
        <w:spacing w:after="0" w:line="240" w:lineRule="auto"/>
        <w:jc w:val="both"/>
        <w:rPr>
          <w:rFonts w:eastAsia="Times New Roman" w:cs="Calibri"/>
          <w:sz w:val="24"/>
          <w:u w:val="single"/>
        </w:rPr>
      </w:pPr>
      <w:r w:rsidRPr="008432FE">
        <w:rPr>
          <w:rFonts w:eastAsia="Times New Roman" w:cs="Calibri"/>
          <w:sz w:val="12"/>
        </w:rPr>
        <w:t xml:space="preserve">I shall defend the unsurprising claim that </w:t>
      </w:r>
      <w:r w:rsidRPr="008432FE">
        <w:rPr>
          <w:rFonts w:eastAsia="Times New Roman" w:cs="Calibri"/>
          <w:sz w:val="24"/>
          <w:highlight w:val="cyan"/>
          <w:u w:val="single"/>
        </w:rPr>
        <w:t>sensory pleasure is good and pain bad</w:t>
      </w:r>
      <w:r w:rsidRPr="008432FE">
        <w:rPr>
          <w:rFonts w:eastAsia="Times New Roman" w:cs="Calibri"/>
          <w:sz w:val="12"/>
        </w:rPr>
        <w:t xml:space="preserve">, no matter </w:t>
      </w:r>
      <w:proofErr w:type="spellStart"/>
      <w:r w:rsidRPr="008432FE">
        <w:rPr>
          <w:rFonts w:eastAsia="Times New Roman" w:cs="Calibri"/>
          <w:sz w:val="12"/>
        </w:rPr>
        <w:t>whose</w:t>
      </w:r>
      <w:proofErr w:type="spellEnd"/>
      <w:r w:rsidRPr="008432FE">
        <w:rPr>
          <w:rFonts w:eastAsia="Times New Roman" w:cs="Calibri"/>
          <w:sz w:val="12"/>
        </w:rPr>
        <w:t xml:space="preserve"> they are</w:t>
      </w:r>
      <w:r w:rsidRPr="008432FE">
        <w:rPr>
          <w:rFonts w:eastAsia="Times New Roman" w:cs="Calibri"/>
          <w:bCs/>
          <w:sz w:val="12"/>
        </w:rPr>
        <w:t>.</w:t>
      </w:r>
      <w:r w:rsidRPr="008432FE">
        <w:rPr>
          <w:rFonts w:eastAsia="Times New Roman" w:cs="Calibri"/>
          <w:sz w:val="12"/>
        </w:rPr>
        <w:t xml:space="preserve"> The point of the exercise is to see how the pressures of objectification operate in a simple case. Physical pleasure and pain do not usually depend on activities or desires which themselves raise questions of justification and value. </w:t>
      </w:r>
      <w:r w:rsidRPr="008432FE">
        <w:rPr>
          <w:rFonts w:eastAsia="Times New Roman" w:cs="Calibri"/>
          <w:sz w:val="24"/>
          <w:u w:val="single"/>
        </w:rPr>
        <w:t xml:space="preserve">They are </w:t>
      </w:r>
      <w:r w:rsidRPr="008432FE">
        <w:rPr>
          <w:rFonts w:eastAsia="Times New Roman" w:cs="Calibri"/>
          <w:sz w:val="24"/>
          <w:highlight w:val="cyan"/>
          <w:u w:val="single"/>
        </w:rPr>
        <w:t>just sensory experiences</w:t>
      </w:r>
      <w:r w:rsidRPr="008432FE">
        <w:rPr>
          <w:rFonts w:eastAsia="Times New Roman" w:cs="Calibri"/>
          <w:sz w:val="12"/>
        </w:rPr>
        <w:t xml:space="preserve"> in relation to which we are fairly passive, but </w:t>
      </w:r>
      <w:r w:rsidRPr="008432FE">
        <w:rPr>
          <w:rFonts w:eastAsia="Times New Roman" w:cs="Calibri"/>
          <w:sz w:val="24"/>
          <w:u w:val="single"/>
        </w:rPr>
        <w:t xml:space="preserve">toward which </w:t>
      </w:r>
      <w:r w:rsidRPr="008432FE">
        <w:rPr>
          <w:rFonts w:eastAsia="Times New Roman" w:cs="Calibri"/>
          <w:sz w:val="24"/>
          <w:highlight w:val="cyan"/>
          <w:u w:val="single"/>
        </w:rPr>
        <w:t>we feel involuntary desire</w:t>
      </w:r>
      <w:r w:rsidRPr="008432FE">
        <w:rPr>
          <w:rFonts w:eastAsia="Times New Roman" w:cs="Calibri"/>
          <w:sz w:val="24"/>
          <w:u w:val="single"/>
        </w:rPr>
        <w:t xml:space="preserve"> or aversion.</w:t>
      </w:r>
      <w:r w:rsidRPr="008432FE">
        <w:rPr>
          <w:rFonts w:eastAsia="Times New Roman" w:cs="Calibri"/>
          <w:sz w:val="12"/>
        </w:rPr>
        <w:t xml:space="preserve"> Almost</w:t>
      </w:r>
      <w:r>
        <w:rPr>
          <w:rFonts w:eastAsia="Times New Roman" w:cs="Calibri"/>
          <w:sz w:val="12"/>
        </w:rPr>
        <w:t xml:space="preserve"> </w:t>
      </w:r>
      <w:r w:rsidRPr="00D44035">
        <w:rPr>
          <w:rFonts w:eastAsia="Times New Roman" w:cs="Calibri"/>
          <w:sz w:val="24"/>
          <w:highlight w:val="cyan"/>
          <w:u w:val="single"/>
        </w:rPr>
        <w:t>E</w:t>
      </w:r>
      <w:r w:rsidRPr="008432FE">
        <w:rPr>
          <w:rFonts w:eastAsia="Times New Roman" w:cs="Calibri"/>
          <w:sz w:val="24"/>
          <w:highlight w:val="cyan"/>
          <w:u w:val="single"/>
        </w:rPr>
        <w:t>veryone takes the avoidance of</w:t>
      </w:r>
      <w:r w:rsidRPr="008432FE">
        <w:rPr>
          <w:rFonts w:eastAsia="Times New Roman" w:cs="Calibri"/>
          <w:sz w:val="24"/>
          <w:u w:val="single"/>
        </w:rPr>
        <w:t xml:space="preserve"> </w:t>
      </w:r>
      <w:r w:rsidRPr="008432FE">
        <w:rPr>
          <w:rFonts w:eastAsia="Times New Roman" w:cs="Calibri"/>
          <w:sz w:val="12"/>
        </w:rPr>
        <w:t>his</w:t>
      </w:r>
      <w:r w:rsidRPr="008432FE">
        <w:rPr>
          <w:rFonts w:eastAsia="Times New Roman" w:cs="Calibri"/>
          <w:sz w:val="24"/>
          <w:u w:val="single"/>
        </w:rPr>
        <w:t xml:space="preserve"> </w:t>
      </w:r>
      <w:r w:rsidRPr="00D44035">
        <w:rPr>
          <w:rFonts w:eastAsia="Times New Roman" w:cs="Calibri"/>
          <w:sz w:val="24"/>
          <w:u w:val="single"/>
        </w:rPr>
        <w:t xml:space="preserve">own </w:t>
      </w:r>
      <w:r w:rsidRPr="008432FE">
        <w:rPr>
          <w:rFonts w:eastAsia="Times New Roman" w:cs="Calibri"/>
          <w:sz w:val="24"/>
          <w:highlight w:val="cyan"/>
          <w:u w:val="single"/>
        </w:rPr>
        <w:t>pain and</w:t>
      </w:r>
      <w:r w:rsidRPr="008432FE">
        <w:rPr>
          <w:rFonts w:eastAsia="Times New Roman" w:cs="Calibri"/>
          <w:sz w:val="24"/>
          <w:u w:val="single"/>
        </w:rPr>
        <w:t xml:space="preserve"> the </w:t>
      </w:r>
      <w:r w:rsidRPr="008432FE">
        <w:rPr>
          <w:rFonts w:eastAsia="Times New Roman" w:cs="Calibri"/>
          <w:sz w:val="24"/>
          <w:highlight w:val="cyan"/>
          <w:u w:val="single"/>
        </w:rPr>
        <w:t>promotion of</w:t>
      </w:r>
      <w:r w:rsidRPr="008432FE">
        <w:rPr>
          <w:rFonts w:eastAsia="Times New Roman" w:cs="Calibri"/>
          <w:sz w:val="24"/>
          <w:u w:val="single"/>
        </w:rPr>
        <w:t xml:space="preserve"> </w:t>
      </w:r>
      <w:r w:rsidRPr="008432FE">
        <w:rPr>
          <w:rFonts w:eastAsia="Times New Roman" w:cs="Calibri"/>
          <w:sz w:val="12"/>
        </w:rPr>
        <w:t>his</w:t>
      </w:r>
      <w:r w:rsidRPr="008432FE">
        <w:rPr>
          <w:rFonts w:eastAsia="Times New Roman" w:cs="Calibri"/>
          <w:sz w:val="24"/>
          <w:u w:val="single"/>
        </w:rPr>
        <w:t xml:space="preserve"> </w:t>
      </w:r>
      <w:r w:rsidRPr="008432FE">
        <w:rPr>
          <w:rFonts w:eastAsia="Times New Roman" w:cs="Calibri"/>
          <w:sz w:val="24"/>
          <w:highlight w:val="cyan"/>
          <w:u w:val="single"/>
        </w:rPr>
        <w:t>own pleasure as</w:t>
      </w:r>
      <w:r w:rsidRPr="008432FE">
        <w:rPr>
          <w:rFonts w:eastAsia="Times New Roman" w:cs="Calibri"/>
          <w:sz w:val="24"/>
          <w:u w:val="single"/>
        </w:rPr>
        <w:t xml:space="preserve"> subjective </w:t>
      </w:r>
      <w:r w:rsidRPr="008432FE">
        <w:rPr>
          <w:rFonts w:eastAsia="Times New Roman" w:cs="Calibri"/>
          <w:sz w:val="24"/>
          <w:highlight w:val="cyan"/>
          <w:u w:val="single"/>
        </w:rPr>
        <w:t>reasons for action in a fairly</w:t>
      </w:r>
      <w:r w:rsidRPr="008432FE">
        <w:rPr>
          <w:rFonts w:eastAsia="Times New Roman" w:cs="Calibri"/>
          <w:sz w:val="24"/>
          <w:u w:val="single"/>
        </w:rPr>
        <w:t xml:space="preserve"> </w:t>
      </w:r>
      <w:r w:rsidRPr="008432FE">
        <w:rPr>
          <w:rFonts w:eastAsia="Times New Roman" w:cs="Calibri"/>
          <w:sz w:val="24"/>
          <w:highlight w:val="cyan"/>
          <w:u w:val="single"/>
        </w:rPr>
        <w:t>simple way</w:t>
      </w:r>
      <w:r w:rsidRPr="008432FE">
        <w:rPr>
          <w:rFonts w:eastAsia="Times New Roman" w:cs="Calibri"/>
          <w:sz w:val="24"/>
          <w:u w:val="single"/>
        </w:rPr>
        <w:t xml:space="preserve">; they are </w:t>
      </w:r>
      <w:r w:rsidRPr="008432FE">
        <w:rPr>
          <w:rFonts w:eastAsia="Times New Roman" w:cs="Calibri"/>
          <w:sz w:val="24"/>
          <w:highlight w:val="cyan"/>
          <w:u w:val="single"/>
        </w:rPr>
        <w:t>not back</w:t>
      </w:r>
      <w:r>
        <w:rPr>
          <w:rFonts w:eastAsia="Times New Roman" w:cs="Calibri"/>
          <w:sz w:val="24"/>
          <w:highlight w:val="cyan"/>
          <w:u w:val="single"/>
        </w:rPr>
        <w:t xml:space="preserve"> </w:t>
      </w:r>
      <w:r w:rsidRPr="008432FE">
        <w:rPr>
          <w:rFonts w:eastAsia="Times New Roman" w:cs="Calibri"/>
          <w:sz w:val="24"/>
          <w:highlight w:val="cyan"/>
          <w:u w:val="single"/>
        </w:rPr>
        <w:t>up by any further reasons.</w:t>
      </w:r>
    </w:p>
    <w:p w14:paraId="34C44F7F" w14:textId="77777777" w:rsidR="00A42A2F" w:rsidRPr="00A42A2F" w:rsidRDefault="00A42A2F" w:rsidP="00A42A2F"/>
    <w:p w14:paraId="54E72A45" w14:textId="599DC12C" w:rsidR="00A42A2F" w:rsidRDefault="00A6199E" w:rsidP="00A42A2F">
      <w:pPr>
        <w:pStyle w:val="Heading2"/>
      </w:pPr>
      <w:r>
        <w:lastRenderedPageBreak/>
        <w:t>2</w:t>
      </w:r>
    </w:p>
    <w:p w14:paraId="434D6B7D" w14:textId="77777777" w:rsidR="00A42A2F" w:rsidRPr="00DC7E68" w:rsidRDefault="00A42A2F" w:rsidP="00A42A2F">
      <w:pPr>
        <w:pStyle w:val="Heading4"/>
      </w:pPr>
      <w:r>
        <w:t>Intellectual property rights cannot be discriminated on the basis of field, or place of invention</w:t>
      </w:r>
    </w:p>
    <w:p w14:paraId="0C216CC3" w14:textId="77777777" w:rsidR="00A42A2F" w:rsidRPr="00DC7E68" w:rsidRDefault="00A42A2F" w:rsidP="00A42A2F">
      <w:r w:rsidRPr="00DC7E68">
        <w:rPr>
          <w:rStyle w:val="Style13ptBold"/>
        </w:rPr>
        <w:t>WTO</w:t>
      </w:r>
      <w:r w:rsidRPr="00DC7E68">
        <w:t xml:space="preserve"> </w:t>
      </w:r>
      <w:hyperlink r:id="rId6" w:history="1">
        <w:r w:rsidRPr="00DC7E68">
          <w:rPr>
            <w:rStyle w:val="Hyperlink"/>
          </w:rPr>
          <w:t>https://www.wto.org/english/docs_e/legal_e/27-trips_04c_e.htm</w:t>
        </w:r>
      </w:hyperlink>
      <w:r w:rsidRPr="00DC7E68">
        <w:t>, Article 27.1, Section 5 on patents, World trade Organization, WTO, Part II — Standards concerning the availability, scope and use of Intellectual Property Rights</w:t>
      </w:r>
    </w:p>
    <w:p w14:paraId="795619DA" w14:textId="77777777" w:rsidR="00A42A2F" w:rsidRDefault="00A42A2F" w:rsidP="00A42A2F">
      <w:pPr>
        <w:shd w:val="clear" w:color="auto" w:fill="FFFFFF"/>
        <w:spacing w:after="150" w:line="240" w:lineRule="auto"/>
        <w:rPr>
          <w:rStyle w:val="Emphasis"/>
        </w:rPr>
      </w:pPr>
      <w:r w:rsidRPr="003461E4">
        <w:rPr>
          <w:rFonts w:ascii="Museo Sans 300" w:eastAsia="Times New Roman" w:hAnsi="Museo Sans 300" w:cs="Times New Roman"/>
          <w:color w:val="000000"/>
          <w:sz w:val="14"/>
          <w:szCs w:val="21"/>
        </w:rPr>
        <w:t>Subject to the provisions of paragraphs 2 and 3, patents shall be available for any inventions, whether products or processes, in all fields of technology, provided that they are new, involve an inventive step and are capable of industrial application. </w:t>
      </w:r>
      <w:hyperlink r:id="rId7" w:anchor="fnt-5" w:history="1">
        <w:r w:rsidRPr="003461E4">
          <w:rPr>
            <w:rFonts w:ascii="Museo Sans 300" w:eastAsia="Times New Roman" w:hAnsi="Museo Sans 300" w:cs="Times New Roman"/>
            <w:color w:val="00AEFF"/>
            <w:sz w:val="16"/>
            <w:szCs w:val="16"/>
            <w:u w:val="single"/>
            <w:vertAlign w:val="superscript"/>
          </w:rPr>
          <w:t>(5)</w:t>
        </w:r>
      </w:hyperlink>
      <w:r w:rsidRPr="003461E4">
        <w:rPr>
          <w:rFonts w:ascii="Museo Sans 300" w:eastAsia="Times New Roman" w:hAnsi="Museo Sans 300" w:cs="Times New Roman"/>
          <w:color w:val="000000"/>
          <w:sz w:val="14"/>
          <w:szCs w:val="21"/>
        </w:rPr>
        <w:t xml:space="preserve"> Subject to paragraph 4 of Article 65, paragraph 8 of Article 70 and paragraph 3 of this Article, </w:t>
      </w:r>
      <w:r w:rsidRPr="00EF5C26">
        <w:rPr>
          <w:rStyle w:val="Emphasis"/>
          <w:highlight w:val="cyan"/>
        </w:rPr>
        <w:t>patents shall be available</w:t>
      </w:r>
      <w:r w:rsidRPr="003461E4">
        <w:rPr>
          <w:rStyle w:val="Emphasis"/>
        </w:rPr>
        <w:t xml:space="preserve"> and patent rights enjoyable </w:t>
      </w:r>
      <w:r w:rsidRPr="00EF5C26">
        <w:rPr>
          <w:rStyle w:val="Emphasis"/>
          <w:highlight w:val="cyan"/>
        </w:rPr>
        <w:t>without discrimination</w:t>
      </w:r>
      <w:r w:rsidRPr="003461E4">
        <w:rPr>
          <w:rFonts w:ascii="Museo Sans 300" w:eastAsia="Times New Roman" w:hAnsi="Museo Sans 300" w:cs="Times New Roman"/>
          <w:color w:val="000000"/>
          <w:sz w:val="14"/>
          <w:szCs w:val="21"/>
        </w:rPr>
        <w:t xml:space="preserve"> as </w:t>
      </w:r>
      <w:r w:rsidRPr="00EF5C26">
        <w:rPr>
          <w:rStyle w:val="Emphasis"/>
          <w:highlight w:val="cyan"/>
        </w:rPr>
        <w:t>to the place of invention,</w:t>
      </w:r>
      <w:r w:rsidRPr="003461E4">
        <w:rPr>
          <w:rStyle w:val="Emphasis"/>
        </w:rPr>
        <w:t xml:space="preserve"> the </w:t>
      </w:r>
      <w:r w:rsidRPr="00EF5C26">
        <w:rPr>
          <w:rStyle w:val="Emphasis"/>
          <w:highlight w:val="cyan"/>
        </w:rPr>
        <w:t>field of technology</w:t>
      </w:r>
      <w:r w:rsidRPr="003461E4">
        <w:rPr>
          <w:rStyle w:val="Emphasis"/>
        </w:rPr>
        <w:t xml:space="preserve"> and </w:t>
      </w:r>
      <w:r w:rsidRPr="00EF5C26">
        <w:rPr>
          <w:rStyle w:val="Emphasis"/>
          <w:highlight w:val="cyan"/>
        </w:rPr>
        <w:t xml:space="preserve">whether products are imported </w:t>
      </w:r>
      <w:r w:rsidRPr="003461E4">
        <w:rPr>
          <w:rStyle w:val="Emphasis"/>
        </w:rPr>
        <w:t xml:space="preserve">or locally </w:t>
      </w:r>
      <w:r w:rsidRPr="00EF5C26">
        <w:rPr>
          <w:rStyle w:val="Emphasis"/>
          <w:highlight w:val="cyan"/>
        </w:rPr>
        <w:t>produced.</w:t>
      </w:r>
    </w:p>
    <w:p w14:paraId="772AB60E" w14:textId="77777777" w:rsidR="00A42A2F" w:rsidRDefault="00A42A2F" w:rsidP="00A42A2F">
      <w:pPr>
        <w:shd w:val="clear" w:color="auto" w:fill="FFFFFF"/>
        <w:spacing w:after="150" w:line="240" w:lineRule="auto"/>
        <w:rPr>
          <w:rStyle w:val="Emphasis"/>
        </w:rPr>
      </w:pPr>
    </w:p>
    <w:p w14:paraId="3C972CA6" w14:textId="77777777" w:rsidR="00A42A2F" w:rsidRDefault="00A42A2F" w:rsidP="00A42A2F">
      <w:pPr>
        <w:pStyle w:val="Heading4"/>
      </w:pPr>
      <w:r>
        <w:t>The WTO’s appellate body no longer exists to mediate disputes, without immediate buy in by states, and no mechanism to make disobedient states obey, the system collapses</w:t>
      </w:r>
    </w:p>
    <w:p w14:paraId="0E98B5FF" w14:textId="77777777" w:rsidR="00A42A2F" w:rsidRPr="00EE158F" w:rsidRDefault="00A42A2F" w:rsidP="00A42A2F">
      <w:pPr>
        <w:spacing w:after="0" w:line="240" w:lineRule="auto"/>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138ABB60" w14:textId="77777777" w:rsidR="00A42A2F" w:rsidRDefault="00A42A2F" w:rsidP="00A42A2F">
      <w:pPr>
        <w:shd w:val="clear" w:color="auto" w:fill="FFFFFF"/>
        <w:spacing w:after="150" w:line="240" w:lineRule="auto"/>
        <w:rPr>
          <w:rStyle w:val="Emphasis"/>
        </w:rPr>
      </w:pPr>
    </w:p>
    <w:p w14:paraId="4C430D25" w14:textId="77777777" w:rsidR="00A42A2F" w:rsidRPr="003024C5" w:rsidRDefault="00A42A2F" w:rsidP="00A42A2F">
      <w:pPr>
        <w:rPr>
          <w:sz w:val="12"/>
        </w:rPr>
      </w:pPr>
      <w:r w:rsidRPr="00EF5C26">
        <w:rPr>
          <w:rStyle w:val="Emphasis"/>
          <w:highlight w:val="cyan"/>
        </w:rPr>
        <w:t>The WTO</w:t>
      </w:r>
      <w:r w:rsidRPr="003024C5">
        <w:rPr>
          <w:sz w:val="12"/>
        </w:rPr>
        <w:t xml:space="preserve"> is unique amongst international institutions because it </w:t>
      </w:r>
      <w:r w:rsidRPr="00EF5C26">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EF5C26">
        <w:rPr>
          <w:rStyle w:val="Emphasis"/>
          <w:highlight w:val="cyan"/>
        </w:rPr>
        <w:t>the dispute settlement system</w:t>
      </w:r>
      <w:r w:rsidRPr="003024C5">
        <w:rPr>
          <w:rStyle w:val="Emphasis"/>
        </w:rPr>
        <w:t>.</w:t>
      </w:r>
      <w:r w:rsidRPr="003024C5">
        <w:rPr>
          <w:sz w:val="12"/>
        </w:rPr>
        <w:t xml:space="preserve"> However, </w:t>
      </w:r>
      <w:r w:rsidRPr="00EF5C26">
        <w:rPr>
          <w:rStyle w:val="Emphasis"/>
          <w:highlight w:val="cyan"/>
        </w:rPr>
        <w:t>the</w:t>
      </w:r>
      <w:r w:rsidRPr="003024C5">
        <w:rPr>
          <w:sz w:val="12"/>
        </w:rPr>
        <w:t xml:space="preserve"> fundamental </w:t>
      </w:r>
      <w:r w:rsidRPr="00EF5C26">
        <w:rPr>
          <w:rStyle w:val="Emphasis"/>
          <w:highlight w:val="cyan"/>
        </w:rPr>
        <w:t>vulnerability is that if</w:t>
      </w:r>
      <w:r w:rsidRPr="003024C5">
        <w:rPr>
          <w:rStyle w:val="Emphasis"/>
        </w:rPr>
        <w:t xml:space="preserve"> powerful </w:t>
      </w:r>
      <w:r w:rsidRPr="00EF5C26">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EF5C26">
        <w:rPr>
          <w:rStyle w:val="Emphasis"/>
          <w:highlight w:val="cyan"/>
        </w:rPr>
        <w:t>won’t participate</w:t>
      </w:r>
      <w:r w:rsidRPr="003024C5">
        <w:rPr>
          <w:rStyle w:val="Emphasis"/>
        </w:rPr>
        <w:t xml:space="preserve"> in the system and be bound by its rules, </w:t>
      </w:r>
      <w:r w:rsidRPr="00EF5C26">
        <w:rPr>
          <w:rStyle w:val="Emphasis"/>
          <w:highlight w:val="cyan"/>
        </w:rPr>
        <w:t>they</w:t>
      </w:r>
      <w:r w:rsidRPr="003024C5">
        <w:rPr>
          <w:rStyle w:val="Emphasis"/>
        </w:rPr>
        <w:t xml:space="preserve"> quickly </w:t>
      </w:r>
      <w:r w:rsidRPr="00EF5C26">
        <w:rPr>
          <w:rStyle w:val="Emphasis"/>
          <w:highlight w:val="cyan"/>
        </w:rPr>
        <w:t>risk becoming irrelevant</w:t>
      </w:r>
      <w:r w:rsidRPr="003024C5">
        <w:rPr>
          <w:rStyle w:val="Emphasis"/>
        </w:rPr>
        <w:t xml:space="preserve">. And that’s the situation we’re in right now with the appellate body crisis, where, </w:t>
      </w:r>
      <w:r w:rsidRPr="00EF5C26">
        <w:rPr>
          <w:rStyle w:val="Emphasis"/>
          <w:highlight w:val="cyan"/>
        </w:rPr>
        <w:t>without a</w:t>
      </w:r>
      <w:r w:rsidRPr="003024C5">
        <w:rPr>
          <w:rStyle w:val="Emphasis"/>
        </w:rPr>
        <w:t xml:space="preserve"> functioning </w:t>
      </w:r>
      <w:r w:rsidRPr="00EF5C26">
        <w:rPr>
          <w:rStyle w:val="Emphasis"/>
          <w:highlight w:val="cyan"/>
        </w:rPr>
        <w:t>mechanism to ensure that WTO rules are enforced, the</w:t>
      </w:r>
      <w:r w:rsidRPr="003024C5">
        <w:rPr>
          <w:rStyle w:val="Emphasis"/>
        </w:rPr>
        <w:t xml:space="preserve"> entire </w:t>
      </w:r>
      <w:r w:rsidRPr="00EF5C26">
        <w:rPr>
          <w:rStyle w:val="Emphasis"/>
          <w:highlight w:val="cyan"/>
        </w:rPr>
        <w:t>system</w:t>
      </w:r>
      <w:r w:rsidRPr="003024C5">
        <w:rPr>
          <w:rStyle w:val="Emphasis"/>
        </w:rPr>
        <w:t xml:space="preserve"> of global trade rules </w:t>
      </w:r>
      <w:r w:rsidRPr="00EF5C26">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435C11EB" w14:textId="77777777" w:rsidR="00A42A2F" w:rsidRPr="00025D88" w:rsidRDefault="00A42A2F" w:rsidP="00A42A2F">
      <w:pPr>
        <w:spacing w:after="0" w:line="240" w:lineRule="auto"/>
        <w:rPr>
          <w:rFonts w:ascii="Times New Roman" w:eastAsia="Times New Roman" w:hAnsi="Times New Roman" w:cs="Times New Roman"/>
          <w:sz w:val="24"/>
        </w:rPr>
      </w:pPr>
    </w:p>
    <w:p w14:paraId="3E28372B" w14:textId="77777777" w:rsidR="00A42A2F" w:rsidRDefault="00A42A2F" w:rsidP="00A42A2F">
      <w:pPr>
        <w:pStyle w:val="Heading4"/>
      </w:pPr>
      <w:r>
        <w:t>A major country operating outside WTO consensus wrecks global trade norms</w:t>
      </w:r>
    </w:p>
    <w:p w14:paraId="27D93B73" w14:textId="77777777" w:rsidR="00A42A2F" w:rsidRDefault="00A42A2F" w:rsidP="00A42A2F">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8" w:history="1">
        <w:r w:rsidRPr="00F41676">
          <w:rPr>
            <w:rStyle w:val="Hyperlink"/>
          </w:rPr>
          <w:t>https://www.cato.org/free-trade-bulletin/unnecessary-proposal-wto-waiver-intellectual-property-rights-covid-19-vaccines]/Kankee</w:t>
        </w:r>
      </w:hyperlink>
    </w:p>
    <w:p w14:paraId="53CA618D" w14:textId="77777777" w:rsidR="00A42A2F" w:rsidRDefault="00A42A2F" w:rsidP="00A42A2F">
      <w:pPr>
        <w:rPr>
          <w:sz w:val="16"/>
          <w:szCs w:val="16"/>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EF5C26">
        <w:rPr>
          <w:rStyle w:val="StyleUnderline"/>
          <w:highlight w:val="cyan"/>
        </w:rPr>
        <w:t xml:space="preserve">the </w:t>
      </w:r>
      <w:r w:rsidRPr="00EF5C26">
        <w:rPr>
          <w:rStyle w:val="Emphasis"/>
          <w:highlight w:val="cyan"/>
        </w:rPr>
        <w:t>last thing</w:t>
      </w:r>
      <w:r w:rsidRPr="00F72EAD">
        <w:rPr>
          <w:rStyle w:val="StyleUnderline"/>
        </w:rPr>
        <w:t xml:space="preserve"> </w:t>
      </w:r>
      <w:r w:rsidRPr="00EF5C26">
        <w:rPr>
          <w:rStyle w:val="StyleUnderline"/>
          <w:highlight w:val="cyan"/>
        </w:rPr>
        <w:t>the WTO needs</w:t>
      </w:r>
      <w:r w:rsidRPr="00F72EAD">
        <w:rPr>
          <w:rStyle w:val="StyleUnderline"/>
        </w:rPr>
        <w:t xml:space="preserve"> </w:t>
      </w:r>
      <w:r w:rsidRPr="00EF5C26">
        <w:rPr>
          <w:rStyle w:val="StyleUnderline"/>
          <w:highlight w:val="cyan"/>
        </w:rPr>
        <w:t>is</w:t>
      </w:r>
      <w:r w:rsidRPr="00F72EAD">
        <w:rPr>
          <w:rStyle w:val="StyleUnderline"/>
        </w:rPr>
        <w:t xml:space="preserve"> another </w:t>
      </w:r>
      <w:r w:rsidRPr="00EF5C26">
        <w:rPr>
          <w:rStyle w:val="StyleUnderline"/>
          <w:highlight w:val="cyan"/>
        </w:rPr>
        <w:t>debate over</w:t>
      </w:r>
      <w:r w:rsidRPr="00F72EAD">
        <w:rPr>
          <w:rStyle w:val="StyleUnderline"/>
        </w:rPr>
        <w:t xml:space="preserve"> perceived </w:t>
      </w:r>
      <w:r w:rsidRPr="00EF5C26">
        <w:rPr>
          <w:rStyle w:val="StyleUnderline"/>
          <w:highlight w:val="cyan"/>
        </w:rPr>
        <w:t>trade</w:t>
      </w:r>
      <w:r w:rsidRPr="00F72EAD">
        <w:rPr>
          <w:rStyle w:val="StyleUnderline"/>
        </w:rPr>
        <w:t xml:space="preserve"> obstacles to public health</w:t>
      </w:r>
      <w:r w:rsidRPr="00F96F48">
        <w:rPr>
          <w:sz w:val="16"/>
        </w:rPr>
        <w:t xml:space="preserve">. </w:t>
      </w:r>
      <w:r w:rsidRPr="00EF5C26">
        <w:rPr>
          <w:rStyle w:val="StyleUnderline"/>
          <w:highlight w:val="cyan"/>
        </w:rPr>
        <w:t>Unless</w:t>
      </w:r>
      <w:r w:rsidRPr="00EF5C26">
        <w:rPr>
          <w:sz w:val="16"/>
          <w:highlight w:val="cyan"/>
        </w:rPr>
        <w:t xml:space="preserve"> </w:t>
      </w:r>
      <w:r w:rsidRPr="00A712A3">
        <w:rPr>
          <w:rStyle w:val="StyleUnderline"/>
        </w:rPr>
        <w:t xml:space="preserve">WTO </w:t>
      </w:r>
      <w:r w:rsidRPr="00EF5C26">
        <w:rPr>
          <w:rStyle w:val="StyleUnderline"/>
          <w:highlight w:val="cyan"/>
        </w:rPr>
        <w:t xml:space="preserve">members reach a </w:t>
      </w:r>
      <w:r w:rsidRPr="00EF5C26">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EF5C26">
        <w:rPr>
          <w:rStyle w:val="StyleUnderline"/>
          <w:highlight w:val="cyan"/>
        </w:rPr>
        <w:t>trading system may be</w:t>
      </w:r>
      <w:r w:rsidRPr="00F72EAD">
        <w:rPr>
          <w:rStyle w:val="StyleUnderline"/>
        </w:rPr>
        <w:t xml:space="preserve"> further </w:t>
      </w:r>
      <w:r w:rsidRPr="00EF5C26">
        <w:rPr>
          <w:rStyle w:val="Emphasis"/>
          <w:highlight w:val="cyan"/>
        </w:rPr>
        <w:t>complicated</w:t>
      </w:r>
      <w:r w:rsidRPr="00F72EAD">
        <w:rPr>
          <w:rStyle w:val="StyleUnderline"/>
        </w:rPr>
        <w:t xml:space="preserve"> </w:t>
      </w:r>
      <w:r w:rsidRPr="00EF5C26">
        <w:rPr>
          <w:rStyle w:val="StyleUnderline"/>
          <w:highlight w:val="cyan"/>
        </w:rPr>
        <w:t>by a delay</w:t>
      </w:r>
      <w:r w:rsidRPr="00F72EAD">
        <w:rPr>
          <w:rStyle w:val="StyleUnderline"/>
        </w:rPr>
        <w:t xml:space="preserve"> like that </w:t>
      </w:r>
      <w:r w:rsidRPr="00EF5C26">
        <w:rPr>
          <w:rStyle w:val="StyleUnderline"/>
          <w:highlight w:val="cyan"/>
        </w:rPr>
        <w:t>in resolving</w:t>
      </w:r>
      <w:r w:rsidRPr="00F72EAD">
        <w:rPr>
          <w:rStyle w:val="StyleUnderline"/>
        </w:rPr>
        <w:t xml:space="preserve"> </w:t>
      </w:r>
      <w:r w:rsidRPr="00EF5C26">
        <w:rPr>
          <w:rStyle w:val="StyleUnderline"/>
          <w:highlight w:val="cyan"/>
        </w:rPr>
        <w:lastRenderedPageBreak/>
        <w:t>the</w:t>
      </w:r>
      <w:r w:rsidRPr="00F72EAD">
        <w:rPr>
          <w:rStyle w:val="StyleUnderline"/>
        </w:rPr>
        <w:t xml:space="preserve"> </w:t>
      </w:r>
      <w:r w:rsidRPr="00EF5C26">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EF5C26">
        <w:rPr>
          <w:rStyle w:val="StyleUnderline"/>
          <w:highlight w:val="cyan"/>
        </w:rPr>
        <w:t>A</w:t>
      </w:r>
      <w:r w:rsidRPr="00F72EAD">
        <w:rPr>
          <w:rStyle w:val="StyleUnderline"/>
        </w:rPr>
        <w:t xml:space="preserve"> new and </w:t>
      </w:r>
      <w:r w:rsidRPr="00EF5C26">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EF5C26">
        <w:rPr>
          <w:rStyle w:val="Emphasis"/>
          <w:highlight w:val="cyan"/>
        </w:rPr>
        <w:t>political struggle</w:t>
      </w:r>
      <w:r w:rsidRPr="00F96F48">
        <w:rPr>
          <w:sz w:val="16"/>
        </w:rPr>
        <w:t xml:space="preserve"> definitely </w:t>
      </w:r>
      <w:r w:rsidRPr="00EF5C26">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EF5C26">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EF5C26">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EF5C26">
        <w:rPr>
          <w:rStyle w:val="StyleUnderline"/>
          <w:highlight w:val="cyan"/>
        </w:rPr>
        <w:t>the WTO itself were</w:t>
      </w:r>
      <w:r w:rsidRPr="00F96F48">
        <w:rPr>
          <w:sz w:val="16"/>
        </w:rPr>
        <w:t xml:space="preserve"> all </w:t>
      </w:r>
      <w:r w:rsidRPr="00EF5C26">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160D2F99" w14:textId="77777777" w:rsidR="00A42A2F" w:rsidRDefault="00A42A2F" w:rsidP="00A42A2F">
      <w:pPr>
        <w:rPr>
          <w:sz w:val="16"/>
          <w:szCs w:val="16"/>
        </w:rPr>
      </w:pPr>
    </w:p>
    <w:p w14:paraId="12E7BE1A" w14:textId="77777777" w:rsidR="00A42A2F" w:rsidRDefault="00A42A2F" w:rsidP="00A42A2F">
      <w:pPr>
        <w:pStyle w:val="Heading4"/>
      </w:pPr>
      <w:r>
        <w:t>Without all states buy in, we risk WW3 but with nukes</w:t>
      </w:r>
    </w:p>
    <w:p w14:paraId="5F74A3CA" w14:textId="77777777" w:rsidR="00A42A2F" w:rsidRDefault="00A42A2F" w:rsidP="00A42A2F">
      <w:r w:rsidRPr="00E140A8">
        <w:rPr>
          <w:rStyle w:val="Heading4Char"/>
        </w:rPr>
        <w:t>Hopewell and Horton 08-03</w:t>
      </w:r>
      <w:r>
        <w:t xml:space="preserve"> [Kristen Hopewell Associate Professor and Canada Research Chair in Global Policy at the University of British Columbia, and Ben Horton, Communications Manager; Project Lead, Common Futures Conversations, 08-03-2021, "Lessons from Trump’s assault on the World Trade Organization," Chatham House – International Affairs Think Tank, https://www.chathamhouse.org/2021/08/lessons-trumps-assault-world-trade-organization]/Kankee</w:t>
      </w:r>
    </w:p>
    <w:p w14:paraId="18BC6D01" w14:textId="77777777" w:rsidR="00A42A2F" w:rsidRPr="00E140A8" w:rsidRDefault="00A42A2F" w:rsidP="00A42A2F">
      <w:pPr>
        <w:rPr>
          <w:sz w:val="16"/>
        </w:rPr>
      </w:pPr>
      <w:r w:rsidRPr="00E140A8">
        <w:rPr>
          <w:sz w:val="16"/>
        </w:rPr>
        <w:t xml:space="preserve">What has this episode revealed about the strength of multilateral institutions such as the WTO, in the face of spoiling tactics from major powers? </w:t>
      </w:r>
      <w:r w:rsidRPr="00E140A8">
        <w:rPr>
          <w:rStyle w:val="StyleUnderline"/>
        </w:rPr>
        <w:t>The WTO is unique amongst international institutions because it has a powerful enforcement mechanism</w:t>
      </w:r>
      <w:r w:rsidRPr="00E140A8">
        <w:rPr>
          <w:sz w:val="16"/>
        </w:rPr>
        <w:t xml:space="preserve"> </w:t>
      </w:r>
      <w:r w:rsidRPr="00E140A8">
        <w:rPr>
          <w:rStyle w:val="StyleUnderline"/>
        </w:rPr>
        <w:t>– the dispute settlement system</w:t>
      </w:r>
      <w:r w:rsidRPr="00E140A8">
        <w:rPr>
          <w:sz w:val="16"/>
        </w:rPr>
        <w:t xml:space="preserve">. However, the fundamental vulnerability is that </w:t>
      </w:r>
      <w:r w:rsidRPr="00EF5C26">
        <w:rPr>
          <w:rStyle w:val="StyleUnderline"/>
          <w:highlight w:val="cyan"/>
        </w:rPr>
        <w:t xml:space="preserve">if </w:t>
      </w:r>
      <w:r w:rsidRPr="00E140A8">
        <w:rPr>
          <w:rStyle w:val="StyleUnderline"/>
        </w:rPr>
        <w:t xml:space="preserve">powerful </w:t>
      </w:r>
      <w:r w:rsidRPr="00EF5C26">
        <w:rPr>
          <w:rStyle w:val="StyleUnderline"/>
          <w:highlight w:val="cyan"/>
        </w:rPr>
        <w:t>states</w:t>
      </w:r>
      <w:r w:rsidRPr="00E140A8">
        <w:rPr>
          <w:sz w:val="16"/>
        </w:rPr>
        <w:t xml:space="preserve"> </w:t>
      </w:r>
      <w:r w:rsidRPr="00903585">
        <w:rPr>
          <w:rStyle w:val="StyleUnderline"/>
        </w:rPr>
        <w:t>like the US</w:t>
      </w:r>
      <w:r w:rsidRPr="00E140A8">
        <w:rPr>
          <w:sz w:val="16"/>
        </w:rPr>
        <w:t xml:space="preserve"> and others </w:t>
      </w:r>
      <w:r w:rsidRPr="00EF5C26">
        <w:rPr>
          <w:rStyle w:val="StyleUnderline"/>
          <w:highlight w:val="cyan"/>
        </w:rPr>
        <w:t>won’t</w:t>
      </w:r>
      <w:r w:rsidRPr="00E140A8">
        <w:rPr>
          <w:rStyle w:val="StyleUnderline"/>
        </w:rPr>
        <w:t xml:space="preserve"> participate in the system and </w:t>
      </w:r>
      <w:r w:rsidRPr="00EF5C26">
        <w:rPr>
          <w:rStyle w:val="StyleUnderline"/>
          <w:highlight w:val="cyan"/>
        </w:rPr>
        <w:t>be</w:t>
      </w:r>
      <w:r w:rsidRPr="00E140A8">
        <w:rPr>
          <w:rStyle w:val="StyleUnderline"/>
        </w:rPr>
        <w:t xml:space="preserve"> </w:t>
      </w:r>
      <w:r w:rsidRPr="00EF5C26">
        <w:rPr>
          <w:rStyle w:val="StyleUnderline"/>
          <w:highlight w:val="cyan"/>
        </w:rPr>
        <w:t>bound by</w:t>
      </w:r>
      <w:r w:rsidRPr="00E140A8">
        <w:rPr>
          <w:rStyle w:val="StyleUnderline"/>
        </w:rPr>
        <w:t xml:space="preserve"> its </w:t>
      </w:r>
      <w:r w:rsidRPr="00EF5C26">
        <w:rPr>
          <w:rStyle w:val="StyleUnderline"/>
          <w:highlight w:val="cyan"/>
        </w:rPr>
        <w:t>rules</w:t>
      </w:r>
      <w:r w:rsidRPr="00E140A8">
        <w:rPr>
          <w:rStyle w:val="StyleUnderline"/>
        </w:rPr>
        <w:t xml:space="preserve">, </w:t>
      </w:r>
      <w:r w:rsidRPr="00EF5C26">
        <w:rPr>
          <w:rStyle w:val="StyleUnderline"/>
          <w:highlight w:val="cyan"/>
        </w:rPr>
        <w:t>they</w:t>
      </w:r>
      <w:r w:rsidRPr="00E140A8">
        <w:rPr>
          <w:rStyle w:val="StyleUnderline"/>
        </w:rPr>
        <w:t xml:space="preserve"> </w:t>
      </w:r>
      <w:r w:rsidRPr="00903585">
        <w:rPr>
          <w:rStyle w:val="Emphasis"/>
        </w:rPr>
        <w:t xml:space="preserve">quickly </w:t>
      </w:r>
      <w:r w:rsidRPr="00EF5C26">
        <w:rPr>
          <w:rStyle w:val="Emphasis"/>
          <w:highlight w:val="cyan"/>
        </w:rPr>
        <w:t>risk</w:t>
      </w:r>
      <w:r w:rsidRPr="00EF5C26">
        <w:rPr>
          <w:rStyle w:val="StyleUnderline"/>
          <w:highlight w:val="cyan"/>
        </w:rPr>
        <w:t xml:space="preserve"> becoming </w:t>
      </w:r>
      <w:r w:rsidRPr="00EF5C26">
        <w:rPr>
          <w:rStyle w:val="Emphasis"/>
          <w:highlight w:val="cyan"/>
        </w:rPr>
        <w:t>irrelevant</w:t>
      </w:r>
      <w:r w:rsidRPr="00E140A8">
        <w:rPr>
          <w:sz w:val="16"/>
        </w:rPr>
        <w:t xml:space="preserve">. And that’s the situation we’re in right now with the appellate body crisis, where, </w:t>
      </w:r>
      <w:r w:rsidRPr="00EF5C26">
        <w:rPr>
          <w:rStyle w:val="StyleUnderline"/>
          <w:highlight w:val="cyan"/>
        </w:rPr>
        <w:t xml:space="preserve">without </w:t>
      </w:r>
      <w:r w:rsidRPr="00903585">
        <w:rPr>
          <w:rStyle w:val="StyleUnderline"/>
        </w:rPr>
        <w:t xml:space="preserve">a </w:t>
      </w:r>
      <w:r w:rsidRPr="00E140A8">
        <w:rPr>
          <w:rStyle w:val="StyleUnderline"/>
        </w:rPr>
        <w:t>functioning</w:t>
      </w:r>
      <w:r w:rsidRPr="00E140A8">
        <w:rPr>
          <w:sz w:val="16"/>
        </w:rPr>
        <w:t xml:space="preserve"> mechanism to ensure that </w:t>
      </w:r>
      <w:r w:rsidRPr="00EF5C26">
        <w:rPr>
          <w:rStyle w:val="StyleUnderline"/>
          <w:highlight w:val="cyan"/>
        </w:rPr>
        <w:t>WTO</w:t>
      </w:r>
      <w:r w:rsidRPr="00E140A8">
        <w:rPr>
          <w:sz w:val="16"/>
        </w:rPr>
        <w:t xml:space="preserve"> rules are enforced</w:t>
      </w:r>
      <w:r w:rsidRPr="00903585">
        <w:rPr>
          <w:sz w:val="16"/>
        </w:rPr>
        <w:t xml:space="preserve">, </w:t>
      </w:r>
      <w:r w:rsidRPr="00903585">
        <w:rPr>
          <w:rStyle w:val="StyleUnderline"/>
        </w:rPr>
        <w:t xml:space="preserve">the </w:t>
      </w:r>
      <w:r w:rsidRPr="00903585">
        <w:rPr>
          <w:rStyle w:val="Emphasis"/>
        </w:rPr>
        <w:t xml:space="preserve">entire </w:t>
      </w:r>
      <w:r w:rsidRPr="00903585">
        <w:rPr>
          <w:rStyle w:val="StyleUnderline"/>
        </w:rPr>
        <w:t xml:space="preserve">system of </w:t>
      </w:r>
      <w:r w:rsidRPr="00EF5C26">
        <w:rPr>
          <w:rStyle w:val="StyleUnderline"/>
          <w:highlight w:val="cyan"/>
        </w:rPr>
        <w:t xml:space="preserve">global trade rules risk </w:t>
      </w:r>
      <w:r w:rsidRPr="00EF5C26">
        <w:rPr>
          <w:rStyle w:val="Emphasis"/>
          <w:highlight w:val="cyan"/>
        </w:rPr>
        <w:t>collapsing</w:t>
      </w:r>
      <w:r w:rsidRPr="00E140A8">
        <w:rPr>
          <w:sz w:val="16"/>
        </w:rPr>
        <w:t xml:space="preserve">. Ironically, the United States has been the leader of the liberal trading order for the past 70 years, but since Trump, it has become its leading saboteur. </w:t>
      </w:r>
      <w:r w:rsidRPr="00E140A8">
        <w:rPr>
          <w:rStyle w:val="StyleUnderline"/>
        </w:rPr>
        <w:t xml:space="preserve">What are the </w:t>
      </w:r>
      <w:r w:rsidRPr="00E140A8">
        <w:rPr>
          <w:rStyle w:val="StyleUnderline"/>
        </w:rPr>
        <w:lastRenderedPageBreak/>
        <w:t xml:space="preserve">implications of </w:t>
      </w:r>
      <w:r w:rsidRPr="00903585">
        <w:rPr>
          <w:rStyle w:val="StyleUnderline"/>
        </w:rPr>
        <w:t>a</w:t>
      </w:r>
      <w:r w:rsidRPr="00E140A8">
        <w:rPr>
          <w:rStyle w:val="StyleUnderline"/>
        </w:rPr>
        <w:t xml:space="preserve"> </w:t>
      </w:r>
      <w:r w:rsidRPr="00EF5C26">
        <w:rPr>
          <w:rStyle w:val="Emphasis"/>
          <w:highlight w:val="cyan"/>
        </w:rPr>
        <w:t>permanent collapse</w:t>
      </w:r>
      <w:r w:rsidRPr="00E140A8">
        <w:rPr>
          <w:rStyle w:val="StyleUnderline"/>
        </w:rPr>
        <w:t xml:space="preserve"> of the international trading system</w:t>
      </w:r>
      <w:r w:rsidRPr="00E140A8">
        <w:rPr>
          <w:sz w:val="16"/>
        </w:rPr>
        <w:t xml:space="preserve">? </w:t>
      </w:r>
      <w:r w:rsidRPr="00E140A8">
        <w:rPr>
          <w:rStyle w:val="StyleUnderline"/>
        </w:rPr>
        <w:t>The very real danger</w:t>
      </w:r>
      <w:r w:rsidRPr="00E140A8">
        <w:rPr>
          <w:sz w:val="16"/>
        </w:rPr>
        <w:t xml:space="preserve"> from such a breakdown </w:t>
      </w:r>
      <w:r w:rsidRPr="00EF5C26">
        <w:rPr>
          <w:rStyle w:val="StyleUnderline"/>
          <w:highlight w:val="cyan"/>
        </w:rPr>
        <w:t>is a return to</w:t>
      </w:r>
      <w:r w:rsidRPr="00E140A8">
        <w:rPr>
          <w:rStyle w:val="StyleUnderline"/>
        </w:rPr>
        <w:t xml:space="preserve"> </w:t>
      </w:r>
      <w:r w:rsidRPr="00E140A8">
        <w:rPr>
          <w:sz w:val="16"/>
        </w:rPr>
        <w:t xml:space="preserve">what we saw in </w:t>
      </w:r>
      <w:r w:rsidRPr="00EF5C26">
        <w:rPr>
          <w:rStyle w:val="StyleUnderline"/>
          <w:highlight w:val="cyan"/>
        </w:rPr>
        <w:t xml:space="preserve">the </w:t>
      </w:r>
      <w:r w:rsidRPr="00903585">
        <w:rPr>
          <w:rStyle w:val="StyleUnderline"/>
        </w:rPr>
        <w:t>19</w:t>
      </w:r>
      <w:r w:rsidRPr="00EF5C26">
        <w:rPr>
          <w:rStyle w:val="StyleUnderline"/>
          <w:highlight w:val="cyan"/>
        </w:rPr>
        <w:t>30s</w:t>
      </w:r>
      <w:r w:rsidRPr="00E140A8">
        <w:rPr>
          <w:sz w:val="16"/>
        </w:rPr>
        <w:t xml:space="preserve">. </w:t>
      </w:r>
      <w:r w:rsidRPr="00E140A8">
        <w:rPr>
          <w:rStyle w:val="StyleUnderline"/>
        </w:rPr>
        <w:t xml:space="preserve">In response to the outbreak of the Great Depression, </w:t>
      </w:r>
      <w:r w:rsidRPr="00903585">
        <w:rPr>
          <w:rStyle w:val="StyleUnderline"/>
        </w:rPr>
        <w:t xml:space="preserve">you had </w:t>
      </w:r>
      <w:r w:rsidRPr="00EF5C26">
        <w:rPr>
          <w:rStyle w:val="StyleUnderline"/>
          <w:highlight w:val="cyan"/>
        </w:rPr>
        <w:t>countries imposing trade barriers</w:t>
      </w:r>
      <w:r w:rsidRPr="00E140A8">
        <w:rPr>
          <w:rStyle w:val="StyleUnderline"/>
        </w:rPr>
        <w:t xml:space="preserve">, </w:t>
      </w:r>
      <w:r w:rsidRPr="00EF5C26">
        <w:rPr>
          <w:rStyle w:val="StyleUnderline"/>
          <w:highlight w:val="cyan"/>
        </w:rPr>
        <w:t>blocking imports</w:t>
      </w:r>
      <w:r w:rsidRPr="00E140A8">
        <w:rPr>
          <w:rStyle w:val="StyleUnderline"/>
        </w:rPr>
        <w:t xml:space="preserve"> from other state, </w:t>
      </w:r>
      <w:r w:rsidRPr="00EF5C26">
        <w:rPr>
          <w:rStyle w:val="StyleUnderline"/>
          <w:highlight w:val="cyan"/>
        </w:rPr>
        <w:t>and</w:t>
      </w:r>
      <w:r w:rsidRPr="00E140A8">
        <w:rPr>
          <w:rStyle w:val="StyleUnderline"/>
        </w:rPr>
        <w:t xml:space="preserve"> a general escalation </w:t>
      </w:r>
      <w:r w:rsidRPr="00903585">
        <w:rPr>
          <w:rStyle w:val="StyleUnderline"/>
        </w:rPr>
        <w:t xml:space="preserve">of </w:t>
      </w:r>
      <w:r w:rsidRPr="00903585">
        <w:rPr>
          <w:rStyle w:val="Emphasis"/>
        </w:rPr>
        <w:t xml:space="preserve">tit-for-tat </w:t>
      </w:r>
      <w:r w:rsidRPr="00EF5C26">
        <w:rPr>
          <w:rStyle w:val="Emphasis"/>
          <w:highlight w:val="cyan"/>
        </w:rPr>
        <w:t>protectionism</w:t>
      </w:r>
      <w:r w:rsidRPr="00E140A8">
        <w:rPr>
          <w:sz w:val="16"/>
        </w:rPr>
        <w:t xml:space="preserve">. </w:t>
      </w:r>
      <w:r w:rsidRPr="00EF5C26">
        <w:rPr>
          <w:rStyle w:val="StyleUnderline"/>
          <w:highlight w:val="cyan"/>
        </w:rPr>
        <w:t>This</w:t>
      </w:r>
      <w:r w:rsidRPr="00E140A8">
        <w:rPr>
          <w:rStyle w:val="StyleUnderline"/>
        </w:rPr>
        <w:t xml:space="preserve"> response </w:t>
      </w:r>
      <w:r w:rsidRPr="00EF5C26">
        <w:rPr>
          <w:rStyle w:val="StyleUnderline"/>
          <w:highlight w:val="cyan"/>
        </w:rPr>
        <w:t>wound up</w:t>
      </w:r>
      <w:r w:rsidRPr="00E140A8">
        <w:rPr>
          <w:rStyle w:val="StyleUnderline"/>
        </w:rPr>
        <w:t xml:space="preserve"> not </w:t>
      </w:r>
      <w:r w:rsidRPr="00E140A8">
        <w:rPr>
          <w:sz w:val="16"/>
        </w:rPr>
        <w:t xml:space="preserve">only exacerbating the effects of the depression itself but has also been credited by some as </w:t>
      </w:r>
      <w:r w:rsidRPr="00EF5C26">
        <w:rPr>
          <w:rStyle w:val="StyleUnderline"/>
          <w:highlight w:val="cyan"/>
        </w:rPr>
        <w:t>paving the way for</w:t>
      </w:r>
      <w:r w:rsidRPr="00E140A8">
        <w:rPr>
          <w:sz w:val="16"/>
        </w:rPr>
        <w:t xml:space="preserve"> the outbreak of </w:t>
      </w:r>
      <w:r w:rsidRPr="00E140A8">
        <w:rPr>
          <w:rStyle w:val="StyleUnderline"/>
        </w:rPr>
        <w:t>the second</w:t>
      </w:r>
      <w:r w:rsidRPr="00E140A8">
        <w:rPr>
          <w:sz w:val="16"/>
        </w:rPr>
        <w:t xml:space="preserve"> </w:t>
      </w:r>
      <w:r w:rsidRPr="00EF5C26">
        <w:rPr>
          <w:rStyle w:val="Emphasis"/>
          <w:highlight w:val="cyan"/>
        </w:rPr>
        <w:t>world war</w:t>
      </w:r>
      <w:r w:rsidRPr="00E140A8">
        <w:rPr>
          <w:sz w:val="16"/>
        </w:rPr>
        <w:t xml:space="preserve">. </w:t>
      </w:r>
      <w:r w:rsidRPr="00E140A8">
        <w:rPr>
          <w:rStyle w:val="StyleUnderline"/>
        </w:rPr>
        <w:t xml:space="preserve">The reason why institutions like </w:t>
      </w:r>
      <w:r w:rsidRPr="00EF5C26">
        <w:rPr>
          <w:rStyle w:val="StyleUnderline"/>
          <w:highlight w:val="cyan"/>
        </w:rPr>
        <w:t>the WTO were created</w:t>
      </w:r>
      <w:r w:rsidRPr="00E140A8">
        <w:rPr>
          <w:rStyle w:val="StyleUnderline"/>
        </w:rPr>
        <w:t xml:space="preserve"> in the first place was </w:t>
      </w:r>
      <w:r w:rsidRPr="00EF5C26">
        <w:rPr>
          <w:rStyle w:val="StyleUnderline"/>
          <w:highlight w:val="cyan"/>
        </w:rPr>
        <w:t>to prevent</w:t>
      </w:r>
      <w:r w:rsidRPr="00E140A8">
        <w:rPr>
          <w:rStyle w:val="StyleUnderline"/>
        </w:rPr>
        <w:t xml:space="preserve"> a recurrence of </w:t>
      </w:r>
      <w:r w:rsidRPr="00EF5C26">
        <w:rPr>
          <w:rStyle w:val="StyleUnderline"/>
          <w:highlight w:val="cyan"/>
        </w:rPr>
        <w:t xml:space="preserve">the </w:t>
      </w:r>
      <w:r w:rsidRPr="00903585">
        <w:rPr>
          <w:rStyle w:val="StyleUnderline"/>
        </w:rPr>
        <w:t>19</w:t>
      </w:r>
      <w:r w:rsidRPr="00EF5C26">
        <w:rPr>
          <w:rStyle w:val="StyleUnderline"/>
          <w:highlight w:val="cyan"/>
        </w:rPr>
        <w:t>30s</w:t>
      </w:r>
      <w:r w:rsidRPr="00E140A8">
        <w:rPr>
          <w:rStyle w:val="StyleUnderline"/>
        </w:rPr>
        <w:t xml:space="preserve"> protectionist trade spiral</w:t>
      </w:r>
      <w:r w:rsidRPr="00E140A8">
        <w:rPr>
          <w:sz w:val="16"/>
        </w:rPr>
        <w:t xml:space="preserve">. </w:t>
      </w:r>
      <w:r w:rsidRPr="00E140A8">
        <w:rPr>
          <w:rStyle w:val="StyleUnderline"/>
        </w:rPr>
        <w:t xml:space="preserve">The danger now – </w:t>
      </w:r>
      <w:r w:rsidRPr="00EF5C26">
        <w:rPr>
          <w:rStyle w:val="StyleUnderline"/>
          <w:highlight w:val="cyan"/>
        </w:rPr>
        <w:t xml:space="preserve">if </w:t>
      </w:r>
      <w:r w:rsidRPr="00903585">
        <w:rPr>
          <w:rStyle w:val="StyleUnderline"/>
        </w:rPr>
        <w:t xml:space="preserve">those </w:t>
      </w:r>
      <w:r w:rsidRPr="00EF5C26">
        <w:rPr>
          <w:rStyle w:val="StyleUnderline"/>
          <w:highlight w:val="cyan"/>
        </w:rPr>
        <w:t xml:space="preserve">rules become </w:t>
      </w:r>
      <w:r w:rsidRPr="00903585">
        <w:rPr>
          <w:rStyle w:val="StyleUnderline"/>
        </w:rPr>
        <w:t>meaningless and unenforceable</w:t>
      </w:r>
      <w:r w:rsidRPr="00E140A8">
        <w:rPr>
          <w:sz w:val="16"/>
        </w:rPr>
        <w:t xml:space="preserve"> – </w:t>
      </w:r>
      <w:r w:rsidRPr="00E140A8">
        <w:rPr>
          <w:rStyle w:val="StyleUnderline"/>
        </w:rPr>
        <w:t xml:space="preserve">is </w:t>
      </w:r>
      <w:r w:rsidRPr="00EF5C26">
        <w:rPr>
          <w:rStyle w:val="StyleUnderline"/>
          <w:highlight w:val="cyan"/>
        </w:rPr>
        <w:t xml:space="preserve">the </w:t>
      </w:r>
      <w:r w:rsidRPr="00903585">
        <w:rPr>
          <w:rStyle w:val="StyleUnderline"/>
        </w:rPr>
        <w:t xml:space="preserve">institutional </w:t>
      </w:r>
      <w:r w:rsidRPr="00EF5C26">
        <w:rPr>
          <w:rStyle w:val="StyleUnderline"/>
          <w:highlight w:val="cyan"/>
        </w:rPr>
        <w:t>foundations of postwar</w:t>
      </w:r>
      <w:r w:rsidRPr="00E140A8">
        <w:rPr>
          <w:rStyle w:val="StyleUnderline"/>
        </w:rPr>
        <w:t xml:space="preserve"> economic </w:t>
      </w:r>
      <w:r w:rsidRPr="00EF5C26">
        <w:rPr>
          <w:rStyle w:val="StyleUnderline"/>
          <w:highlight w:val="cyan"/>
        </w:rPr>
        <w:t xml:space="preserve">prosperity </w:t>
      </w:r>
      <w:r w:rsidRPr="00903585">
        <w:rPr>
          <w:rStyle w:val="StyleUnderline"/>
        </w:rPr>
        <w:t xml:space="preserve">could </w:t>
      </w:r>
      <w:r w:rsidRPr="00EF5C26">
        <w:rPr>
          <w:rStyle w:val="Emphasis"/>
          <w:highlight w:val="cyan"/>
        </w:rPr>
        <w:t>unravel</w:t>
      </w:r>
      <w:r w:rsidRPr="00E140A8">
        <w:rPr>
          <w:rStyle w:val="StyleUnderline"/>
        </w:rPr>
        <w:t xml:space="preserve">, </w:t>
      </w:r>
      <w:r w:rsidRPr="00EF5C26">
        <w:rPr>
          <w:rStyle w:val="StyleUnderline"/>
          <w:highlight w:val="cyan"/>
        </w:rPr>
        <w:t>throwing us</w:t>
      </w:r>
      <w:r w:rsidRPr="00E140A8">
        <w:rPr>
          <w:rStyle w:val="StyleUnderline"/>
        </w:rPr>
        <w:t xml:space="preserve"> back </w:t>
      </w:r>
      <w:r w:rsidRPr="00EF5C26">
        <w:rPr>
          <w:rStyle w:val="StyleUnderline"/>
          <w:highlight w:val="cyan"/>
        </w:rPr>
        <w:t>into</w:t>
      </w:r>
      <w:r w:rsidRPr="00E140A8">
        <w:rPr>
          <w:rStyle w:val="StyleUnderline"/>
        </w:rPr>
        <w:t xml:space="preserve"> economic chaos and potentially </w:t>
      </w:r>
      <w:r w:rsidRPr="00EF5C26">
        <w:rPr>
          <w:rStyle w:val="Emphasis"/>
          <w:highlight w:val="cyan"/>
        </w:rPr>
        <w:t>political disorder</w:t>
      </w:r>
      <w:r w:rsidRPr="00E140A8">
        <w:rPr>
          <w:rStyle w:val="StyleUnderline"/>
        </w:rPr>
        <w:t>.</w:t>
      </w:r>
      <w:r>
        <w:rPr>
          <w:rStyle w:val="StyleUnderline"/>
        </w:rPr>
        <w:t xml:space="preserve"> </w:t>
      </w:r>
      <w:r w:rsidRPr="00E140A8">
        <w:rPr>
          <w:sz w:val="16"/>
        </w:rPr>
        <w:t xml:space="preserve">What does the WTO’s future look like under new director-general Dr </w:t>
      </w:r>
      <w:proofErr w:type="spellStart"/>
      <w:r w:rsidRPr="00E140A8">
        <w:rPr>
          <w:sz w:val="16"/>
        </w:rPr>
        <w:t>Okonjo</w:t>
      </w:r>
      <w:proofErr w:type="spellEnd"/>
      <w:r w:rsidRPr="00E140A8">
        <w:rPr>
          <w:sz w:val="16"/>
        </w:rPr>
        <w:t>-Iweala?</w:t>
      </w:r>
    </w:p>
    <w:p w14:paraId="735710D2" w14:textId="77777777" w:rsidR="00CF6283" w:rsidRPr="00CF6283" w:rsidRDefault="00CF6283" w:rsidP="00CF6283"/>
    <w:sectPr w:rsidR="00CF6283" w:rsidRPr="00CF6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ans 3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42A2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4841"/>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3DA3"/>
    <w:rsid w:val="00845B9D"/>
    <w:rsid w:val="00860984"/>
    <w:rsid w:val="008B3ECB"/>
    <w:rsid w:val="008B4E85"/>
    <w:rsid w:val="008C1B2E"/>
    <w:rsid w:val="0091627E"/>
    <w:rsid w:val="0097032B"/>
    <w:rsid w:val="009D2EAD"/>
    <w:rsid w:val="009D54B2"/>
    <w:rsid w:val="009E1922"/>
    <w:rsid w:val="009F7ED2"/>
    <w:rsid w:val="00A42A2F"/>
    <w:rsid w:val="00A6199E"/>
    <w:rsid w:val="00A93661"/>
    <w:rsid w:val="00A95652"/>
    <w:rsid w:val="00AC0AB8"/>
    <w:rsid w:val="00B33C6D"/>
    <w:rsid w:val="00B4508F"/>
    <w:rsid w:val="00B55AD5"/>
    <w:rsid w:val="00B8057C"/>
    <w:rsid w:val="00BC6F2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83"/>
    <w:rsid w:val="00D325A9"/>
    <w:rsid w:val="00D36A8A"/>
    <w:rsid w:val="00D61409"/>
    <w:rsid w:val="00D6691E"/>
    <w:rsid w:val="00D71170"/>
    <w:rsid w:val="00DA1C92"/>
    <w:rsid w:val="00DA25D4"/>
    <w:rsid w:val="00DA6538"/>
    <w:rsid w:val="00E15E75"/>
    <w:rsid w:val="00E5262C"/>
    <w:rsid w:val="00EC7DC4"/>
    <w:rsid w:val="00ED30CF"/>
    <w:rsid w:val="00F176EF"/>
    <w:rsid w:val="00F33F5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CA4A"/>
  <w15:chartTrackingRefBased/>
  <w15:docId w15:val="{D4F77BA1-115A-4FB9-A504-4A06D889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199E"/>
    <w:rPr>
      <w:rFonts w:ascii="Calibri" w:hAnsi="Calibri"/>
    </w:rPr>
  </w:style>
  <w:style w:type="paragraph" w:styleId="Heading1">
    <w:name w:val="heading 1"/>
    <w:aliases w:val="Pocket"/>
    <w:basedOn w:val="Normal"/>
    <w:next w:val="Normal"/>
    <w:link w:val="Heading1Char"/>
    <w:qFormat/>
    <w:rsid w:val="00A619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9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19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A619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9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99E"/>
  </w:style>
  <w:style w:type="character" w:customStyle="1" w:styleId="Heading1Char">
    <w:name w:val="Heading 1 Char"/>
    <w:aliases w:val="Pocket Char"/>
    <w:basedOn w:val="DefaultParagraphFont"/>
    <w:link w:val="Heading1"/>
    <w:rsid w:val="00A619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9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199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6199E"/>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A6199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6199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Title Char,B"/>
    <w:basedOn w:val="DefaultParagraphFont"/>
    <w:uiPriority w:val="6"/>
    <w:qFormat/>
    <w:rsid w:val="00A6199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6199E"/>
    <w:rPr>
      <w:color w:val="auto"/>
      <w:u w:val="none"/>
    </w:rPr>
  </w:style>
  <w:style w:type="character" w:styleId="FollowedHyperlink">
    <w:name w:val="FollowedHyperlink"/>
    <w:basedOn w:val="DefaultParagraphFont"/>
    <w:uiPriority w:val="99"/>
    <w:semiHidden/>
    <w:unhideWhenUsed/>
    <w:rsid w:val="00A6199E"/>
    <w:rPr>
      <w:color w:val="auto"/>
      <w:u w:val="none"/>
    </w:rPr>
  </w:style>
  <w:style w:type="paragraph" w:customStyle="1" w:styleId="Emphasize">
    <w:name w:val="Emphasize"/>
    <w:basedOn w:val="Normal"/>
    <w:link w:val="Emphasis"/>
    <w:uiPriority w:val="7"/>
    <w:qFormat/>
    <w:rsid w:val="00A42A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A42A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A42A2F"/>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free-trade-bulletin/unnecessary-proposal-wto-waiver-intellectual-property-rights-covid-19-vaccines%5d/Kankee" TargetMode="External"/><Relationship Id="rId3" Type="http://schemas.openxmlformats.org/officeDocument/2006/relationships/styles" Target="styles.xml"/><Relationship Id="rId7" Type="http://schemas.openxmlformats.org/officeDocument/2006/relationships/hyperlink" Target="https://www.wto.org/english/docs_e/legal_e/27-trips_04c_e.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to.org/english/docs_e/legal_e/27-trips_04c_e.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4</Pages>
  <Words>1924</Words>
  <Characters>10972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6</cp:revision>
  <dcterms:created xsi:type="dcterms:W3CDTF">2021-09-17T22:16:00Z</dcterms:created>
  <dcterms:modified xsi:type="dcterms:W3CDTF">2021-09-18T12:33:00Z</dcterms:modified>
</cp:coreProperties>
</file>