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834D" w14:textId="77777777" w:rsidR="00A33191" w:rsidRPr="002F4D98" w:rsidRDefault="00A33191" w:rsidP="00A33191">
      <w:pPr>
        <w:pStyle w:val="Heading1"/>
      </w:pPr>
      <w:r>
        <w:t>NC</w:t>
      </w:r>
    </w:p>
    <w:p w14:paraId="639A20CC" w14:textId="77777777" w:rsidR="00A33191" w:rsidRDefault="00A33191" w:rsidP="00A33191">
      <w:pPr>
        <w:pStyle w:val="Heading2"/>
      </w:pPr>
      <w:r>
        <w:lastRenderedPageBreak/>
        <w:t>1 - NC</w:t>
      </w:r>
    </w:p>
    <w:p w14:paraId="2AE92DD1" w14:textId="77777777" w:rsidR="00A33191" w:rsidRPr="006A6D5B" w:rsidRDefault="00A33191" w:rsidP="00A33191">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4E8F807E" w14:textId="77777777" w:rsidR="00A33191" w:rsidRPr="006A6D5B" w:rsidRDefault="00A33191" w:rsidP="00A33191">
      <w:pPr>
        <w:pStyle w:val="Heading4"/>
      </w:pPr>
      <w:r w:rsidRPr="006A6D5B">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72414C3E" w14:textId="77777777" w:rsidR="00A33191" w:rsidRPr="006A6D5B" w:rsidRDefault="00A33191" w:rsidP="00A33191">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E16EAFF" w14:textId="77777777" w:rsidR="00A33191" w:rsidRPr="006A6D5B" w:rsidRDefault="00A33191" w:rsidP="00A33191">
      <w:pPr>
        <w:pStyle w:val="Heading4"/>
      </w:pPr>
      <w:r w:rsidRPr="006A6D5B">
        <w:t>But, the state of nature leads to infinite violence – competing truth claims means conflicts cannot be resolved. Two warrants:</w:t>
      </w:r>
    </w:p>
    <w:p w14:paraId="604217DE" w14:textId="77777777" w:rsidR="00A33191" w:rsidRPr="006A6D5B" w:rsidRDefault="00A33191" w:rsidP="00A33191">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629A9AAE" w14:textId="77777777" w:rsidR="00A33191" w:rsidRPr="006A6D5B" w:rsidRDefault="00A33191" w:rsidP="00A33191">
      <w:pPr>
        <w:pStyle w:val="Heading4"/>
      </w:pPr>
      <w:r w:rsidRPr="006A6D5B">
        <w:t>[2] Self-Interest – everyone wants their truth claims to be true because it benefits them – this leads to conflict because we can’t divide limited resources and have to compete with each other – terminates in death because neither of us want to concede to the other </w:t>
      </w:r>
    </w:p>
    <w:p w14:paraId="602CE8CA" w14:textId="77777777" w:rsidR="00A33191" w:rsidRPr="006A6D5B" w:rsidRDefault="00A33191" w:rsidP="00A33191">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35EB7695" w14:textId="77777777" w:rsidR="00A33191" w:rsidRPr="000D7EB3" w:rsidRDefault="00A33191" w:rsidP="00A33191">
      <w:pPr>
        <w:pStyle w:val="Heading4"/>
      </w:pPr>
      <w:r w:rsidRPr="000D7EB3">
        <w:t>Therefore, the standard is adhering to the state’s perspective. </w:t>
      </w:r>
    </w:p>
    <w:p w14:paraId="25310CDE" w14:textId="77777777" w:rsidR="00A33191" w:rsidRPr="000D7EB3" w:rsidRDefault="00A33191" w:rsidP="00A33191">
      <w:pPr>
        <w:pStyle w:val="Heading4"/>
      </w:pPr>
      <w:r w:rsidRPr="000D7EB3">
        <w:t>Impact Calculus: Only evaluate impacts to structural purpose –what you justify through doing the action. We can control what we justify but we can’t control what we cause. </w:t>
      </w:r>
    </w:p>
    <w:p w14:paraId="65C77936" w14:textId="77777777" w:rsidR="00A33191" w:rsidRPr="000D7EB3" w:rsidRDefault="00A33191" w:rsidP="00A33191">
      <w:pPr>
        <w:pStyle w:val="Heading4"/>
      </w:pPr>
      <w:r w:rsidRPr="000D7EB3">
        <w:t>Prefer my standard additionally </w:t>
      </w:r>
    </w:p>
    <w:p w14:paraId="30820148" w14:textId="77777777" w:rsidR="00A33191" w:rsidRPr="000D7EB3" w:rsidRDefault="00A33191" w:rsidP="00A33191">
      <w:pPr>
        <w:pStyle w:val="Heading4"/>
      </w:pPr>
      <w:r w:rsidRPr="000D7EB3">
        <w:lastRenderedPageBreak/>
        <w:t xml:space="preserve">1. Moral Discourse- outside of the state there is no regulative authority to ensure that individuals are capable of engaging in the same moral language. For example, one party can think good means x and </w:t>
      </w:r>
      <w:proofErr w:type="gramStart"/>
      <w:r w:rsidRPr="000D7EB3">
        <w:t>another</w:t>
      </w:r>
      <w:proofErr w:type="gramEnd"/>
      <w:r w:rsidRPr="000D7EB3">
        <w:t xml:space="preserve"> thinks that good means y. The state clarifies this dispute by being an ultimate arbiter and declaring what is good and bad. This means that absent my standard, moral language makes no sense. </w:t>
      </w:r>
    </w:p>
    <w:p w14:paraId="0677F9E2" w14:textId="77777777" w:rsidR="00A33191" w:rsidRPr="000D7EB3" w:rsidRDefault="00A33191" w:rsidP="00A33191">
      <w:pPr>
        <w:pStyle w:val="Heading4"/>
      </w:pPr>
      <w:r w:rsidRPr="000D7EB3">
        <w:t xml:space="preserve">2.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43B9F498" w14:textId="77777777" w:rsidR="00A33191" w:rsidRDefault="00A33191" w:rsidP="00A33191">
      <w:pPr>
        <w:pStyle w:val="Heading4"/>
      </w:pPr>
      <w:r w:rsidRPr="000D7EB3">
        <w:t xml:space="preserve">3. </w:t>
      </w:r>
      <w:proofErr w:type="spellStart"/>
      <w:r w:rsidRPr="000D7EB3">
        <w:t>Constitutivism</w:t>
      </w:r>
      <w:proofErr w:type="spellEnd"/>
      <w:r w:rsidRPr="000D7EB3">
        <w:t>–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4FE94C7A" w14:textId="77777777" w:rsidR="00A33191" w:rsidRPr="00703C39" w:rsidRDefault="00A33191" w:rsidP="00A33191">
      <w:pPr>
        <w:pStyle w:val="Heading4"/>
      </w:pPr>
      <w:r w:rsidRPr="00703C39">
        <w:t>4. TJFs</w:t>
      </w:r>
      <w:r>
        <w:t xml:space="preserve"> – morality’s a definition of the word ‘ought’ which means it can be evaluated as a topicality issue</w:t>
      </w:r>
    </w:p>
    <w:p w14:paraId="4427B551" w14:textId="77777777" w:rsidR="00A33191" w:rsidRPr="00703C39" w:rsidRDefault="00A33191" w:rsidP="00A33191">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Independently indicts their framework, we can’t act on </w:t>
      </w:r>
      <w:r>
        <w:t>it if every action required endless consideration</w:t>
      </w:r>
    </w:p>
    <w:p w14:paraId="4263CBD4" w14:textId="77777777" w:rsidR="00A33191" w:rsidRDefault="00A33191" w:rsidP="00A33191">
      <w:pPr>
        <w:pStyle w:val="Heading4"/>
      </w:pPr>
      <w:r w:rsidRPr="00703C39">
        <w:t xml:space="preserve">[b] </w:t>
      </w:r>
      <w:r>
        <w:t>Political Education – politicians have to understand the social contract in order to know what powers they have and what they have to provide citizens, and debating about Hobbes helps us learn about that.</w:t>
      </w:r>
    </w:p>
    <w:p w14:paraId="098F50F8" w14:textId="77777777" w:rsidR="00A33191" w:rsidRDefault="00A33191" w:rsidP="00A33191">
      <w:pPr>
        <w:pStyle w:val="Heading4"/>
      </w:pPr>
      <w:r>
        <w:t xml:space="preserve">Now negate – the </w:t>
      </w:r>
      <w:proofErr w:type="spellStart"/>
      <w:r>
        <w:t>aff</w:t>
      </w:r>
      <w:proofErr w:type="spellEnd"/>
      <w:r>
        <w:t xml:space="preserve"> invites policy action, which in turn invokes the state to do something – a] we must adhere to the state’s perspective, which means the </w:t>
      </w:r>
      <w:proofErr w:type="spellStart"/>
      <w:r>
        <w:t>aff</w:t>
      </w:r>
      <w:proofErr w:type="spellEnd"/>
      <w:r>
        <w:t xml:space="preserve"> can’t create a universal obligation to make voting compulsory if some states decide not to do it and b] the </w:t>
      </w:r>
      <w:proofErr w:type="spellStart"/>
      <w:r>
        <w:t>aff</w:t>
      </w:r>
      <w:proofErr w:type="spellEnd"/>
      <w:r>
        <w:t xml:space="preserve"> attempts to make the state do something, which implies they think they are a greater moral arbiter – that’s wrong</w:t>
      </w:r>
    </w:p>
    <w:p w14:paraId="5A220279" w14:textId="20616B36" w:rsidR="00A33191" w:rsidRDefault="00A33191" w:rsidP="00A33191">
      <w:pPr>
        <w:pStyle w:val="Heading2"/>
      </w:pPr>
      <w:r>
        <w:lastRenderedPageBreak/>
        <w:t xml:space="preserve">2 </w:t>
      </w:r>
      <w:r w:rsidR="00812A14">
        <w:t>–</w:t>
      </w:r>
      <w:r>
        <w:t xml:space="preserve"> DA</w:t>
      </w:r>
    </w:p>
    <w:p w14:paraId="7B39E37D" w14:textId="77777777" w:rsidR="00812A14" w:rsidRPr="00DE33BD" w:rsidRDefault="00812A14" w:rsidP="00812A14">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76D93D8D" w14:textId="77777777" w:rsidR="00812A14" w:rsidRPr="00DE33BD" w:rsidRDefault="00812A14" w:rsidP="00812A1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71B2FE7" w14:textId="77777777" w:rsidR="00812A14" w:rsidRPr="00DE33BD" w:rsidRDefault="00812A14" w:rsidP="00812A14">
      <w:pPr>
        <w:rPr>
          <w:sz w:val="16"/>
          <w:szCs w:val="16"/>
        </w:rPr>
      </w:pPr>
      <w:r w:rsidRPr="00DE33BD">
        <w:rPr>
          <w:sz w:val="16"/>
          <w:szCs w:val="16"/>
        </w:rPr>
        <w:t>V. MITIGATION VS. REMOVAL</w:t>
      </w:r>
    </w:p>
    <w:p w14:paraId="39097720" w14:textId="77777777" w:rsidR="00812A14" w:rsidRPr="00DE33BD" w:rsidRDefault="00812A14" w:rsidP="00812A1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B2BE808" w14:textId="77777777" w:rsidR="00812A14" w:rsidRPr="00DD79F1" w:rsidRDefault="00812A14" w:rsidP="00812A1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E7159D8" w14:textId="77777777" w:rsidR="00812A14" w:rsidRPr="00DE33BD" w:rsidRDefault="00812A14" w:rsidP="00812A14">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7D906C43" w14:textId="77777777" w:rsidR="00812A14" w:rsidRPr="00DE33BD" w:rsidRDefault="00812A14" w:rsidP="00812A14">
      <w:pPr>
        <w:rPr>
          <w:sz w:val="16"/>
        </w:rPr>
      </w:pPr>
      <w:r w:rsidRPr="00DE33BD">
        <w:rPr>
          <w:sz w:val="16"/>
        </w:rPr>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28963A68" w14:textId="77777777" w:rsidR="00812A14" w:rsidRPr="00DE33BD" w:rsidRDefault="00812A14" w:rsidP="00812A1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64B6932" w14:textId="77777777" w:rsidR="00812A14" w:rsidRPr="00212B24" w:rsidRDefault="00812A14" w:rsidP="00812A14">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360F6C98" w14:textId="77777777" w:rsidR="00812A14" w:rsidRDefault="00812A14" w:rsidP="00812A14">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08C5DD5C" w14:textId="77777777" w:rsidR="00812A14" w:rsidRPr="00EB170E" w:rsidRDefault="00812A14" w:rsidP="00812A1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9C9D99B" w14:textId="77777777" w:rsidR="00812A14" w:rsidRPr="00FE63F2" w:rsidRDefault="00812A14" w:rsidP="00812A1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w:t>
      </w:r>
      <w:r w:rsidRPr="00D35B18">
        <w:rPr>
          <w:rStyle w:val="StyleUnderline"/>
          <w:highlight w:val="green"/>
        </w:rPr>
        <w:lastRenderedPageBreak/>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FADD837" w14:textId="77777777" w:rsidR="00812A14" w:rsidRPr="00FE63F2" w:rsidRDefault="00812A14" w:rsidP="00812A1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B4C85B5" w14:textId="77777777" w:rsidR="00812A14" w:rsidRPr="00FE63F2" w:rsidRDefault="00812A14" w:rsidP="00812A1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1B22E6C" w14:textId="77777777" w:rsidR="00812A14" w:rsidRPr="00FE63F2" w:rsidRDefault="00812A14" w:rsidP="00812A1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BABAB84" w14:textId="77777777" w:rsidR="00812A14" w:rsidRPr="00E54708" w:rsidRDefault="00812A14" w:rsidP="00812A1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03DFCF55" w14:textId="77777777" w:rsidR="00812A14" w:rsidRPr="00FE63F2" w:rsidRDefault="00812A14" w:rsidP="00812A1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C21A467" w14:textId="77777777" w:rsidR="00812A14" w:rsidRPr="00FE63F2" w:rsidRDefault="00812A14" w:rsidP="00812A1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1ACE9EB" w14:textId="77777777" w:rsidR="00812A14" w:rsidRPr="00FE63F2" w:rsidRDefault="00812A14" w:rsidP="00812A14">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t>
      </w:r>
      <w:r w:rsidRPr="00E5085F">
        <w:rPr>
          <w:rStyle w:val="StyleUnderline"/>
        </w:rPr>
        <w:lastRenderedPageBreak/>
        <w:t xml:space="preserve">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196C8CC" w14:textId="77777777" w:rsidR="00812A14" w:rsidRPr="007F01F5" w:rsidRDefault="00812A14" w:rsidP="00812A1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60A1E74A" w14:textId="77777777" w:rsidR="00812A14" w:rsidRDefault="00812A14" w:rsidP="00812A14">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E32F007" w14:textId="77777777" w:rsidR="00812A14" w:rsidRDefault="00812A14" w:rsidP="00812A14">
      <w:pPr>
        <w:pStyle w:val="Heading4"/>
      </w:pPr>
      <w:r>
        <w:t>The PPWT prohibits space-based missile defense</w:t>
      </w:r>
    </w:p>
    <w:p w14:paraId="432F16D5" w14:textId="77777777" w:rsidR="00812A14" w:rsidRDefault="00812A14" w:rsidP="00812A1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008BBE80" w14:textId="77777777" w:rsidR="00812A14" w:rsidRPr="00CA7AC9" w:rsidRDefault="00812A14" w:rsidP="00812A14">
      <w:pPr>
        <w:rPr>
          <w:sz w:val="16"/>
          <w:szCs w:val="16"/>
        </w:rPr>
      </w:pPr>
      <w:r w:rsidRPr="00CA7AC9">
        <w:rPr>
          <w:sz w:val="16"/>
          <w:szCs w:val="16"/>
        </w:rPr>
        <w:t>B. Avoid Arms Control Traps in Space</w:t>
      </w:r>
    </w:p>
    <w:p w14:paraId="0C17F52B" w14:textId="77777777" w:rsidR="00812A14" w:rsidRPr="00212B24" w:rsidRDefault="00812A14" w:rsidP="00812A1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E251CBC" w14:textId="77777777" w:rsidR="00812A14" w:rsidRPr="00212B24" w:rsidRDefault="00812A14" w:rsidP="00812A14">
      <w:pPr>
        <w:rPr>
          <w:sz w:val="16"/>
        </w:rPr>
      </w:pPr>
      <w:r w:rsidRPr="00212B24">
        <w:rPr>
          <w:sz w:val="16"/>
        </w:rPr>
        <w:lastRenderedPageBreak/>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40CC1A6C" w14:textId="77777777" w:rsidR="00812A14" w:rsidRPr="00CA7AC9" w:rsidRDefault="00812A14" w:rsidP="00812A1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11E7351" w14:textId="77777777" w:rsidR="00812A14" w:rsidRPr="00CA7AC9" w:rsidRDefault="00812A14" w:rsidP="00812A14">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383AD6EC" w14:textId="77777777" w:rsidR="00812A14" w:rsidRPr="00212B24" w:rsidRDefault="00812A14" w:rsidP="00812A1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453F62C" w14:textId="77777777" w:rsidR="00812A14" w:rsidRDefault="00812A14" w:rsidP="00812A14">
      <w:pPr>
        <w:pStyle w:val="Heading4"/>
      </w:pPr>
      <w:r>
        <w:t>Causes rogue state missile threats---that escalates</w:t>
      </w:r>
    </w:p>
    <w:p w14:paraId="6417D90A" w14:textId="77777777" w:rsidR="00812A14" w:rsidRPr="00826255" w:rsidRDefault="00812A14" w:rsidP="00812A1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1EE336C" w14:textId="77777777" w:rsidR="00812A14" w:rsidRPr="001C1B40" w:rsidRDefault="00812A14" w:rsidP="00812A14">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2A376118" w14:textId="77777777" w:rsidR="00812A14" w:rsidRPr="001C1B40" w:rsidRDefault="00812A14" w:rsidP="00812A1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2994ABAA" w14:textId="77777777" w:rsidR="00812A14" w:rsidRPr="00422DF9" w:rsidRDefault="00812A14" w:rsidP="00812A14">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78A7059" w14:textId="77777777" w:rsidR="00812A14" w:rsidRPr="00A86086" w:rsidRDefault="00812A14" w:rsidP="00812A14">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504ED23" w14:textId="77777777" w:rsidR="00812A14" w:rsidRPr="00587AC9" w:rsidRDefault="00812A14" w:rsidP="00812A1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490A1348" w14:textId="77777777" w:rsidR="00812A14" w:rsidRPr="00252179" w:rsidRDefault="00812A14" w:rsidP="00812A1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22929A82" w14:textId="77777777" w:rsidR="00812A14" w:rsidRPr="00252179" w:rsidRDefault="00812A14" w:rsidP="00812A14">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555768A3" w14:textId="77777777" w:rsidR="00812A14" w:rsidRPr="00812A14" w:rsidRDefault="00812A14" w:rsidP="00812A14"/>
    <w:p w14:paraId="50C738A9" w14:textId="4B93FA23" w:rsidR="00E42E4C" w:rsidRDefault="00DE3B1E" w:rsidP="00DE3B1E">
      <w:pPr>
        <w:pStyle w:val="Heading1"/>
      </w:pPr>
      <w:r>
        <w:lastRenderedPageBreak/>
        <w:t>AC</w:t>
      </w:r>
    </w:p>
    <w:p w14:paraId="573DA81F" w14:textId="5D18E19D" w:rsidR="00012C3C" w:rsidRDefault="00012C3C" w:rsidP="00012C3C">
      <w:pPr>
        <w:pStyle w:val="Heading2"/>
      </w:pPr>
      <w:r>
        <w:lastRenderedPageBreak/>
        <w:t>A2 Framing</w:t>
      </w:r>
    </w:p>
    <w:p w14:paraId="1A984B29" w14:textId="5743987C" w:rsidR="00012C3C" w:rsidRDefault="00012C3C" w:rsidP="00012C3C">
      <w:pPr>
        <w:pStyle w:val="Heading4"/>
      </w:pPr>
      <w:r>
        <w:t>1] Calc indicts matter – if util can’t be applied in the real world, there’s no reason to accept it as a moral framework.</w:t>
      </w:r>
    </w:p>
    <w:p w14:paraId="5F8825AE" w14:textId="77777777" w:rsidR="00012C3C" w:rsidRPr="005B6568" w:rsidRDefault="00012C3C" w:rsidP="00012C3C">
      <w:pPr>
        <w:pStyle w:val="Heading4"/>
      </w:pPr>
      <w:r>
        <w:t>2] Counterexamples disprove the framework: any framework that contradicts our baseline intuitions like slavery bad is probably false.</w:t>
      </w:r>
    </w:p>
    <w:p w14:paraId="051A7BFD" w14:textId="77777777" w:rsidR="00012C3C" w:rsidRDefault="00012C3C" w:rsidP="00012C3C">
      <w:pPr>
        <w:pStyle w:val="Heading4"/>
      </w:pPr>
      <w:r>
        <w:t xml:space="preserve">3] Induction fails—it assumes that things will always happen the same way in the future as they have in the past. But this begs the question of how we know what happened in the past will happen in the future. Also means no predictions </w:t>
      </w:r>
    </w:p>
    <w:p w14:paraId="641346C4" w14:textId="77777777" w:rsidR="00012C3C" w:rsidRDefault="00012C3C" w:rsidP="00012C3C">
      <w:pPr>
        <w:pStyle w:val="Heading4"/>
      </w:pPr>
      <w:r>
        <w:t xml:space="preserve">4] Infinite regress – every consequence causes another consequence ad infinitum, so any arbitrary action causes infinite pain and infinite pleasure, which triggers presumption. </w:t>
      </w:r>
    </w:p>
    <w:p w14:paraId="528EAD56" w14:textId="77777777" w:rsidR="00012C3C" w:rsidRDefault="00012C3C" w:rsidP="00012C3C">
      <w:pPr>
        <w:pStyle w:val="Heading4"/>
      </w:pPr>
      <w:r>
        <w:t xml:space="preserve">5] Incommensurability objection – can’t compare different forms of happiness like friendship v ice cream – means aggregation impossible </w:t>
      </w:r>
    </w:p>
    <w:p w14:paraId="469C97CE" w14:textId="77777777" w:rsidR="00012C3C" w:rsidRDefault="00012C3C" w:rsidP="00012C3C">
      <w:pPr>
        <w:pStyle w:val="Heading4"/>
      </w:pPr>
      <w:bookmarkStart w:id="0" w:name="_Hlk490568375"/>
      <w:r>
        <w:t xml:space="preserve">6] </w:t>
      </w:r>
      <w:r w:rsidRPr="003B64D8">
        <w:t xml:space="preserve">Util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 </w:t>
      </w:r>
      <w:bookmarkEnd w:id="0"/>
    </w:p>
    <w:p w14:paraId="00789255" w14:textId="77777777" w:rsidR="00012C3C" w:rsidRDefault="00012C3C" w:rsidP="00012C3C">
      <w:pPr>
        <w:pStyle w:val="Heading4"/>
      </w:pPr>
      <w:r>
        <w:t xml:space="preserve">7] </w:t>
      </w:r>
      <w:r w:rsidRPr="0030523D">
        <w:t>Util can’t account for the particularity of eth</w:t>
      </w:r>
      <w:r>
        <w:t>ics - pleasure is only good if appropriate</w:t>
      </w:r>
      <w:r w:rsidRPr="0030523D">
        <w:t xml:space="preserve"> – </w:t>
      </w:r>
      <w:proofErr w:type="gramStart"/>
      <w:r w:rsidRPr="0030523D">
        <w:t>e.g.</w:t>
      </w:r>
      <w:proofErr w:type="gramEnd"/>
      <w:r w:rsidRPr="0030523D">
        <w:t xml:space="preserve"> pleasure from watching someone else be tortured would be bad</w:t>
      </w:r>
      <w:r>
        <w:t>, meaning the framework fails to be universal</w:t>
      </w:r>
    </w:p>
    <w:p w14:paraId="2C9267D9" w14:textId="77777777" w:rsidR="00012C3C" w:rsidRDefault="00012C3C" w:rsidP="00012C3C">
      <w:pPr>
        <w:pStyle w:val="Heading4"/>
      </w:pPr>
      <w:r>
        <w:t xml:space="preserve">8] </w:t>
      </w:r>
      <w:r w:rsidRPr="0030523D">
        <w:t xml:space="preserve">Util incorrectly takes </w:t>
      </w:r>
      <w:r>
        <w:t xml:space="preserve">an </w:t>
      </w:r>
      <w:r w:rsidRPr="0030523D">
        <w:t>imper</w:t>
      </w:r>
      <w:r>
        <w:t xml:space="preserve">sonal view of pleasure and pain since goodness and badness of sentiments are always particular -- </w:t>
      </w:r>
      <w:proofErr w:type="gramStart"/>
      <w:r w:rsidRPr="0030523D">
        <w:t>e.g.</w:t>
      </w:r>
      <w:proofErr w:type="gramEnd"/>
      <w:r w:rsidRPr="0030523D">
        <w:t xml:space="preserve"> a murderer who feels pain because of their guilt should fee</w:t>
      </w:r>
      <w:r>
        <w:t>l worse than an innocent person</w:t>
      </w:r>
      <w:r w:rsidRPr="001F73C4">
        <w:t xml:space="preserve"> </w:t>
      </w:r>
    </w:p>
    <w:p w14:paraId="07A6C6AE" w14:textId="77777777" w:rsidR="00012C3C" w:rsidRPr="00530392" w:rsidRDefault="00012C3C" w:rsidP="00012C3C">
      <w:pPr>
        <w:pStyle w:val="Heading4"/>
      </w:pPr>
      <w:r>
        <w:t>9] Util is terrible at handling exceptions – [A] if a utility monster gained infinite pleasure from eating everybody that’s still a bad thing [B] if all of humanity was put into pleasure machines that injected pleasure into our brains yes that maximizes pleasure but it fails to respect value to life [C] things like slavery can never be justified but util justifies one instance of slavery lifting a billion people out of poverty for the rest of their lives</w:t>
      </w:r>
    </w:p>
    <w:p w14:paraId="2420ADD5" w14:textId="2BC608B9" w:rsidR="00012C3C" w:rsidRDefault="00012C3C" w:rsidP="00012C3C">
      <w:pPr>
        <w:pStyle w:val="Heading4"/>
      </w:pPr>
      <w:r>
        <w:lastRenderedPageBreak/>
        <w:t>[10] Hobbes hijacks: a] subjective interpretations of everything like pain, pleasure, etc. means your morality fails unless a sovereign can reconcile different understandings of morality b] Even if util is true, people only follow it to look good to others and feel good about themselves, so it collapses to self-interest anyway c] The state of nature contains infinite actions that cause pain, so the only way to ensure util is upheld is through the existence of a sovereign.</w:t>
      </w:r>
    </w:p>
    <w:p w14:paraId="67496577" w14:textId="74893C99" w:rsidR="00827351" w:rsidRPr="00827351" w:rsidRDefault="00827351" w:rsidP="00827351">
      <w:pPr>
        <w:pStyle w:val="Heading4"/>
      </w:pPr>
      <w:r>
        <w:t>No extinction first – a] causes policy paralysis, anything can cause decisions so we’ll never be able to decide on actions b] means we’ll never focus on issues that are happening every day</w:t>
      </w:r>
    </w:p>
    <w:p w14:paraId="44520F9B" w14:textId="7897C72C" w:rsidR="0019620C" w:rsidRDefault="0019620C" w:rsidP="00012C3C">
      <w:pPr>
        <w:pStyle w:val="Heading2"/>
      </w:pPr>
      <w:r>
        <w:lastRenderedPageBreak/>
        <w:t>A2 Case</w:t>
      </w:r>
    </w:p>
    <w:p w14:paraId="203F8E8F" w14:textId="77777777" w:rsidR="003E37A1" w:rsidRPr="009B543C" w:rsidRDefault="003E37A1" w:rsidP="003E37A1">
      <w:pPr>
        <w:pStyle w:val="Heading4"/>
      </w:pPr>
      <w:r>
        <w:t>1] Yes alt</w:t>
      </w:r>
      <w:r w:rsidRPr="009B543C">
        <w:t xml:space="preserve"> cause to collision - space exploration and development from non-private entities. Even if private entities are banned, government agencies will still be present. The ones listed in the card are only in the U.S – other international agencies also exist.</w:t>
      </w:r>
    </w:p>
    <w:p w14:paraId="414CD060" w14:textId="77777777" w:rsidR="003E37A1" w:rsidRPr="009B543C" w:rsidRDefault="003E37A1" w:rsidP="003E37A1">
      <w:pPr>
        <w:rPr>
          <w:b/>
          <w:bCs/>
          <w:sz w:val="26"/>
        </w:rPr>
      </w:pPr>
      <w:r w:rsidRPr="009B543C">
        <w:rPr>
          <w:rStyle w:val="Style13ptBold"/>
        </w:rPr>
        <w:t xml:space="preserve">Georgetown Law 20 </w:t>
      </w:r>
      <w:r w:rsidRPr="009B543C">
        <w:t>(Georgetown Law. “Space Law: The Law of Outer Space: Other U.S. Government Agencies Involved in Space Policy &amp;amp; Regulation.” Guides, Georgetown Law, 8 Dec. 2020, guides.ll.georgetown.edu/</w:t>
      </w:r>
      <w:proofErr w:type="spellStart"/>
      <w:r w:rsidRPr="009B543C">
        <w:t>c.php?g</w:t>
      </w:r>
      <w:proofErr w:type="spellEnd"/>
      <w:r w:rsidRPr="009B543C">
        <w:t>=1037047&amp;</w:t>
      </w:r>
      <w:proofErr w:type="gramStart"/>
      <w:r w:rsidRPr="009B543C">
        <w:t>amp;p</w:t>
      </w:r>
      <w:proofErr w:type="gramEnd"/>
      <w:r w:rsidRPr="009B543C">
        <w:t>=7762102.)//</w:t>
      </w:r>
      <w:r w:rsidRPr="00F345CB">
        <w:t xml:space="preserve"> </w:t>
      </w:r>
      <w:r w:rsidRPr="009B543C">
        <w:t>D</w:t>
      </w:r>
      <w:r>
        <w:t>ebateDrills</w:t>
      </w:r>
      <w:r w:rsidRPr="009B543C">
        <w:t xml:space="preserve"> </w:t>
      </w:r>
      <w:r>
        <w:t>A</w:t>
      </w:r>
      <w:r w:rsidRPr="009B543C">
        <w:t>Y</w:t>
      </w:r>
    </w:p>
    <w:p w14:paraId="3AE2D734" w14:textId="60C1C052" w:rsidR="003E37A1" w:rsidRDefault="003E37A1" w:rsidP="003E37A1">
      <w:pPr>
        <w:rPr>
          <w:rFonts w:asciiTheme="majorHAnsi" w:hAnsiTheme="majorHAnsi" w:cstheme="majorBidi"/>
          <w:sz w:val="16"/>
          <w:szCs w:val="16"/>
        </w:rPr>
      </w:pPr>
      <w:r w:rsidRPr="0595A8E4">
        <w:rPr>
          <w:rStyle w:val="Emphasis"/>
          <w:rFonts w:asciiTheme="majorHAnsi" w:hAnsiTheme="majorHAnsi" w:cstheme="majorBidi"/>
          <w:highlight w:val="green"/>
        </w:rPr>
        <w:t xml:space="preserve">In addition to </w:t>
      </w:r>
      <w:r w:rsidRPr="0595A8E4">
        <w:rPr>
          <w:rFonts w:asciiTheme="majorHAnsi" w:hAnsiTheme="majorHAnsi" w:cstheme="majorBidi"/>
          <w:sz w:val="16"/>
          <w:szCs w:val="16"/>
        </w:rPr>
        <w:t>the</w:t>
      </w:r>
      <w:r w:rsidRPr="0595A8E4">
        <w:rPr>
          <w:rStyle w:val="Emphasis"/>
          <w:rFonts w:asciiTheme="majorHAnsi" w:hAnsiTheme="majorHAnsi" w:cstheme="majorBidi"/>
          <w:highlight w:val="green"/>
        </w:rPr>
        <w:t> </w:t>
      </w:r>
      <w:hyperlink r:id="rId10">
        <w:r w:rsidRPr="0595A8E4">
          <w:rPr>
            <w:rStyle w:val="Emphasis"/>
            <w:rFonts w:asciiTheme="majorHAnsi" w:hAnsiTheme="majorHAnsi" w:cstheme="majorBidi"/>
            <w:highlight w:val="green"/>
          </w:rPr>
          <w:t>NASA</w:t>
        </w:r>
      </w:hyperlink>
      <w:r w:rsidRPr="0595A8E4">
        <w:rPr>
          <w:rStyle w:val="Emphasis"/>
          <w:rFonts w:asciiTheme="majorHAnsi" w:hAnsiTheme="majorHAnsi" w:cstheme="majorBidi"/>
          <w:highlight w:val="green"/>
        </w:rPr>
        <w:t>,</w:t>
      </w:r>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which is responsible for the U.S. civilian space program and for aeronautical and space-related research, </w:t>
      </w:r>
      <w:r w:rsidRPr="0595A8E4">
        <w:rPr>
          <w:rStyle w:val="Emphasis"/>
          <w:rFonts w:asciiTheme="majorHAnsi" w:hAnsiTheme="majorHAnsi" w:cstheme="majorBidi"/>
          <w:highlight w:val="green"/>
        </w:rPr>
        <w:t xml:space="preserve">many other U.S. federal agencies are involved in the development of </w:t>
      </w:r>
      <w:r w:rsidRPr="0595A8E4">
        <w:rPr>
          <w:rFonts w:asciiTheme="majorHAnsi" w:hAnsiTheme="majorHAnsi" w:cstheme="majorBidi"/>
          <w:sz w:val="16"/>
          <w:szCs w:val="16"/>
        </w:rPr>
        <w:t xml:space="preserve">space policy and in the regulation of </w:t>
      </w:r>
      <w:r w:rsidRPr="0595A8E4">
        <w:rPr>
          <w:rStyle w:val="Emphasis"/>
          <w:rFonts w:asciiTheme="majorHAnsi" w:hAnsiTheme="majorHAnsi" w:cstheme="majorBidi"/>
          <w:highlight w:val="green"/>
        </w:rPr>
        <w:t>space-related activities.</w:t>
      </w:r>
      <w:r w:rsidRPr="0595A8E4">
        <w:rPr>
          <w:rFonts w:asciiTheme="majorHAnsi" w:hAnsiTheme="majorHAnsi" w:cstheme="majorBidi"/>
          <w:sz w:val="16"/>
          <w:szCs w:val="16"/>
        </w:rPr>
        <w:t xml:space="preserve">  Listed below are links to the websites of selected federal agencies that play a significant role in formulating and implementing U.S. space policy, particularly as it relates to national security and to the emerging commercial space industry. </w:t>
      </w:r>
      <w:r w:rsidRPr="0595A8E4">
        <w:rPr>
          <w:rStyle w:val="Emphasis"/>
          <w:rFonts w:asciiTheme="majorHAnsi" w:hAnsiTheme="majorHAnsi" w:cstheme="majorBidi"/>
          <w:highlight w:val="green"/>
        </w:rPr>
        <w:t>U.S. Department of Commerce</w:t>
      </w:r>
      <w:r w:rsidRPr="0595A8E4">
        <w:rPr>
          <w:rStyle w:val="Emphasis"/>
          <w:rFonts w:asciiTheme="majorHAnsi" w:hAnsiTheme="majorHAnsi" w:cstheme="majorBidi"/>
        </w:rPr>
        <w:t xml:space="preserve"> </w:t>
      </w:r>
      <w:proofErr w:type="gramStart"/>
      <w:r w:rsidRPr="0595A8E4">
        <w:rPr>
          <w:rFonts w:asciiTheme="majorHAnsi" w:hAnsiTheme="majorHAnsi" w:cstheme="majorBidi"/>
          <w:sz w:val="16"/>
          <w:szCs w:val="16"/>
        </w:rPr>
        <w:t>The</w:t>
      </w:r>
      <w:proofErr w:type="gramEnd"/>
      <w:r w:rsidRPr="0595A8E4">
        <w:rPr>
          <w:rFonts w:asciiTheme="majorHAnsi" w:hAnsiTheme="majorHAnsi" w:cstheme="majorBidi"/>
          <w:sz w:val="16"/>
          <w:szCs w:val="16"/>
        </w:rPr>
        <w:t xml:space="preserve"> Commerce Department helps to promote economic growth by gathering economic and demographic data to facilitate decision making by government agencies and private industry, and by helping to establish uniform scientific and industrial standards. </w:t>
      </w:r>
      <w:r w:rsidRPr="0595A8E4">
        <w:rPr>
          <w:rStyle w:val="Emphasis"/>
          <w:rFonts w:asciiTheme="majorHAnsi" w:hAnsiTheme="majorHAnsi" w:cstheme="majorBidi"/>
          <w:highlight w:val="green"/>
        </w:rPr>
        <w:t>National Oceanic and Atmospheric Administration NOAA</w:t>
      </w:r>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is a scientific agency within the Department of Commerce. </w:t>
      </w:r>
      <w:hyperlink r:id="rId11">
        <w:r w:rsidRPr="0595A8E4">
          <w:rPr>
            <w:rStyle w:val="Hyperlink"/>
            <w:rFonts w:asciiTheme="majorHAnsi" w:hAnsiTheme="majorHAnsi" w:cstheme="majorBidi"/>
            <w:sz w:val="16"/>
            <w:szCs w:val="16"/>
          </w:rPr>
          <w:t>Office of Space Commerce</w:t>
        </w:r>
      </w:hyperlink>
      <w:r w:rsidRPr="0595A8E4">
        <w:rPr>
          <w:rFonts w:asciiTheme="majorHAnsi" w:hAnsiTheme="majorHAnsi" w:cstheme="majorBidi"/>
          <w:sz w:val="16"/>
          <w:szCs w:val="16"/>
        </w:rPr>
        <w:t xml:space="preserve"> This NOAA office coordinates the development of </w:t>
      </w:r>
      <w:hyperlink r:id="rId12">
        <w:r w:rsidRPr="0595A8E4">
          <w:rPr>
            <w:rStyle w:val="Hyperlink"/>
            <w:rFonts w:asciiTheme="majorHAnsi" w:hAnsiTheme="majorHAnsi" w:cstheme="majorBidi"/>
            <w:sz w:val="16"/>
            <w:szCs w:val="16"/>
          </w:rPr>
          <w:t>commercial space policy</w:t>
        </w:r>
      </w:hyperlink>
      <w:r w:rsidRPr="0595A8E4">
        <w:rPr>
          <w:rFonts w:asciiTheme="majorHAnsi" w:hAnsiTheme="majorHAnsi" w:cstheme="majorBidi"/>
          <w:sz w:val="16"/>
          <w:szCs w:val="16"/>
        </w:rPr>
        <w:t xml:space="preserve"> within the Department of Commerce.  Its mission is to facilitate the development of emerging space-related industries. </w:t>
      </w:r>
      <w:hyperlink r:id="rId13">
        <w:r w:rsidRPr="0595A8E4">
          <w:rPr>
            <w:rStyle w:val="Emphasis"/>
            <w:rFonts w:asciiTheme="majorHAnsi" w:hAnsiTheme="majorHAnsi" w:cstheme="majorBidi"/>
            <w:highlight w:val="green"/>
          </w:rPr>
          <w:t>National Environmental Satellite, Data, and Information Service</w:t>
        </w:r>
        <w:r>
          <w:br/>
        </w:r>
      </w:hyperlink>
      <w:r w:rsidRPr="0595A8E4">
        <w:rPr>
          <w:rFonts w:asciiTheme="majorHAnsi" w:hAnsiTheme="majorHAnsi" w:cstheme="majorBidi"/>
          <w:sz w:val="16"/>
          <w:szCs w:val="16"/>
        </w:rPr>
        <w:t xml:space="preserve">The </w:t>
      </w:r>
      <w:r w:rsidRPr="0595A8E4">
        <w:rPr>
          <w:rStyle w:val="Emphasis"/>
          <w:rFonts w:asciiTheme="majorHAnsi" w:hAnsiTheme="majorHAnsi" w:cstheme="majorBidi"/>
          <w:highlight w:val="green"/>
        </w:rPr>
        <w:t>NESDIS</w:t>
      </w:r>
      <w:r w:rsidRPr="0595A8E4">
        <w:rPr>
          <w:rFonts w:asciiTheme="majorHAnsi" w:hAnsiTheme="majorHAnsi" w:cstheme="majorBidi"/>
          <w:sz w:val="16"/>
          <w:szCs w:val="16"/>
        </w:rPr>
        <w:t xml:space="preserve"> manages data and information collected by meteorological satellites</w:t>
      </w:r>
      <w:r w:rsidRPr="0595A8E4">
        <w:rPr>
          <w:rStyle w:val="Emphasis"/>
          <w:rFonts w:asciiTheme="majorHAnsi" w:hAnsiTheme="majorHAnsi" w:cstheme="majorBidi"/>
          <w:highlight w:val="green"/>
        </w:rPr>
        <w:t xml:space="preserve">. </w:t>
      </w:r>
      <w:hyperlink r:id="rId14">
        <w:r w:rsidRPr="0595A8E4">
          <w:rPr>
            <w:rStyle w:val="Emphasis"/>
            <w:rFonts w:asciiTheme="majorHAnsi" w:hAnsiTheme="majorHAnsi" w:cstheme="majorBidi"/>
            <w:highlight w:val="green"/>
          </w:rPr>
          <w:t>Commercial Remote Sensing Regulatory Affairs</w:t>
        </w:r>
      </w:hyperlink>
      <w:r w:rsidRPr="0595A8E4">
        <w:rPr>
          <w:rFonts w:asciiTheme="majorHAnsi" w:hAnsiTheme="majorHAnsi" w:cstheme="majorBidi"/>
          <w:sz w:val="16"/>
          <w:szCs w:val="16"/>
        </w:rPr>
        <w:t xml:space="preserve"> The </w:t>
      </w:r>
      <w:r w:rsidRPr="0595A8E4">
        <w:rPr>
          <w:rStyle w:val="Emphasis"/>
          <w:rFonts w:asciiTheme="majorHAnsi" w:hAnsiTheme="majorHAnsi" w:cstheme="majorBidi"/>
          <w:highlight w:val="green"/>
        </w:rPr>
        <w:t>CRSRA</w:t>
      </w:r>
      <w:r w:rsidRPr="0595A8E4">
        <w:rPr>
          <w:rFonts w:asciiTheme="majorHAnsi" w:hAnsiTheme="majorHAnsi" w:cstheme="majorBidi"/>
          <w:sz w:val="16"/>
          <w:szCs w:val="16"/>
        </w:rPr>
        <w:t xml:space="preserve"> licenses the commercial use of remote sensing satellite technologies, which collect images of the Earth's surface and related data, by individuals and entities who are subject to the jurisdiction of the U.S. </w:t>
      </w:r>
      <w:hyperlink r:id="rId15">
        <w:r w:rsidRPr="0595A8E4">
          <w:rPr>
            <w:rStyle w:val="Emphasis"/>
            <w:rFonts w:asciiTheme="majorHAnsi" w:hAnsiTheme="majorHAnsi" w:cstheme="majorBidi"/>
            <w:highlight w:val="green"/>
          </w:rPr>
          <w:t>National Telecommunications and Information Administration</w:t>
        </w:r>
      </w:hyperlink>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The </w:t>
      </w:r>
      <w:r w:rsidRPr="0595A8E4">
        <w:rPr>
          <w:rStyle w:val="Emphasis"/>
          <w:rFonts w:asciiTheme="majorHAnsi" w:hAnsiTheme="majorHAnsi" w:cstheme="majorBidi"/>
          <w:highlight w:val="green"/>
        </w:rPr>
        <w:t>NTIA</w:t>
      </w:r>
      <w:r w:rsidRPr="0595A8E4">
        <w:rPr>
          <w:rFonts w:asciiTheme="majorHAnsi" w:hAnsiTheme="majorHAnsi" w:cstheme="majorBidi"/>
          <w:sz w:val="16"/>
          <w:szCs w:val="16"/>
        </w:rPr>
        <w:t xml:space="preserve"> is a scientific agency within the Department of Commerce.  Along with the </w:t>
      </w:r>
      <w:hyperlink r:id="rId16">
        <w:r w:rsidRPr="0595A8E4">
          <w:rPr>
            <w:rStyle w:val="Hyperlink"/>
            <w:rFonts w:asciiTheme="majorHAnsi" w:hAnsiTheme="majorHAnsi" w:cstheme="majorBidi"/>
            <w:sz w:val="16"/>
            <w:szCs w:val="16"/>
          </w:rPr>
          <w:t>Federal Communications Commission (FCC)</w:t>
        </w:r>
      </w:hyperlink>
      <w:r w:rsidRPr="0595A8E4">
        <w:rPr>
          <w:rFonts w:asciiTheme="majorHAnsi" w:hAnsiTheme="majorHAnsi" w:cstheme="majorBidi"/>
          <w:sz w:val="16"/>
          <w:szCs w:val="16"/>
        </w:rPr>
        <w:t>, an independent agency, the NTIA is jointly responsible for allocating the </w:t>
      </w:r>
      <w:hyperlink r:id="rId17">
        <w:r w:rsidRPr="0595A8E4">
          <w:rPr>
            <w:rStyle w:val="Hyperlink"/>
            <w:rFonts w:asciiTheme="majorHAnsi" w:hAnsiTheme="majorHAnsi" w:cstheme="majorBidi"/>
            <w:sz w:val="16"/>
            <w:szCs w:val="16"/>
          </w:rPr>
          <w:t>radio spectrum</w:t>
        </w:r>
      </w:hyperlink>
      <w:r w:rsidRPr="0595A8E4">
        <w:rPr>
          <w:rFonts w:asciiTheme="majorHAnsi" w:hAnsiTheme="majorHAnsi" w:cstheme="majorBidi"/>
          <w:sz w:val="16"/>
          <w:szCs w:val="16"/>
        </w:rPr>
        <w:t> used by telecommunications satellites operated by the federal government and by private industry. </w:t>
      </w:r>
      <w:r w:rsidRPr="0595A8E4">
        <w:rPr>
          <w:rStyle w:val="Emphasis"/>
          <w:rFonts w:asciiTheme="majorHAnsi" w:hAnsiTheme="majorHAnsi" w:cstheme="majorBidi"/>
          <w:highlight w:val="green"/>
        </w:rPr>
        <w:t>U.S. Department of Defense</w:t>
      </w:r>
      <w:r w:rsidRPr="0595A8E4">
        <w:rPr>
          <w:rFonts w:asciiTheme="majorHAnsi" w:hAnsiTheme="majorHAnsi" w:cstheme="majorBidi"/>
          <w:sz w:val="16"/>
          <w:szCs w:val="16"/>
        </w:rPr>
        <w:t xml:space="preserve"> </w:t>
      </w:r>
      <w:proofErr w:type="gramStart"/>
      <w:r w:rsidRPr="0595A8E4">
        <w:rPr>
          <w:rFonts w:asciiTheme="majorHAnsi" w:hAnsiTheme="majorHAnsi" w:cstheme="majorBidi"/>
          <w:sz w:val="16"/>
          <w:szCs w:val="16"/>
        </w:rPr>
        <w:t>The</w:t>
      </w:r>
      <w:proofErr w:type="gramEnd"/>
      <w:r w:rsidRPr="0595A8E4">
        <w:rPr>
          <w:rFonts w:asciiTheme="majorHAnsi" w:hAnsiTheme="majorHAnsi" w:cstheme="majorBidi"/>
          <w:sz w:val="16"/>
          <w:szCs w:val="16"/>
        </w:rPr>
        <w:t xml:space="preserve"> Defense Department coordinates U.S. national security policy and overseas all branches of the U.S. armed forces. </w:t>
      </w:r>
      <w:hyperlink r:id="rId18">
        <w:r w:rsidRPr="0595A8E4">
          <w:rPr>
            <w:rStyle w:val="Emphasis"/>
            <w:rFonts w:asciiTheme="majorHAnsi" w:hAnsiTheme="majorHAnsi" w:cstheme="majorBidi"/>
            <w:highlight w:val="green"/>
          </w:rPr>
          <w:t>Assistant Secretary of Defense for Homeland Defense and Global Security</w:t>
        </w:r>
      </w:hyperlink>
      <w:r w:rsidRPr="0595A8E4">
        <w:rPr>
          <w:rStyle w:val="Emphasis"/>
          <w:rFonts w:asciiTheme="majorHAnsi" w:hAnsiTheme="majorHAnsi" w:cstheme="majorBidi"/>
          <w:highlight w:val="green"/>
        </w:rPr>
        <w:t xml:space="preserve"> </w:t>
      </w:r>
      <w:r w:rsidRPr="0595A8E4">
        <w:rPr>
          <w:rFonts w:asciiTheme="majorHAnsi" w:hAnsiTheme="majorHAnsi" w:cstheme="majorBidi"/>
          <w:sz w:val="16"/>
          <w:szCs w:val="16"/>
        </w:rPr>
        <w:t>The</w:t>
      </w:r>
      <w:r w:rsidRPr="0595A8E4">
        <w:rPr>
          <w:rStyle w:val="Emphasis"/>
          <w:rFonts w:asciiTheme="majorHAnsi" w:hAnsiTheme="majorHAnsi" w:cstheme="majorBidi"/>
          <w:highlight w:val="green"/>
        </w:rPr>
        <w:t xml:space="preserve"> ASD</w:t>
      </w:r>
      <w:r w:rsidRPr="0595A8E4">
        <w:rPr>
          <w:rFonts w:asciiTheme="majorHAnsi" w:hAnsiTheme="majorHAnsi" w:cstheme="majorBidi"/>
          <w:sz w:val="16"/>
          <w:szCs w:val="16"/>
        </w:rPr>
        <w:t xml:space="preserve"> is responsible for formulating </w:t>
      </w:r>
      <w:hyperlink r:id="rId19">
        <w:r w:rsidRPr="0595A8E4">
          <w:rPr>
            <w:rStyle w:val="Hyperlink"/>
            <w:rFonts w:asciiTheme="majorHAnsi" w:hAnsiTheme="majorHAnsi" w:cstheme="majorBidi"/>
            <w:sz w:val="16"/>
            <w:szCs w:val="16"/>
          </w:rPr>
          <w:t>national security strategy for outer space</w:t>
        </w:r>
      </w:hyperlink>
      <w:r w:rsidRPr="0595A8E4">
        <w:rPr>
          <w:rFonts w:asciiTheme="majorHAnsi" w:hAnsiTheme="majorHAnsi" w:cstheme="majorBidi"/>
          <w:sz w:val="16"/>
          <w:szCs w:val="16"/>
        </w:rPr>
        <w:t xml:space="preserve">, among other matters. </w:t>
      </w:r>
      <w:hyperlink r:id="rId20">
        <w:r w:rsidRPr="0595A8E4">
          <w:rPr>
            <w:rStyle w:val="Emphasis"/>
            <w:rFonts w:asciiTheme="majorHAnsi" w:hAnsiTheme="majorHAnsi" w:cstheme="majorBidi"/>
            <w:highlight w:val="green"/>
          </w:rPr>
          <w:t>U.S. Space Force</w:t>
        </w:r>
      </w:hyperlink>
      <w:r w:rsidRPr="0595A8E4">
        <w:rPr>
          <w:rFonts w:asciiTheme="majorHAnsi" w:hAnsiTheme="majorHAnsi" w:cstheme="majorBidi"/>
          <w:sz w:val="16"/>
          <w:szCs w:val="16"/>
        </w:rPr>
        <w:t xml:space="preserve"> The newest branch of the U.S. armed forces was established on December 19, 2019, with the signing of the U.S. Space Forces Act, part of the </w:t>
      </w:r>
      <w:hyperlink r:id="rId21">
        <w:r w:rsidRPr="0595A8E4">
          <w:rPr>
            <w:rStyle w:val="Hyperlink"/>
            <w:rFonts w:asciiTheme="majorHAnsi" w:hAnsiTheme="majorHAnsi" w:cstheme="majorBidi"/>
            <w:sz w:val="16"/>
            <w:szCs w:val="16"/>
          </w:rPr>
          <w:t>Defense Authorization Act of 2020</w:t>
        </w:r>
      </w:hyperlink>
      <w:r w:rsidRPr="0595A8E4">
        <w:rPr>
          <w:rFonts w:asciiTheme="majorHAnsi" w:hAnsiTheme="majorHAnsi" w:cstheme="majorBidi"/>
          <w:sz w:val="16"/>
          <w:szCs w:val="16"/>
        </w:rPr>
        <w:t xml:space="preserve">.  It is organized as a military service branch within the Department of the Air Force and is directed by the Chief of Space Operations. </w:t>
      </w:r>
      <w:r w:rsidRPr="0595A8E4">
        <w:rPr>
          <w:rStyle w:val="Emphasis"/>
          <w:rFonts w:asciiTheme="majorHAnsi" w:hAnsiTheme="majorHAnsi" w:cstheme="majorBidi"/>
          <w:highlight w:val="green"/>
        </w:rPr>
        <w:t>U.S. Department of State</w:t>
      </w:r>
      <w:r>
        <w:br/>
      </w:r>
      <w:r w:rsidRPr="0595A8E4">
        <w:rPr>
          <w:rFonts w:asciiTheme="majorHAnsi" w:hAnsiTheme="majorHAnsi" w:cstheme="majorBidi"/>
          <w:sz w:val="16"/>
          <w:szCs w:val="16"/>
        </w:rPr>
        <w:t xml:space="preserve">The State Department is responsible for U.S. foreign policy and international relations. </w:t>
      </w:r>
      <w:hyperlink r:id="rId22">
        <w:r w:rsidRPr="0595A8E4">
          <w:rPr>
            <w:rStyle w:val="Emphasis"/>
            <w:rFonts w:asciiTheme="majorHAnsi" w:hAnsiTheme="majorHAnsi" w:cstheme="majorBidi"/>
            <w:highlight w:val="green"/>
          </w:rPr>
          <w:t>Office of Emerging Security Challenges</w:t>
        </w:r>
      </w:hyperlink>
      <w:r w:rsidRPr="0595A8E4">
        <w:rPr>
          <w:rFonts w:asciiTheme="majorHAnsi" w:hAnsiTheme="majorHAnsi" w:cstheme="majorBidi"/>
          <w:sz w:val="16"/>
          <w:szCs w:val="16"/>
        </w:rPr>
        <w:t xml:space="preserve"> This office works cooperatively with U.S. allies on issues of space security and missile defense</w:t>
      </w:r>
      <w:r w:rsidRPr="0595A8E4">
        <w:rPr>
          <w:rStyle w:val="Emphasis"/>
          <w:rFonts w:asciiTheme="majorHAnsi" w:hAnsiTheme="majorHAnsi" w:cstheme="majorBidi"/>
          <w:highlight w:val="green"/>
        </w:rPr>
        <w:t xml:space="preserve">. </w:t>
      </w:r>
      <w:hyperlink r:id="rId23">
        <w:r w:rsidRPr="0595A8E4">
          <w:rPr>
            <w:rStyle w:val="Emphasis"/>
            <w:rFonts w:asciiTheme="majorHAnsi" w:hAnsiTheme="majorHAnsi" w:cstheme="majorBidi"/>
            <w:highlight w:val="green"/>
          </w:rPr>
          <w:t>Office of Space and Advanced Technology</w:t>
        </w:r>
      </w:hyperlink>
      <w:r w:rsidRPr="0595A8E4">
        <w:rPr>
          <w:rFonts w:asciiTheme="majorHAnsi" w:hAnsiTheme="majorHAnsi" w:cstheme="majorBidi"/>
          <w:sz w:val="16"/>
          <w:szCs w:val="16"/>
        </w:rPr>
        <w:t xml:space="preserve"> This office helps to formulates policy on a </w:t>
      </w:r>
      <w:hyperlink r:id="rId24">
        <w:r w:rsidRPr="0595A8E4">
          <w:rPr>
            <w:rStyle w:val="Hyperlink"/>
            <w:rFonts w:asciiTheme="majorHAnsi" w:hAnsiTheme="majorHAnsi" w:cstheme="majorBidi"/>
            <w:sz w:val="16"/>
            <w:szCs w:val="16"/>
          </w:rPr>
          <w:t>wide range of topics</w:t>
        </w:r>
      </w:hyperlink>
      <w:r w:rsidRPr="0595A8E4">
        <w:rPr>
          <w:rFonts w:asciiTheme="majorHAnsi" w:hAnsiTheme="majorHAnsi" w:cstheme="majorBidi"/>
          <w:sz w:val="16"/>
          <w:szCs w:val="16"/>
        </w:rPr>
        <w:t xml:space="preserve">, including space diplomacy, the commercial development of space resources, and the regulation of artificial satellites, satellite navigation systems, and satellite-based earth observation systems. </w:t>
      </w:r>
      <w:r w:rsidRPr="0595A8E4">
        <w:rPr>
          <w:rStyle w:val="Emphasis"/>
          <w:rFonts w:asciiTheme="majorHAnsi" w:hAnsiTheme="majorHAnsi" w:cstheme="majorBidi"/>
          <w:highlight w:val="green"/>
        </w:rPr>
        <w:t xml:space="preserve">U.S. Department of Transportation -- Federal Aviation Administration </w:t>
      </w:r>
      <w:proofErr w:type="gramStart"/>
      <w:r w:rsidRPr="0595A8E4">
        <w:rPr>
          <w:rFonts w:asciiTheme="majorHAnsi" w:hAnsiTheme="majorHAnsi" w:cstheme="majorBidi"/>
          <w:sz w:val="16"/>
          <w:szCs w:val="16"/>
        </w:rPr>
        <w:t>The</w:t>
      </w:r>
      <w:proofErr w:type="gramEnd"/>
      <w:r w:rsidRPr="0595A8E4">
        <w:rPr>
          <w:rStyle w:val="Emphasis"/>
          <w:rFonts w:asciiTheme="majorHAnsi" w:hAnsiTheme="majorHAnsi" w:cstheme="majorBidi"/>
          <w:highlight w:val="green"/>
        </w:rPr>
        <w:t xml:space="preserve"> FAA</w:t>
      </w:r>
      <w:r w:rsidRPr="0595A8E4">
        <w:rPr>
          <w:rFonts w:asciiTheme="majorHAnsi" w:hAnsiTheme="majorHAnsi" w:cstheme="majorBidi"/>
          <w:sz w:val="16"/>
          <w:szCs w:val="16"/>
        </w:rPr>
        <w:t xml:space="preserve"> is a regulatory body within the Department of Transportation. </w:t>
      </w:r>
      <w:hyperlink r:id="rId25">
        <w:r w:rsidRPr="0595A8E4">
          <w:rPr>
            <w:rStyle w:val="Emphasis"/>
            <w:rFonts w:asciiTheme="majorHAnsi" w:hAnsiTheme="majorHAnsi" w:cstheme="majorBidi"/>
            <w:highlight w:val="green"/>
          </w:rPr>
          <w:t>Office of Commercial Space Transportation</w:t>
        </w:r>
      </w:hyperlink>
      <w:r w:rsidRPr="0595A8E4">
        <w:rPr>
          <w:rFonts w:asciiTheme="majorHAnsi" w:hAnsiTheme="majorHAnsi" w:cstheme="majorBidi"/>
          <w:sz w:val="16"/>
          <w:szCs w:val="16"/>
        </w:rPr>
        <w:t xml:space="preserve"> This FAA office is responsible for regulating the emerging commercial space transportation industry, ensuring its compliance with U.S. international space law obligations, as well as safeguarding public health and safety.  It also recommends changes to applicable federal statutes and regulations.</w:t>
      </w:r>
    </w:p>
    <w:p w14:paraId="6D57284A" w14:textId="6BFAD2E0" w:rsidR="00C428E5" w:rsidRDefault="00C428E5" w:rsidP="00C428E5">
      <w:pPr>
        <w:pStyle w:val="Heading4"/>
      </w:pPr>
      <w:r>
        <w:t xml:space="preserve">2] Turn, we solve -- </w:t>
      </w:r>
      <w:r w:rsidRPr="0595A8E4">
        <w:rPr>
          <w:rFonts w:eastAsia="Calibri" w:cs="Calibri"/>
          <w:color w:val="000000" w:themeColor="text1"/>
          <w:sz w:val="28"/>
          <w:szCs w:val="28"/>
        </w:rPr>
        <w:t xml:space="preserve">Partnerships between governments and private industry solves debris and only getting better --- major strides by 2024  </w:t>
      </w:r>
    </w:p>
    <w:p w14:paraId="43B1A2FB" w14:textId="77777777" w:rsidR="00C428E5" w:rsidRDefault="00C428E5" w:rsidP="00C428E5">
      <w:pPr>
        <w:spacing w:line="257" w:lineRule="auto"/>
      </w:pPr>
      <w:proofErr w:type="spellStart"/>
      <w:r w:rsidRPr="0595A8E4">
        <w:rPr>
          <w:rFonts w:eastAsia="Calibri"/>
          <w:b/>
          <w:bCs/>
          <w:color w:val="000000" w:themeColor="text1"/>
          <w:sz w:val="28"/>
          <w:szCs w:val="28"/>
        </w:rPr>
        <w:t>Pultarova</w:t>
      </w:r>
      <w:proofErr w:type="spellEnd"/>
      <w:r w:rsidRPr="0595A8E4">
        <w:rPr>
          <w:rFonts w:eastAsia="Calibri"/>
          <w:b/>
          <w:bCs/>
          <w:color w:val="000000" w:themeColor="text1"/>
          <w:sz w:val="28"/>
          <w:szCs w:val="28"/>
        </w:rPr>
        <w:t xml:space="preserve"> 21</w:t>
      </w:r>
    </w:p>
    <w:p w14:paraId="10C65A04" w14:textId="77777777" w:rsidR="00C428E5" w:rsidRDefault="00C428E5" w:rsidP="00C428E5">
      <w:pPr>
        <w:spacing w:line="257" w:lineRule="auto"/>
      </w:pPr>
      <w:r w:rsidRPr="0595A8E4">
        <w:rPr>
          <w:rFonts w:eastAsia="Calibri"/>
          <w:color w:val="000000" w:themeColor="text1"/>
          <w:szCs w:val="22"/>
        </w:rPr>
        <w:lastRenderedPageBreak/>
        <w:t xml:space="preserve">[Tereza </w:t>
      </w:r>
      <w:proofErr w:type="spellStart"/>
      <w:r w:rsidRPr="0595A8E4">
        <w:rPr>
          <w:rFonts w:eastAsia="Calibri"/>
          <w:color w:val="000000" w:themeColor="text1"/>
          <w:szCs w:val="22"/>
        </w:rPr>
        <w:t>Pultarova</w:t>
      </w:r>
      <w:proofErr w:type="spellEnd"/>
      <w:r w:rsidRPr="0595A8E4">
        <w:rPr>
          <w:rFonts w:eastAsia="Calibri"/>
          <w:color w:val="000000" w:themeColor="text1"/>
          <w:szCs w:val="22"/>
        </w:rPr>
        <w:t xml:space="preserve">, 05-26-2021, "Commercial space clean-up service could be ready in 2024," Space, </w:t>
      </w:r>
      <w:proofErr w:type="spellStart"/>
      <w:r w:rsidRPr="0595A8E4">
        <w:rPr>
          <w:rFonts w:eastAsia="Calibri"/>
          <w:color w:val="000000" w:themeColor="text1"/>
          <w:szCs w:val="22"/>
        </w:rPr>
        <w:t>ereza</w:t>
      </w:r>
      <w:proofErr w:type="spellEnd"/>
      <w:r w:rsidRPr="0595A8E4">
        <w:rPr>
          <w:rFonts w:eastAsia="Calibri"/>
          <w:color w:val="000000" w:themeColor="text1"/>
          <w:szCs w:val="22"/>
        </w:rPr>
        <w:t xml:space="preserve">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595A8E4">
        <w:rPr>
          <w:rFonts w:eastAsia="Calibri"/>
          <w:color w:val="000000" w:themeColor="text1"/>
          <w:szCs w:val="22"/>
        </w:rPr>
        <w:t>programmes</w:t>
      </w:r>
      <w:proofErr w:type="spellEnd"/>
      <w:r w:rsidRPr="0595A8E4">
        <w:rPr>
          <w:rFonts w:eastAsia="Calibri"/>
          <w:color w:val="000000" w:themeColor="text1"/>
          <w:szCs w:val="22"/>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r w:rsidRPr="0595A8E4">
          <w:rPr>
            <w:rStyle w:val="Hyperlink"/>
            <w:rFonts w:eastAsia="Calibri"/>
            <w:szCs w:val="22"/>
          </w:rPr>
          <w:t>https://www.space.com/commercial-space-debris-removal-2024-astroscale]//DebateDrillsWW</w:t>
        </w:r>
      </w:hyperlink>
    </w:p>
    <w:p w14:paraId="24781556" w14:textId="64A1E639" w:rsidR="00C428E5" w:rsidRDefault="00C428E5" w:rsidP="00C428E5">
      <w:pPr>
        <w:spacing w:line="257" w:lineRule="auto"/>
        <w:rPr>
          <w:rStyle w:val="Hyperlink"/>
          <w:rFonts w:eastAsia="Calibri"/>
          <w:sz w:val="28"/>
          <w:szCs w:val="28"/>
        </w:rPr>
      </w:pPr>
      <w:r w:rsidRPr="0595A8E4">
        <w:rPr>
          <w:rFonts w:eastAsia="Calibri"/>
          <w:color w:val="000000" w:themeColor="text1"/>
          <w:szCs w:val="22"/>
        </w:rPr>
        <w:t xml:space="preserve">"This </w:t>
      </w:r>
      <w:r w:rsidRPr="0595A8E4">
        <w:rPr>
          <w:rFonts w:eastAsia="Calibri"/>
          <w:b/>
          <w:bCs/>
          <w:color w:val="000000" w:themeColor="text1"/>
          <w:sz w:val="28"/>
          <w:szCs w:val="28"/>
          <w:highlight w:val="green"/>
          <w:u w:val="single"/>
        </w:rPr>
        <w:t xml:space="preserve">partnership with </w:t>
      </w:r>
      <w:proofErr w:type="spellStart"/>
      <w:r w:rsidRPr="0595A8E4">
        <w:rPr>
          <w:rFonts w:eastAsia="Calibri"/>
          <w:b/>
          <w:bCs/>
          <w:color w:val="000000" w:themeColor="text1"/>
          <w:sz w:val="28"/>
          <w:szCs w:val="28"/>
          <w:highlight w:val="green"/>
          <w:u w:val="single"/>
        </w:rPr>
        <w:t>OneWeb</w:t>
      </w:r>
      <w:proofErr w:type="spellEnd"/>
      <w:r w:rsidRPr="0595A8E4">
        <w:rPr>
          <w:rFonts w:eastAsia="Calibri"/>
          <w:color w:val="000000" w:themeColor="text1"/>
          <w:szCs w:val="22"/>
        </w:rPr>
        <w:t xml:space="preserve"> demonstrates their commitment to space sustainability and is the next step towards maturing our technologies </w:t>
      </w:r>
      <w:r w:rsidRPr="0595A8E4">
        <w:rPr>
          <w:rFonts w:eastAsia="Calibri"/>
          <w:b/>
          <w:bCs/>
          <w:color w:val="000000" w:themeColor="text1"/>
          <w:sz w:val="28"/>
          <w:szCs w:val="28"/>
          <w:u w:val="single"/>
        </w:rPr>
        <w:t xml:space="preserve">to </w:t>
      </w:r>
      <w:r w:rsidRPr="0595A8E4">
        <w:rPr>
          <w:rFonts w:eastAsia="Calibri"/>
          <w:b/>
          <w:bCs/>
          <w:color w:val="000000" w:themeColor="text1"/>
          <w:sz w:val="28"/>
          <w:szCs w:val="28"/>
          <w:highlight w:val="green"/>
          <w:u w:val="single"/>
        </w:rPr>
        <w:t>develop</w:t>
      </w:r>
      <w:r w:rsidRPr="0595A8E4">
        <w:rPr>
          <w:rFonts w:eastAsia="Calibri"/>
          <w:color w:val="000000" w:themeColor="text1"/>
          <w:szCs w:val="22"/>
        </w:rPr>
        <w:t xml:space="preserve"> a full-service </w:t>
      </w:r>
      <w:r w:rsidRPr="0595A8E4">
        <w:rPr>
          <w:rFonts w:eastAsia="Calibri"/>
          <w:b/>
          <w:bCs/>
          <w:color w:val="000000" w:themeColor="text1"/>
          <w:sz w:val="28"/>
          <w:szCs w:val="28"/>
          <w:highlight w:val="green"/>
          <w:u w:val="single"/>
        </w:rPr>
        <w:t>debris removal</w:t>
      </w:r>
      <w:r w:rsidRPr="0595A8E4">
        <w:rPr>
          <w:rFonts w:eastAsia="Calibri"/>
          <w:color w:val="000000" w:themeColor="text1"/>
          <w:szCs w:val="22"/>
        </w:rPr>
        <w:t xml:space="preserve"> offering </w:t>
      </w:r>
      <w:r w:rsidRPr="0595A8E4">
        <w:rPr>
          <w:rFonts w:eastAsia="Calibri"/>
          <w:b/>
          <w:bCs/>
          <w:color w:val="000000" w:themeColor="text1"/>
          <w:sz w:val="28"/>
          <w:szCs w:val="28"/>
          <w:u w:val="single"/>
        </w:rPr>
        <w:t>by 2024</w:t>
      </w:r>
      <w:r w:rsidRPr="0595A8E4">
        <w:rPr>
          <w:rFonts w:eastAsia="Calibri"/>
          <w:color w:val="000000" w:themeColor="text1"/>
          <w:szCs w:val="22"/>
        </w:rPr>
        <w:t xml:space="preserve">," John Auburn, managing director of </w:t>
      </w:r>
      <w:proofErr w:type="spellStart"/>
      <w:r w:rsidRPr="0595A8E4">
        <w:rPr>
          <w:rFonts w:eastAsia="Calibri"/>
          <w:color w:val="000000" w:themeColor="text1"/>
          <w:szCs w:val="22"/>
        </w:rPr>
        <w:t>Astroscale</w:t>
      </w:r>
      <w:proofErr w:type="spellEnd"/>
      <w:r w:rsidRPr="0595A8E4">
        <w:rPr>
          <w:rFonts w:eastAsia="Calibri"/>
          <w:color w:val="000000" w:themeColor="text1"/>
          <w:szCs w:val="22"/>
        </w:rPr>
        <w:t xml:space="preserve"> U.K. and group chief commercial officer </w:t>
      </w:r>
      <w:hyperlink r:id="rId27">
        <w:r w:rsidRPr="0595A8E4">
          <w:rPr>
            <w:rStyle w:val="Hyperlink"/>
            <w:rFonts w:eastAsia="Calibri"/>
            <w:szCs w:val="22"/>
          </w:rPr>
          <w:t>said in a statement</w:t>
        </w:r>
      </w:hyperlink>
      <w:r w:rsidRPr="0595A8E4">
        <w:rPr>
          <w:rFonts w:eastAsia="Calibri"/>
          <w:color w:val="000000" w:themeColor="text1"/>
          <w:szCs w:val="22"/>
        </w:rPr>
        <w:t xml:space="preserve">. </w:t>
      </w:r>
      <w:r w:rsidRPr="0595A8E4">
        <w:rPr>
          <w:rFonts w:eastAsia="Calibri"/>
          <w:color w:val="000000" w:themeColor="text1"/>
          <w:sz w:val="28"/>
          <w:szCs w:val="28"/>
          <w:highlight w:val="green"/>
          <w:u w:val="single"/>
        </w:rPr>
        <w:t>The</w:t>
      </w:r>
      <w:r w:rsidRPr="0595A8E4">
        <w:rPr>
          <w:rFonts w:eastAsia="Calibri"/>
          <w:color w:val="000000" w:themeColor="text1"/>
          <w:sz w:val="28"/>
          <w:szCs w:val="28"/>
          <w:u w:val="single"/>
        </w:rPr>
        <w:t xml:space="preserve"> new service </w:t>
      </w:r>
      <w:r w:rsidRPr="0595A8E4">
        <w:rPr>
          <w:rFonts w:eastAsia="Calibri"/>
          <w:b/>
          <w:bCs/>
          <w:color w:val="000000" w:themeColor="text1"/>
          <w:sz w:val="28"/>
          <w:szCs w:val="28"/>
          <w:u w:val="single"/>
        </w:rPr>
        <w:t>targets constellation operators</w:t>
      </w:r>
      <w:r w:rsidRPr="0595A8E4">
        <w:rPr>
          <w:rFonts w:eastAsia="Calibri"/>
          <w:color w:val="000000" w:themeColor="text1"/>
          <w:sz w:val="28"/>
          <w:szCs w:val="28"/>
          <w:u w:val="single"/>
        </w:rPr>
        <w:t xml:space="preserve"> and is called ELSA-M. </w:t>
      </w:r>
      <w:r w:rsidRPr="0595A8E4">
        <w:rPr>
          <w:rFonts w:eastAsia="Calibri"/>
          <w:b/>
          <w:bCs/>
          <w:color w:val="000000" w:themeColor="text1"/>
          <w:sz w:val="28"/>
          <w:szCs w:val="28"/>
          <w:u w:val="single"/>
        </w:rPr>
        <w:t xml:space="preserve">The </w:t>
      </w:r>
      <w:r w:rsidRPr="0595A8E4">
        <w:rPr>
          <w:rFonts w:eastAsia="Calibri"/>
          <w:b/>
          <w:bCs/>
          <w:color w:val="000000" w:themeColor="text1"/>
          <w:sz w:val="28"/>
          <w:szCs w:val="28"/>
          <w:highlight w:val="green"/>
          <w:u w:val="single"/>
        </w:rPr>
        <w:t>program</w:t>
      </w:r>
      <w:r w:rsidRPr="0595A8E4">
        <w:rPr>
          <w:rFonts w:eastAsia="Calibri"/>
          <w:b/>
          <w:bCs/>
          <w:color w:val="000000" w:themeColor="text1"/>
          <w:sz w:val="28"/>
          <w:szCs w:val="28"/>
          <w:u w:val="single"/>
        </w:rPr>
        <w:t xml:space="preserve"> would enable the </w:t>
      </w:r>
      <w:r w:rsidRPr="0595A8E4">
        <w:rPr>
          <w:rFonts w:eastAsia="Calibri"/>
          <w:b/>
          <w:bCs/>
          <w:color w:val="000000" w:themeColor="text1"/>
          <w:sz w:val="28"/>
          <w:szCs w:val="28"/>
          <w:highlight w:val="green"/>
          <w:u w:val="single"/>
        </w:rPr>
        <w:t>removal of</w:t>
      </w:r>
      <w:r w:rsidRPr="0595A8E4">
        <w:rPr>
          <w:rFonts w:eastAsia="Calibri"/>
          <w:b/>
          <w:bCs/>
          <w:color w:val="000000" w:themeColor="text1"/>
          <w:sz w:val="28"/>
          <w:szCs w:val="28"/>
          <w:u w:val="single"/>
        </w:rPr>
        <w:t xml:space="preserve"> </w:t>
      </w:r>
      <w:r w:rsidRPr="0595A8E4">
        <w:rPr>
          <w:rFonts w:eastAsia="Calibri"/>
          <w:color w:val="000000" w:themeColor="text1"/>
          <w:sz w:val="28"/>
          <w:szCs w:val="28"/>
          <w:u w:val="single"/>
        </w:rPr>
        <w:t xml:space="preserve">multiple </w:t>
      </w:r>
      <w:r w:rsidRPr="0595A8E4">
        <w:rPr>
          <w:rFonts w:eastAsia="Calibri"/>
          <w:b/>
          <w:bCs/>
          <w:color w:val="000000" w:themeColor="text1"/>
          <w:sz w:val="28"/>
          <w:szCs w:val="28"/>
          <w:u w:val="single"/>
        </w:rPr>
        <w:t xml:space="preserve">retired </w:t>
      </w:r>
      <w:r w:rsidRPr="0595A8E4">
        <w:rPr>
          <w:rFonts w:eastAsia="Calibri"/>
          <w:b/>
          <w:bCs/>
          <w:color w:val="000000" w:themeColor="text1"/>
          <w:sz w:val="28"/>
          <w:szCs w:val="28"/>
          <w:highlight w:val="green"/>
          <w:u w:val="single"/>
        </w:rPr>
        <w:t>satellites</w:t>
      </w:r>
      <w:r w:rsidRPr="0595A8E4">
        <w:rPr>
          <w:rFonts w:eastAsia="Calibri"/>
          <w:b/>
          <w:bCs/>
          <w:color w:val="000000" w:themeColor="text1"/>
          <w:sz w:val="28"/>
          <w:szCs w:val="28"/>
          <w:u w:val="single"/>
        </w:rPr>
        <w:t xml:space="preserve"> </w:t>
      </w:r>
      <w:r w:rsidRPr="0595A8E4">
        <w:rPr>
          <w:rFonts w:eastAsia="Calibri"/>
          <w:b/>
          <w:bCs/>
          <w:color w:val="000000" w:themeColor="text1"/>
          <w:sz w:val="28"/>
          <w:szCs w:val="28"/>
          <w:highlight w:val="green"/>
          <w:u w:val="single"/>
        </w:rPr>
        <w:t>in</w:t>
      </w:r>
      <w:r w:rsidRPr="0595A8E4">
        <w:rPr>
          <w:rFonts w:eastAsia="Calibri"/>
          <w:color w:val="000000" w:themeColor="text1"/>
          <w:sz w:val="28"/>
          <w:szCs w:val="28"/>
          <w:highlight w:val="green"/>
          <w:u w:val="single"/>
        </w:rPr>
        <w:t xml:space="preserve"> a</w:t>
      </w:r>
      <w:r w:rsidRPr="0595A8E4">
        <w:rPr>
          <w:rFonts w:eastAsia="Calibri"/>
          <w:color w:val="000000" w:themeColor="text1"/>
          <w:sz w:val="28"/>
          <w:szCs w:val="28"/>
          <w:u w:val="single"/>
        </w:rPr>
        <w:t xml:space="preserve"> </w:t>
      </w:r>
      <w:r w:rsidRPr="0595A8E4">
        <w:rPr>
          <w:rFonts w:eastAsia="Calibri"/>
          <w:b/>
          <w:bCs/>
          <w:color w:val="000000" w:themeColor="text1"/>
          <w:sz w:val="28"/>
          <w:szCs w:val="28"/>
          <w:u w:val="single"/>
        </w:rPr>
        <w:t xml:space="preserve">single </w:t>
      </w:r>
      <w:r w:rsidRPr="0595A8E4">
        <w:rPr>
          <w:rFonts w:eastAsia="Calibri"/>
          <w:b/>
          <w:bCs/>
          <w:color w:val="000000" w:themeColor="text1"/>
          <w:sz w:val="28"/>
          <w:szCs w:val="28"/>
          <w:highlight w:val="green"/>
          <w:u w:val="single"/>
        </w:rPr>
        <w:t>mission</w:t>
      </w:r>
      <w:r w:rsidRPr="0595A8E4">
        <w:rPr>
          <w:rFonts w:eastAsia="Calibri"/>
          <w:color w:val="000000" w:themeColor="text1"/>
          <w:sz w:val="28"/>
          <w:szCs w:val="28"/>
          <w:u w:val="single"/>
        </w:rPr>
        <w:t xml:space="preserve">, thus </w:t>
      </w:r>
      <w:r w:rsidRPr="0595A8E4">
        <w:rPr>
          <w:rFonts w:eastAsia="Calibri"/>
          <w:b/>
          <w:bCs/>
          <w:color w:val="000000" w:themeColor="text1"/>
          <w:sz w:val="28"/>
          <w:szCs w:val="28"/>
          <w:u w:val="single"/>
        </w:rPr>
        <w:t>reducing cost</w:t>
      </w:r>
      <w:r w:rsidRPr="0595A8E4">
        <w:rPr>
          <w:rFonts w:eastAsia="Calibri"/>
          <w:color w:val="000000" w:themeColor="text1"/>
          <w:sz w:val="28"/>
          <w:szCs w:val="28"/>
          <w:u w:val="single"/>
        </w:rPr>
        <w:t xml:space="preserve"> for the client, the company said in the statement. </w:t>
      </w:r>
      <w:r w:rsidRPr="0595A8E4">
        <w:rPr>
          <w:rFonts w:eastAsia="Calibri"/>
          <w:b/>
          <w:bCs/>
          <w:color w:val="000000" w:themeColor="text1"/>
          <w:sz w:val="28"/>
          <w:szCs w:val="28"/>
          <w:u w:val="single"/>
        </w:rPr>
        <w:t>The</w:t>
      </w:r>
      <w:r w:rsidRPr="0595A8E4">
        <w:rPr>
          <w:rFonts w:eastAsia="Calibri"/>
          <w:color w:val="000000" w:themeColor="text1"/>
          <w:sz w:val="28"/>
          <w:szCs w:val="28"/>
          <w:u w:val="single"/>
        </w:rPr>
        <w:t xml:space="preserve"> orbital junk </w:t>
      </w:r>
      <w:r w:rsidRPr="0595A8E4">
        <w:rPr>
          <w:rFonts w:eastAsia="Calibri"/>
          <w:b/>
          <w:bCs/>
          <w:color w:val="000000" w:themeColor="text1"/>
          <w:sz w:val="28"/>
          <w:szCs w:val="28"/>
          <w:u w:val="single"/>
        </w:rPr>
        <w:t xml:space="preserve">collector </w:t>
      </w:r>
      <w:r w:rsidRPr="0595A8E4">
        <w:rPr>
          <w:rFonts w:eastAsia="Calibri"/>
          <w:b/>
          <w:bCs/>
          <w:color w:val="000000" w:themeColor="text1"/>
          <w:sz w:val="28"/>
          <w:szCs w:val="28"/>
          <w:highlight w:val="green"/>
          <w:u w:val="single"/>
        </w:rPr>
        <w:t>would push</w:t>
      </w:r>
      <w:r w:rsidRPr="0595A8E4">
        <w:rPr>
          <w:rFonts w:eastAsia="Calibri"/>
          <w:b/>
          <w:bCs/>
          <w:color w:val="000000" w:themeColor="text1"/>
          <w:sz w:val="28"/>
          <w:szCs w:val="28"/>
          <w:u w:val="single"/>
        </w:rPr>
        <w:t xml:space="preserve"> each </w:t>
      </w:r>
      <w:r w:rsidRPr="0595A8E4">
        <w:rPr>
          <w:rFonts w:eastAsia="Calibri"/>
          <w:b/>
          <w:bCs/>
          <w:color w:val="000000" w:themeColor="text1"/>
          <w:sz w:val="28"/>
          <w:szCs w:val="28"/>
          <w:highlight w:val="green"/>
          <w:u w:val="single"/>
        </w:rPr>
        <w:t>satellite</w:t>
      </w:r>
      <w:r w:rsidRPr="0595A8E4">
        <w:rPr>
          <w:rFonts w:eastAsia="Calibri"/>
          <w:b/>
          <w:bCs/>
          <w:color w:val="000000" w:themeColor="text1"/>
          <w:sz w:val="28"/>
          <w:szCs w:val="28"/>
          <w:u w:val="single"/>
        </w:rPr>
        <w:t xml:space="preserve"> into the atmosphere </w:t>
      </w:r>
      <w:r w:rsidRPr="0595A8E4">
        <w:rPr>
          <w:rFonts w:eastAsia="Calibri"/>
          <w:b/>
          <w:bCs/>
          <w:color w:val="000000" w:themeColor="text1"/>
          <w:sz w:val="28"/>
          <w:szCs w:val="28"/>
          <w:highlight w:val="green"/>
          <w:u w:val="single"/>
        </w:rPr>
        <w:t>to burn</w:t>
      </w:r>
      <w:r w:rsidRPr="0595A8E4">
        <w:rPr>
          <w:rFonts w:eastAsia="Calibri"/>
          <w:b/>
          <w:bCs/>
          <w:color w:val="000000" w:themeColor="text1"/>
          <w:sz w:val="28"/>
          <w:szCs w:val="28"/>
          <w:u w:val="single"/>
        </w:rPr>
        <w:t xml:space="preserve"> up</w:t>
      </w:r>
      <w:r w:rsidRPr="0595A8E4">
        <w:rPr>
          <w:rFonts w:eastAsia="Calibri"/>
          <w:color w:val="000000" w:themeColor="text1"/>
          <w:sz w:val="28"/>
          <w:szCs w:val="28"/>
          <w:u w:val="single"/>
        </w:rPr>
        <w:t xml:space="preserve">, then return for the next defunct piece. "This </w:t>
      </w:r>
      <w:r w:rsidRPr="0595A8E4">
        <w:rPr>
          <w:rFonts w:eastAsia="Calibri"/>
          <w:color w:val="000000" w:themeColor="text1"/>
          <w:sz w:val="28"/>
          <w:szCs w:val="28"/>
          <w:highlight w:val="green"/>
          <w:u w:val="single"/>
        </w:rPr>
        <w:t xml:space="preserve">funding </w:t>
      </w:r>
      <w:r w:rsidRPr="0595A8E4">
        <w:rPr>
          <w:rFonts w:eastAsia="Calibri"/>
          <w:b/>
          <w:bCs/>
          <w:color w:val="000000" w:themeColor="text1"/>
          <w:sz w:val="28"/>
          <w:szCs w:val="28"/>
          <w:highlight w:val="green"/>
          <w:u w:val="single"/>
        </w:rPr>
        <w:t>will help</w:t>
      </w:r>
      <w:r w:rsidRPr="0595A8E4">
        <w:rPr>
          <w:rFonts w:eastAsia="Calibri"/>
          <w:b/>
          <w:bCs/>
          <w:color w:val="000000" w:themeColor="text1"/>
          <w:sz w:val="28"/>
          <w:szCs w:val="28"/>
          <w:u w:val="single"/>
        </w:rPr>
        <w:t xml:space="preserve"> us </w:t>
      </w:r>
      <w:r w:rsidRPr="0595A8E4">
        <w:rPr>
          <w:rFonts w:eastAsia="Calibri"/>
          <w:b/>
          <w:bCs/>
          <w:color w:val="000000" w:themeColor="text1"/>
          <w:sz w:val="28"/>
          <w:szCs w:val="28"/>
          <w:highlight w:val="green"/>
          <w:u w:val="single"/>
        </w:rPr>
        <w:t>evolve</w:t>
      </w:r>
      <w:r w:rsidRPr="0595A8E4">
        <w:rPr>
          <w:rFonts w:eastAsia="Calibri"/>
          <w:color w:val="000000" w:themeColor="text1"/>
          <w:sz w:val="28"/>
          <w:szCs w:val="28"/>
          <w:u w:val="single"/>
        </w:rPr>
        <w:t xml:space="preserve"> key rendezvous and proximity operations technologies and capabilities </w:t>
      </w:r>
      <w:r w:rsidRPr="0595A8E4">
        <w:rPr>
          <w:rFonts w:eastAsia="Calibri"/>
          <w:color w:val="000000" w:themeColor="text1"/>
          <w:sz w:val="28"/>
          <w:szCs w:val="28"/>
          <w:highlight w:val="green"/>
          <w:u w:val="single"/>
        </w:rPr>
        <w:t>beyond</w:t>
      </w:r>
      <w:r w:rsidRPr="0595A8E4">
        <w:rPr>
          <w:rFonts w:eastAsia="Calibri"/>
          <w:color w:val="000000" w:themeColor="text1"/>
          <w:sz w:val="28"/>
          <w:szCs w:val="28"/>
          <w:u w:val="single"/>
        </w:rPr>
        <w:t xml:space="preserve"> ELSA-d</w:t>
      </w:r>
      <w:r w:rsidRPr="0595A8E4">
        <w:rPr>
          <w:rFonts w:eastAsia="Calibri"/>
          <w:color w:val="000000" w:themeColor="text1"/>
          <w:szCs w:val="22"/>
        </w:rPr>
        <w:t xml:space="preserve"> towards an end-of-life servicing offering for a range of constellation customers," Jason Forshaw, </w:t>
      </w:r>
      <w:proofErr w:type="spellStart"/>
      <w:r w:rsidRPr="0595A8E4">
        <w:rPr>
          <w:rFonts w:eastAsia="Calibri"/>
          <w:color w:val="000000" w:themeColor="text1"/>
          <w:szCs w:val="22"/>
        </w:rPr>
        <w:t>Astroscale's</w:t>
      </w:r>
      <w:proofErr w:type="spellEnd"/>
      <w:r w:rsidRPr="0595A8E4">
        <w:rPr>
          <w:rFonts w:eastAsia="Calibri"/>
          <w:color w:val="000000" w:themeColor="text1"/>
          <w:szCs w:val="22"/>
        </w:rPr>
        <w:t xml:space="preserve"> head of future business, Europe, said in the statement. "In parallel to this project, we're developing our next generation docking plate (DP), which is fitted to clients before launch, and is designed to enable a servicer to grapple the client. We are encouraging constellation customers to fit DPs to future-proof their satellites in case of need for removal due to failure, or at end of life, or to provide future in-orbit servicing." </w:t>
      </w:r>
      <w:proofErr w:type="spellStart"/>
      <w:r w:rsidRPr="0595A8E4">
        <w:rPr>
          <w:rFonts w:eastAsia="Calibri"/>
          <w:color w:val="000000" w:themeColor="text1"/>
          <w:szCs w:val="22"/>
        </w:rPr>
        <w:t>Astroscale's</w:t>
      </w:r>
      <w:proofErr w:type="spellEnd"/>
      <w:r w:rsidRPr="0595A8E4">
        <w:rPr>
          <w:rFonts w:eastAsia="Calibri"/>
          <w:color w:val="000000" w:themeColor="text1"/>
          <w:szCs w:val="22"/>
        </w:rPr>
        <w:t xml:space="preserve"> ELSA-d demonstration mission, currently in low Earth orbit, will carry out a series of rendezvous and close proximity debris capture and release </w:t>
      </w:r>
      <w:proofErr w:type="spellStart"/>
      <w:r w:rsidRPr="0595A8E4">
        <w:rPr>
          <w:rFonts w:eastAsia="Calibri"/>
          <w:color w:val="000000" w:themeColor="text1"/>
          <w:szCs w:val="22"/>
        </w:rPr>
        <w:t>manoeuvres</w:t>
      </w:r>
      <w:proofErr w:type="spellEnd"/>
      <w:r w:rsidRPr="0595A8E4">
        <w:rPr>
          <w:rFonts w:eastAsia="Calibri"/>
          <w:color w:val="000000" w:themeColor="text1"/>
          <w:szCs w:val="22"/>
        </w:rPr>
        <w:t xml:space="preserve"> this summer. The results of the test campaign will inform further work on the ELSA-M program, </w:t>
      </w:r>
      <w:proofErr w:type="spellStart"/>
      <w:r w:rsidRPr="0595A8E4">
        <w:rPr>
          <w:rFonts w:eastAsia="Calibri"/>
          <w:color w:val="000000" w:themeColor="text1"/>
          <w:szCs w:val="22"/>
        </w:rPr>
        <w:t>Astroscale</w:t>
      </w:r>
      <w:proofErr w:type="spellEnd"/>
      <w:r w:rsidRPr="0595A8E4">
        <w:rPr>
          <w:rFonts w:eastAsia="Calibri"/>
          <w:color w:val="000000" w:themeColor="text1"/>
          <w:szCs w:val="22"/>
        </w:rPr>
        <w:t xml:space="preserve"> said. </w:t>
      </w:r>
      <w:r w:rsidRPr="0595A8E4">
        <w:rPr>
          <w:rFonts w:eastAsia="Calibri"/>
          <w:color w:val="000000" w:themeColor="text1"/>
          <w:sz w:val="28"/>
          <w:szCs w:val="28"/>
          <w:u w:val="single"/>
        </w:rPr>
        <w:t>The f</w:t>
      </w:r>
      <w:r w:rsidRPr="0595A8E4">
        <w:rPr>
          <w:rFonts w:eastAsia="Calibri"/>
          <w:color w:val="000000" w:themeColor="text1"/>
          <w:sz w:val="28"/>
          <w:szCs w:val="28"/>
          <w:highlight w:val="green"/>
          <w:u w:val="single"/>
        </w:rPr>
        <w:t>unding is part of</w:t>
      </w:r>
      <w:r w:rsidRPr="0595A8E4">
        <w:rPr>
          <w:rFonts w:eastAsia="Calibri"/>
          <w:color w:val="000000" w:themeColor="text1"/>
          <w:sz w:val="28"/>
          <w:szCs w:val="28"/>
          <w:u w:val="single"/>
        </w:rPr>
        <w:t xml:space="preserve"> the European Space Agency's (</w:t>
      </w:r>
      <w:r w:rsidRPr="0595A8E4">
        <w:rPr>
          <w:rFonts w:eastAsia="Calibri"/>
          <w:color w:val="000000" w:themeColor="text1"/>
          <w:sz w:val="28"/>
          <w:szCs w:val="28"/>
          <w:highlight w:val="green"/>
          <w:u w:val="single"/>
        </w:rPr>
        <w:t>ESA</w:t>
      </w:r>
      <w:r w:rsidRPr="0595A8E4">
        <w:rPr>
          <w:rFonts w:eastAsia="Calibri"/>
          <w:color w:val="000000" w:themeColor="text1"/>
          <w:sz w:val="28"/>
          <w:szCs w:val="28"/>
          <w:u w:val="single"/>
        </w:rPr>
        <w:t xml:space="preserve">) program called Sunrise, developing </w:t>
      </w:r>
      <w:hyperlink r:id="rId28">
        <w:r w:rsidRPr="0595A8E4">
          <w:rPr>
            <w:rStyle w:val="Hyperlink"/>
            <w:rFonts w:eastAsia="Calibri"/>
            <w:sz w:val="28"/>
            <w:szCs w:val="28"/>
          </w:rPr>
          <w:t>flexible reprogrammable communication satellites.</w:t>
        </w:r>
      </w:hyperlink>
    </w:p>
    <w:p w14:paraId="6DF6E49A" w14:textId="58F4EF30" w:rsidR="00B46F41" w:rsidRDefault="00B46F41" w:rsidP="00B46F41">
      <w:pPr>
        <w:pStyle w:val="Heading4"/>
      </w:pPr>
      <w:r>
        <w:t>3</w:t>
      </w:r>
      <w:r>
        <w:t>] Turn - Private space corporations are key to increasing safety in space technology.</w:t>
      </w:r>
    </w:p>
    <w:p w14:paraId="33ACD9B0" w14:textId="77777777" w:rsidR="00B46F41" w:rsidRDefault="00B46F41" w:rsidP="00B46F41">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09280497" w14:textId="77777777" w:rsidR="00B46F41" w:rsidRDefault="00B46F41" w:rsidP="00B46F41">
      <w:pPr>
        <w:rPr>
          <w:sz w:val="16"/>
          <w:szCs w:val="16"/>
        </w:rPr>
      </w:pPr>
      <w:r>
        <w:rPr>
          <w:sz w:val="16"/>
          <w:szCs w:val="16"/>
        </w:rPr>
        <w:lastRenderedPageBreak/>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29">
        <w:r>
          <w:rPr>
            <w:color w:val="000000"/>
            <w:sz w:val="16"/>
            <w:szCs w:val="16"/>
          </w:rPr>
          <w:t>a recent Pew Research Center survey</w:t>
        </w:r>
      </w:hyperlink>
      <w:r>
        <w:rPr>
          <w:sz w:val="16"/>
          <w:szCs w:val="16"/>
        </w:rPr>
        <w:t>.</w:t>
      </w:r>
    </w:p>
    <w:p w14:paraId="5F44CB8D" w14:textId="77777777" w:rsidR="00B46F41" w:rsidRDefault="00B46F41" w:rsidP="00B46F41">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30">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31">
        <w:r>
          <w:rPr>
            <w:color w:val="000000"/>
            <w:sz w:val="16"/>
            <w:szCs w:val="16"/>
          </w:rPr>
          <w:t>setting their sights</w:t>
        </w:r>
      </w:hyperlink>
      <w:r>
        <w:rPr>
          <w:sz w:val="16"/>
          <w:szCs w:val="16"/>
        </w:rPr>
        <w:t> on going to the moon or Mars in the future.</w:t>
      </w:r>
    </w:p>
    <w:p w14:paraId="6D41D0FD" w14:textId="77777777" w:rsidR="00B46F41" w:rsidRDefault="00B46F41" w:rsidP="00B46F41">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10FB61EA" w14:textId="759CE366" w:rsidR="00B46F41" w:rsidRDefault="00B46F41" w:rsidP="00B46F41">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2DF6D4C6" w14:textId="2E13C0C4" w:rsidR="00F8051A" w:rsidRPr="009B543C" w:rsidRDefault="00F8051A" w:rsidP="00F8051A">
      <w:pPr>
        <w:keepNext/>
        <w:keepLines/>
        <w:spacing w:before="200"/>
        <w:outlineLvl w:val="3"/>
        <w:rPr>
          <w:rFonts w:eastAsia="Malgun Gothic" w:cs="Times New Roman"/>
          <w:b/>
          <w:iCs/>
          <w:sz w:val="26"/>
        </w:rPr>
      </w:pPr>
      <w:r w:rsidRPr="00F8051A">
        <w:rPr>
          <w:rFonts w:eastAsiaTheme="majorEastAsia" w:cstheme="majorBidi"/>
          <w:b/>
          <w:bCs/>
          <w:sz w:val="26"/>
          <w:szCs w:val="26"/>
        </w:rPr>
        <w:t>4</w:t>
      </w:r>
      <w:r w:rsidRPr="00F8051A">
        <w:rPr>
          <w:rFonts w:eastAsiaTheme="majorEastAsia" w:cstheme="majorBidi"/>
          <w:b/>
          <w:bCs/>
          <w:sz w:val="26"/>
          <w:szCs w:val="26"/>
        </w:rPr>
        <w:t xml:space="preserve">] </w:t>
      </w:r>
      <w:r w:rsidRPr="00F8051A">
        <w:rPr>
          <w:rFonts w:eastAsiaTheme="majorEastAsia" w:cstheme="majorBidi"/>
          <w:b/>
          <w:bCs/>
          <w:iCs/>
          <w:sz w:val="26"/>
          <w:szCs w:val="26"/>
        </w:rPr>
        <w:t>The</w:t>
      </w:r>
      <w:r w:rsidRPr="009B543C">
        <w:rPr>
          <w:rFonts w:eastAsia="Malgun Gothic" w:cs="Times New Roman"/>
          <w:b/>
          <w:iCs/>
          <w:sz w:val="26"/>
        </w:rPr>
        <w:t xml:space="preserve"> probability for actual collision in space is extrem</w:t>
      </w:r>
      <w:r>
        <w:rPr>
          <w:rFonts w:eastAsia="Malgun Gothic" w:cs="Times New Roman"/>
          <w:b/>
          <w:iCs/>
          <w:sz w:val="26"/>
        </w:rPr>
        <w:t>e</w:t>
      </w:r>
      <w:r w:rsidRPr="009B543C">
        <w:rPr>
          <w:rFonts w:eastAsia="Malgun Gothic" w:cs="Times New Roman"/>
          <w:b/>
          <w:iCs/>
          <w:sz w:val="26"/>
        </w:rPr>
        <w:t>ly low – below 0.1% chance. It’ll stay this way as long as N</w:t>
      </w:r>
      <w:r>
        <w:rPr>
          <w:rFonts w:eastAsia="Malgun Gothic" w:cs="Times New Roman"/>
          <w:b/>
          <w:iCs/>
          <w:sz w:val="26"/>
        </w:rPr>
        <w:t>ASA</w:t>
      </w:r>
      <w:r w:rsidRPr="009B543C">
        <w:rPr>
          <w:rFonts w:eastAsia="Malgun Gothic" w:cs="Times New Roman"/>
          <w:b/>
          <w:iCs/>
          <w:sz w:val="26"/>
        </w:rPr>
        <w:t xml:space="preserve">’s actions in the </w:t>
      </w:r>
      <w:proofErr w:type="spellStart"/>
      <w:r w:rsidRPr="009B543C">
        <w:rPr>
          <w:rFonts w:eastAsia="Malgun Gothic" w:cs="Times New Roman"/>
          <w:b/>
          <w:iCs/>
          <w:sz w:val="26"/>
        </w:rPr>
        <w:t>squo</w:t>
      </w:r>
      <w:proofErr w:type="spellEnd"/>
      <w:r w:rsidRPr="009B543C">
        <w:rPr>
          <w:rFonts w:eastAsia="Malgun Gothic" w:cs="Times New Roman"/>
          <w:b/>
          <w:iCs/>
          <w:sz w:val="26"/>
        </w:rPr>
        <w:t xml:space="preserve"> are the same.</w:t>
      </w:r>
    </w:p>
    <w:p w14:paraId="714D6ABF" w14:textId="77777777" w:rsidR="00F8051A" w:rsidRPr="009B543C" w:rsidRDefault="00F8051A" w:rsidP="00F8051A">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420511C8" w14:textId="77777777" w:rsidR="00F8051A" w:rsidRPr="00553DCA" w:rsidRDefault="00F8051A" w:rsidP="00F8051A">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1ECCB0D3" w14:textId="5787EAD0" w:rsidR="00F8051A" w:rsidRDefault="00F8051A" w:rsidP="00B46F41">
      <w:pPr>
        <w:rPr>
          <w:sz w:val="16"/>
          <w:szCs w:val="16"/>
        </w:rPr>
      </w:pPr>
    </w:p>
    <w:p w14:paraId="03FBEDF9" w14:textId="2DD73B77" w:rsidR="000F41AA" w:rsidRPr="00865213" w:rsidRDefault="000F41AA" w:rsidP="00A77A6F"/>
    <w:p w14:paraId="71C0E967" w14:textId="77777777" w:rsidR="00644EE2" w:rsidRPr="00644EE2" w:rsidRDefault="00644EE2" w:rsidP="00644EE2"/>
    <w:p w14:paraId="14B99172" w14:textId="42B21164" w:rsidR="00012C3C" w:rsidRDefault="00012C3C" w:rsidP="00012C3C">
      <w:pPr>
        <w:pStyle w:val="Heading2"/>
      </w:pPr>
      <w:r>
        <w:lastRenderedPageBreak/>
        <w:t xml:space="preserve">A2 </w:t>
      </w:r>
      <w:proofErr w:type="spellStart"/>
      <w:r>
        <w:t>Underview</w:t>
      </w:r>
      <w:proofErr w:type="spellEnd"/>
    </w:p>
    <w:p w14:paraId="4C9E41BF" w14:textId="1C9E040D" w:rsidR="00A77A6F" w:rsidRDefault="00A77A6F" w:rsidP="00A77A6F">
      <w:pPr>
        <w:pStyle w:val="Heading4"/>
      </w:pPr>
      <w:r>
        <w:t xml:space="preserve">1] 1AR theory </w:t>
      </w:r>
      <w:r w:rsidR="00527E42">
        <w:t xml:space="preserve">not DTD – time skew doesn’t matter, if the abuse is that legit that you should be able to just win on theory regardless </w:t>
      </w:r>
      <w:r w:rsidR="006F3652">
        <w:t xml:space="preserve">2] Yes RVIs – otherwise </w:t>
      </w:r>
      <w:r w:rsidR="00C37F0F">
        <w:t xml:space="preserve">they waste our time on infinite </w:t>
      </w:r>
      <w:proofErr w:type="spellStart"/>
      <w:r w:rsidR="00C37F0F">
        <w:t>friv</w:t>
      </w:r>
      <w:proofErr w:type="spellEnd"/>
      <w:r w:rsidR="00C37F0F">
        <w:t xml:space="preserve"> theory and there’s no check</w:t>
      </w:r>
    </w:p>
    <w:p w14:paraId="2E0D8211" w14:textId="534D03F9" w:rsidR="00012C3C" w:rsidRPr="002A5850" w:rsidRDefault="00A77A6F" w:rsidP="00012C3C">
      <w:pPr>
        <w:pStyle w:val="Heading4"/>
      </w:pPr>
      <w:r>
        <w:t>2</w:t>
      </w:r>
      <w:r w:rsidR="00012C3C">
        <w:t xml:space="preserve">] Negating is harder – a] negating is harder – choosing the plan and 2AR collapse means the </w:t>
      </w:r>
      <w:proofErr w:type="spellStart"/>
      <w:r w:rsidR="00012C3C">
        <w:t>aff</w:t>
      </w:r>
      <w:proofErr w:type="spellEnd"/>
      <w:r w:rsidR="00012C3C">
        <w:t xml:space="preserve"> always controls the direction of the debate b] you get three speeches while we only get two c] getting to speak first and last means the judge remembers your speeches better</w:t>
      </w:r>
    </w:p>
    <w:p w14:paraId="06EFE1A4" w14:textId="77777777" w:rsidR="00DE3B1E" w:rsidRPr="00DE3B1E" w:rsidRDefault="00DE3B1E" w:rsidP="00DE3B1E"/>
    <w:sectPr w:rsidR="00DE3B1E" w:rsidRPr="00DE3B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3191"/>
    <w:rsid w:val="000029E3"/>
    <w:rsid w:val="000029E8"/>
    <w:rsid w:val="00004225"/>
    <w:rsid w:val="000066CA"/>
    <w:rsid w:val="00007264"/>
    <w:rsid w:val="000076A9"/>
    <w:rsid w:val="00012C3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1AA"/>
    <w:rsid w:val="00100B28"/>
    <w:rsid w:val="00117316"/>
    <w:rsid w:val="001209B4"/>
    <w:rsid w:val="001761FC"/>
    <w:rsid w:val="00182655"/>
    <w:rsid w:val="001840F2"/>
    <w:rsid w:val="00185134"/>
    <w:rsid w:val="001856C6"/>
    <w:rsid w:val="00191B5F"/>
    <w:rsid w:val="00192487"/>
    <w:rsid w:val="00193416"/>
    <w:rsid w:val="00195073"/>
    <w:rsid w:val="0019620C"/>
    <w:rsid w:val="0019668D"/>
    <w:rsid w:val="001A25FD"/>
    <w:rsid w:val="001A2E30"/>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7A1"/>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9F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E4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EE2"/>
    <w:rsid w:val="006529B9"/>
    <w:rsid w:val="00654695"/>
    <w:rsid w:val="0065500A"/>
    <w:rsid w:val="00655217"/>
    <w:rsid w:val="0065727C"/>
    <w:rsid w:val="00674A78"/>
    <w:rsid w:val="00696A16"/>
    <w:rsid w:val="006A4840"/>
    <w:rsid w:val="006A52A0"/>
    <w:rsid w:val="006A7E1D"/>
    <w:rsid w:val="006C3A56"/>
    <w:rsid w:val="006C7A76"/>
    <w:rsid w:val="006D13F4"/>
    <w:rsid w:val="006D5E95"/>
    <w:rsid w:val="006D6AED"/>
    <w:rsid w:val="006E6D0B"/>
    <w:rsid w:val="006F126E"/>
    <w:rsid w:val="006F32C9"/>
    <w:rsid w:val="006F3652"/>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12A14"/>
    <w:rsid w:val="008266F9"/>
    <w:rsid w:val="008267E2"/>
    <w:rsid w:val="00826A9B"/>
    <w:rsid w:val="0082735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C4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191"/>
    <w:rsid w:val="00A431C6"/>
    <w:rsid w:val="00A54315"/>
    <w:rsid w:val="00A60FBC"/>
    <w:rsid w:val="00A65C0B"/>
    <w:rsid w:val="00A776BA"/>
    <w:rsid w:val="00A77A6F"/>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F41"/>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0F"/>
    <w:rsid w:val="00C37F29"/>
    <w:rsid w:val="00C428E5"/>
    <w:rsid w:val="00C47BB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B1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51A"/>
    <w:rsid w:val="00F94060"/>
    <w:rsid w:val="00FA56F6"/>
    <w:rsid w:val="00FB329D"/>
    <w:rsid w:val="00FC27E3"/>
    <w:rsid w:val="00FC74C7"/>
    <w:rsid w:val="00FD1ABC"/>
    <w:rsid w:val="00FD3595"/>
    <w:rsid w:val="00FD3DF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63E95"/>
  <w14:defaultImageDpi w14:val="300"/>
  <w15:docId w15:val="{DDED413A-6C2B-C140-A3F3-FDCA0C33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19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619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19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19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
    <w:basedOn w:val="Normal"/>
    <w:next w:val="Normal"/>
    <w:link w:val="Heading4Char"/>
    <w:uiPriority w:val="9"/>
    <w:unhideWhenUsed/>
    <w:qFormat/>
    <w:rsid w:val="004619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19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9F6"/>
  </w:style>
  <w:style w:type="character" w:customStyle="1" w:styleId="Heading1Char">
    <w:name w:val="Heading 1 Char"/>
    <w:aliases w:val="Pocket Char"/>
    <w:basedOn w:val="DefaultParagraphFont"/>
    <w:link w:val="Heading1"/>
    <w:uiPriority w:val="9"/>
    <w:rsid w:val="004619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19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19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4619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19F6"/>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4619F6"/>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4619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619F6"/>
    <w:rPr>
      <w:color w:val="auto"/>
      <w:u w:val="none"/>
    </w:rPr>
  </w:style>
  <w:style w:type="character" w:styleId="Hyperlink">
    <w:name w:val="Hyperlink"/>
    <w:aliases w:val="No Spacing Char,ClearFormatting Char,DDI Tag Char,Tag Title Char,No Spacing51 Char,Dont use Char,Tag and Cite Char,No Spacing31 Char,No Spacing22 Char,No Spacing41 Char,No Spacing6 Char,No Spacing7 Char,Very Small Text Char,No Spacing8 Char"/>
    <w:basedOn w:val="DefaultParagraphFont"/>
    <w:link w:val="NoSpacing"/>
    <w:uiPriority w:val="99"/>
    <w:unhideWhenUsed/>
    <w:rsid w:val="004619F6"/>
    <w:rPr>
      <w:color w:val="auto"/>
      <w:u w:val="none"/>
    </w:rPr>
  </w:style>
  <w:style w:type="paragraph" w:styleId="DocumentMap">
    <w:name w:val="Document Map"/>
    <w:basedOn w:val="Normal"/>
    <w:link w:val="DocumentMapChar"/>
    <w:uiPriority w:val="99"/>
    <w:semiHidden/>
    <w:unhideWhenUsed/>
    <w:rsid w:val="004619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19F6"/>
    <w:rPr>
      <w:rFonts w:ascii="Lucida Grande" w:hAnsi="Lucida Grande" w:cs="Lucida Grande"/>
    </w:rPr>
  </w:style>
  <w:style w:type="character" w:customStyle="1" w:styleId="BoldUnderline">
    <w:name w:val="Bold Underline"/>
    <w:basedOn w:val="DefaultParagraphFont"/>
    <w:uiPriority w:val="1"/>
    <w:qFormat/>
    <w:rsid w:val="00A33191"/>
    <w:rPr>
      <w:rFonts w:ascii="Arial" w:hAnsi="Arial"/>
      <w:b/>
      <w:sz w:val="20"/>
      <w:u w:val="single"/>
    </w:rPr>
  </w:style>
  <w:style w:type="paragraph" w:customStyle="1" w:styleId="textbold">
    <w:name w:val="text bold"/>
    <w:basedOn w:val="Normal"/>
    <w:link w:val="Emphasis"/>
    <w:uiPriority w:val="20"/>
    <w:qFormat/>
    <w:rsid w:val="00A3319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learFormatting,DDI Tag,Tag Title,No Spacing51,Dont use,Tag and Cite,No Spacing31,No Spacing22,No Spacing41,No Spacing6,No Spacing7,Very Small Text,No Spacing8,Dont u,No Spacing311,Medium Grid 21,tag,No Spacing111112,Clear,card,ca,Card,Tags"/>
    <w:basedOn w:val="Heading1"/>
    <w:link w:val="Hyperlink"/>
    <w:autoRedefine/>
    <w:uiPriority w:val="99"/>
    <w:qFormat/>
    <w:rsid w:val="003E37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sdis.noaa.gov/" TargetMode="External"/><Relationship Id="rId18" Type="http://schemas.openxmlformats.org/officeDocument/2006/relationships/hyperlink" Target="https://policy.defense.gov/OUSDP-Offices/ASD-for-Homeland-Defense-Global-Security/" TargetMode="External"/><Relationship Id="rId26" Type="http://schemas.openxmlformats.org/officeDocument/2006/relationships/hyperlink" Target="https://www.space.com/commercial-space-debris-removal-2024-astroscale%5d//DebateDrillsWW" TargetMode="External"/><Relationship Id="rId3" Type="http://schemas.openxmlformats.org/officeDocument/2006/relationships/customXml" Target="../customXml/item3.xml"/><Relationship Id="rId21" Type="http://schemas.openxmlformats.org/officeDocument/2006/relationships/hyperlink" Target="https://www.congress.gov/bill/116th-congress/senate-bill/1790" TargetMode="External"/><Relationship Id="rId7" Type="http://schemas.openxmlformats.org/officeDocument/2006/relationships/settings" Target="settings.xml"/><Relationship Id="rId12" Type="http://schemas.openxmlformats.org/officeDocument/2006/relationships/hyperlink" Target="https://www.space.commerce.gov/policy/noaa-commercial-space-policy/" TargetMode="External"/><Relationship Id="rId17" Type="http://schemas.openxmlformats.org/officeDocument/2006/relationships/hyperlink" Target="https://www.ntia.doc.gov/category/spectrum-management" TargetMode="External"/><Relationship Id="rId25" Type="http://schemas.openxmlformats.org/officeDocument/2006/relationships/hyperlink" Target="https://www.faa.gov/about/office_org/headquarters_offices/as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cc.gov/engineering-technology/policy-and-rules-division/general/radio-spectrum-allocation" TargetMode="External"/><Relationship Id="rId20" Type="http://schemas.openxmlformats.org/officeDocument/2006/relationships/hyperlink" Target="https://www.spaceforce.mil/" TargetMode="External"/><Relationship Id="rId29" Type="http://schemas.openxmlformats.org/officeDocument/2006/relationships/hyperlink" Target="https://www.pewresearch.org/internet/2018/06/06/majority-of-americans-believe-it-is-essential-that-the-u-s-remain-a-global-leader-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merce.gov/" TargetMode="External"/><Relationship Id="rId24" Type="http://schemas.openxmlformats.org/officeDocument/2006/relationships/hyperlink" Target="https://www.state.gov/key-topics-office-of-space-and-advanced-technolog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tia.doc.gov/" TargetMode="External"/><Relationship Id="rId23" Type="http://schemas.openxmlformats.org/officeDocument/2006/relationships/hyperlink" Target="https://www.state.gov/bureaus-offices/under-secretary-for-economic-growth-energy-and-the-environment/bureau-of-oceans-and-international-environmental-and-scientific-affairs/office-of-space-and-advanced-technology/" TargetMode="External"/><Relationship Id="rId28" Type="http://schemas.openxmlformats.org/officeDocument/2006/relationships/hyperlink" Target="https://www.gov.uk/government/news/uk-companies-join-forces-to-build-revolutionary-beam-hopping-satellite" TargetMode="External"/><Relationship Id="rId10" Type="http://schemas.openxmlformats.org/officeDocument/2006/relationships/hyperlink" Target="https://www.nasa.gov/" TargetMode="External"/><Relationship Id="rId19" Type="http://schemas.openxmlformats.org/officeDocument/2006/relationships/hyperlink" Target="https://policy.defense.gov/OUSDP-Offices/ASD-for-Homeland-Defense-Global-Security/Space-Policy/" TargetMode="External"/><Relationship Id="rId31" Type="http://schemas.openxmlformats.org/officeDocument/2006/relationships/hyperlink" Target="https://www.popsci.com/who-wants-to-go-to-mars"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hyperlink" Target="https://www.nesdis.noaa.gov/CRSRA/licenseHome.html" TargetMode="External"/><Relationship Id="rId22" Type="http://schemas.openxmlformats.org/officeDocument/2006/relationships/hyperlink" Target="https://www.state.gov/bureaus-offices/under-secretary-for-arms-control-and-international-security-affairs/bureau-of-arms-control-verification-and-compliance/office-of-emerging-security-challenges/" TargetMode="External"/><Relationship Id="rId27" Type="http://schemas.openxmlformats.org/officeDocument/2006/relationships/hyperlink" Target="https://astroscale.com/astroscale-uk-signs-2-5-million-agreement-to-develop-space-debris-removal-technology-innovations-with-oneweb/" TargetMode="External"/><Relationship Id="rId30" Type="http://schemas.openxmlformats.org/officeDocument/2006/relationships/hyperlink" Target="https://www.washingtonpost.com/news/business/wp/2018/06/15/feature/what-does-it-mean-to-be-a-nasa-astronaut-in-the-celebrity-space-age-of-elon-musk-and-richard-branson/?utm_term=.b1045d9e9863"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16</Pages>
  <Words>6450</Words>
  <Characters>36767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24</cp:revision>
  <dcterms:created xsi:type="dcterms:W3CDTF">2022-01-15T18:37:00Z</dcterms:created>
  <dcterms:modified xsi:type="dcterms:W3CDTF">2022-01-15T19:10:00Z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