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C8921" w14:textId="0FBF4B70" w:rsidR="00E42E4C" w:rsidRDefault="00467E4D" w:rsidP="00467E4D">
      <w:pPr>
        <w:pStyle w:val="Heading1"/>
      </w:pPr>
      <w:r>
        <w:t>1NC vs Rock Ridge</w:t>
      </w:r>
    </w:p>
    <w:p w14:paraId="49028BDB" w14:textId="77777777" w:rsidR="00610E36" w:rsidRPr="004F3B51" w:rsidRDefault="00610E36" w:rsidP="00610E36">
      <w:pPr>
        <w:pStyle w:val="Heading2"/>
      </w:pPr>
      <w:r>
        <w:lastRenderedPageBreak/>
        <w:t>OFF</w:t>
      </w:r>
    </w:p>
    <w:p w14:paraId="01BC350B" w14:textId="77777777" w:rsidR="00610E36" w:rsidRDefault="00610E36" w:rsidP="00610E36">
      <w:pPr>
        <w:pStyle w:val="Heading3"/>
      </w:pPr>
      <w:r>
        <w:lastRenderedPageBreak/>
        <w:t>1NC - Contention</w:t>
      </w:r>
    </w:p>
    <w:p w14:paraId="2C4B8A5D" w14:textId="77777777" w:rsidR="00610E36" w:rsidRDefault="00610E36" w:rsidP="00610E36">
      <w:r>
        <w:t>Space Manufacturing</w:t>
      </w:r>
    </w:p>
    <w:p w14:paraId="6907E16F" w14:textId="77777777" w:rsidR="00610E36" w:rsidRDefault="00610E36" w:rsidP="00610E36">
      <w:pPr>
        <w:pStyle w:val="Heading4"/>
      </w:pPr>
      <w:r w:rsidRPr="00B517A3">
        <w:t>Commercial</w:t>
      </w:r>
      <w:r>
        <w:t xml:space="preserve"> </w:t>
      </w:r>
      <w:r w:rsidRPr="00875D09">
        <w:rPr>
          <w:u w:val="single"/>
        </w:rPr>
        <w:t>space manufacturing</w:t>
      </w:r>
      <w:r>
        <w:t xml:space="preserve"> is </w:t>
      </w:r>
      <w:r>
        <w:rPr>
          <w:u w:val="single"/>
        </w:rPr>
        <w:t>booming</w:t>
      </w:r>
      <w:r>
        <w:t xml:space="preserve"> --- that creates </w:t>
      </w:r>
      <w:r w:rsidRPr="00D45DEE">
        <w:rPr>
          <w:u w:val="single"/>
        </w:rPr>
        <w:t>new treatments</w:t>
      </w:r>
      <w:r>
        <w:t xml:space="preserve"> to solve </w:t>
      </w:r>
      <w:r w:rsidRPr="00B41FCD">
        <w:rPr>
          <w:u w:val="single"/>
        </w:rPr>
        <w:t>diseases</w:t>
      </w:r>
      <w:r>
        <w:t xml:space="preserve">, but the AFF kills it --- </w:t>
      </w:r>
      <w:r w:rsidRPr="009E18B4">
        <w:rPr>
          <w:u w:val="single"/>
        </w:rPr>
        <w:t>private</w:t>
      </w:r>
      <w:r>
        <w:rPr>
          <w:u w:val="single"/>
        </w:rPr>
        <w:t xml:space="preserve"> </w:t>
      </w:r>
      <w:r w:rsidRPr="008269AE">
        <w:rPr>
          <w:u w:val="single"/>
        </w:rPr>
        <w:t>sector</w:t>
      </w:r>
      <w:r w:rsidRPr="009E18B4">
        <w:rPr>
          <w:u w:val="single"/>
        </w:rPr>
        <w:t xml:space="preserve"> </w:t>
      </w:r>
      <w:r w:rsidRPr="00C32F79">
        <w:t>launch</w:t>
      </w:r>
      <w:r>
        <w:t xml:space="preserve"> and </w:t>
      </w:r>
      <w:r w:rsidRPr="00BE3D48">
        <w:rPr>
          <w:u w:val="single"/>
        </w:rPr>
        <w:t>appropriation</w:t>
      </w:r>
      <w:r>
        <w:t xml:space="preserve"> is key</w:t>
      </w:r>
    </w:p>
    <w:p w14:paraId="6E605363" w14:textId="77777777" w:rsidR="00610E36" w:rsidRPr="000B742F" w:rsidRDefault="00610E36" w:rsidP="00610E36">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006BE4AB" w14:textId="77777777" w:rsidR="00610E36" w:rsidRDefault="00610E36" w:rsidP="00610E36">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 xml:space="preserve">To take advantage of these significant </w:t>
      </w:r>
      <w:r w:rsidRPr="00BA68B2">
        <w:rPr>
          <w:rStyle w:val="StyleUnderline"/>
        </w:rPr>
        <w:lastRenderedPageBreak/>
        <w:t>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46303695" w14:textId="77777777" w:rsidR="00610E36" w:rsidRPr="00606EF0" w:rsidRDefault="00610E36" w:rsidP="00610E36">
      <w:pPr>
        <w:pStyle w:val="Heading4"/>
        <w:rPr>
          <w:rFonts w:cs="Calibri"/>
        </w:rPr>
      </w:pPr>
      <w:r w:rsidRPr="00606EF0">
        <w:rPr>
          <w:rFonts w:cs="Calibri"/>
        </w:rPr>
        <w:t>Future pandemics cause extinction</w:t>
      </w:r>
    </w:p>
    <w:p w14:paraId="42AAD064" w14:textId="77777777" w:rsidR="00610E36" w:rsidRPr="00606EF0" w:rsidRDefault="00610E36" w:rsidP="00610E36">
      <w:r w:rsidRPr="00606EF0">
        <w:rPr>
          <w:rStyle w:val="StyleUnderline"/>
        </w:rPr>
        <w:t>Diamandis 21</w:t>
      </w:r>
      <w:r w:rsidRPr="00606EF0">
        <w:t xml:space="preserve"> [Eleftheriosi, biochemist specializing in clinical chemistry, Prof and Head of Clinical Biochemistry in the Dept of Laboratory Medicine and Pathobiology at the University of Toronto] “The Mother of All Battles: Viruses vs Humans. Can Humans Avoid Extinction in 50-100 Years?” Preprints, April 13, 2021, </w:t>
      </w:r>
      <w:hyperlink r:id="rId9" w:history="1">
        <w:r w:rsidRPr="00606EF0">
          <w:rPr>
            <w:rStyle w:val="Hyperlink"/>
          </w:rPr>
          <w:t>https://www.preprints.org/manuscript/202104.0397/v1</w:t>
        </w:r>
      </w:hyperlink>
      <w:r w:rsidRPr="00606EF0">
        <w:t xml:space="preserve"> TG</w:t>
      </w:r>
    </w:p>
    <w:p w14:paraId="2E095E9A" w14:textId="77777777" w:rsidR="00610E36" w:rsidRPr="008B0A03" w:rsidRDefault="00610E36" w:rsidP="00610E36">
      <w:pPr>
        <w:rPr>
          <w:sz w:val="16"/>
        </w:rPr>
      </w:pPr>
      <w:r w:rsidRPr="00606EF0">
        <w:rPr>
          <w:rStyle w:val="StyleUnderline"/>
        </w:rPr>
        <w:t xml:space="preserve">The recent SARS-CoV-2 pandemic, which is causing COVID 19 disease, has taught us unexpected lessons about the dangers of </w:t>
      </w:r>
      <w:r w:rsidRPr="00606EF0">
        <w:rPr>
          <w:rStyle w:val="StyleUnderline"/>
          <w:highlight w:val="green"/>
        </w:rPr>
        <w:t>human extinction through highly contagious and lethal diseases</w:t>
      </w:r>
      <w:r w:rsidRPr="008B0A03">
        <w:rPr>
          <w:sz w:val="16"/>
        </w:rPr>
        <w:t xml:space="preserve">. As the COVID 19 pandemic is now being controlled by various isolation measures, therapeutics and vaccines, it became clear that our current lifestyle and societal functions may not be sustainable in the long term. We now have to start thinking and planning on how to face the next dangerous pandemic, not just overcoming the one that is upon us now. </w:t>
      </w:r>
      <w:r w:rsidRPr="00606EF0">
        <w:rPr>
          <w:rStyle w:val="StyleUnderline"/>
        </w:rPr>
        <w:t xml:space="preserve">Is there any evidence that even </w:t>
      </w:r>
      <w:r w:rsidRPr="00606EF0">
        <w:rPr>
          <w:rStyle w:val="StyleUnderline"/>
          <w:highlight w:val="green"/>
        </w:rPr>
        <w:t>worse pandemics could strike</w:t>
      </w:r>
      <w:r w:rsidRPr="00606EF0">
        <w:rPr>
          <w:rStyle w:val="StyleUnderline"/>
        </w:rPr>
        <w:t xml:space="preserve"> us </w:t>
      </w:r>
      <w:r w:rsidRPr="00606EF0">
        <w:rPr>
          <w:rStyle w:val="StyleUnderline"/>
          <w:highlight w:val="green"/>
        </w:rPr>
        <w:t>in the near future and threaten the existence of the human race</w:t>
      </w:r>
      <w:r w:rsidRPr="00606EF0">
        <w:rPr>
          <w:rStyle w:val="StyleUnderline"/>
        </w:rPr>
        <w:t>? The answer is unequivocally yes</w:t>
      </w:r>
      <w:r w:rsidRPr="008B0A03">
        <w:rPr>
          <w:sz w:val="16"/>
        </w:rPr>
        <w:t xml:space="preserve">. It is not necessary to get infected by </w:t>
      </w:r>
      <w:r w:rsidRPr="00606EF0">
        <w:rPr>
          <w:rStyle w:val="StyleUnderline"/>
          <w:highlight w:val="green"/>
        </w:rPr>
        <w:t>viruses of bats, pangolins and other exotic animals</w:t>
      </w:r>
      <w:r w:rsidRPr="00606EF0">
        <w:rPr>
          <w:rStyle w:val="StyleUnderline"/>
        </w:rPr>
        <w:t xml:space="preserve"> that live in remote forests</w:t>
      </w:r>
      <w:r w:rsidRPr="008B0A03">
        <w:rPr>
          <w:sz w:val="16"/>
        </w:rPr>
        <w:t xml:space="preserve"> in order to be in danger. Creditable scientific evidence indicates that the </w:t>
      </w:r>
      <w:r w:rsidRPr="00606EF0">
        <w:rPr>
          <w:rStyle w:val="StyleUnderline"/>
        </w:rPr>
        <w:t xml:space="preserve">human </w:t>
      </w:r>
      <w:r w:rsidRPr="00606EF0">
        <w:rPr>
          <w:rStyle w:val="StyleUnderline"/>
          <w:highlight w:val="green"/>
        </w:rPr>
        <w:t>gut microbiota harbor billions of viruses</w:t>
      </w:r>
      <w:r w:rsidRPr="00606EF0">
        <w:rPr>
          <w:rStyle w:val="StyleUnderline"/>
        </w:rPr>
        <w:t xml:space="preserve"> which are </w:t>
      </w:r>
      <w:r w:rsidRPr="00606EF0">
        <w:rPr>
          <w:rStyle w:val="StyleUnderline"/>
          <w:highlight w:val="green"/>
        </w:rPr>
        <w:t>capable of affecting</w:t>
      </w:r>
      <w:r w:rsidRPr="00606EF0">
        <w:rPr>
          <w:rStyle w:val="StyleUnderline"/>
        </w:rPr>
        <w:t xml:space="preserve"> the function of </w:t>
      </w:r>
      <w:r w:rsidRPr="00606EF0">
        <w:rPr>
          <w:rStyle w:val="StyleUnderline"/>
          <w:highlight w:val="green"/>
        </w:rPr>
        <w:t>vital</w:t>
      </w:r>
      <w:r w:rsidRPr="00606EF0">
        <w:rPr>
          <w:rStyle w:val="StyleUnderline"/>
        </w:rPr>
        <w:t xml:space="preserve"> human </w:t>
      </w:r>
      <w:r w:rsidRPr="00606EF0">
        <w:rPr>
          <w:rStyle w:val="StyleUnderline"/>
          <w:highlight w:val="green"/>
        </w:rPr>
        <w:t>organs</w:t>
      </w:r>
      <w:r w:rsidRPr="00606EF0">
        <w:rPr>
          <w:rStyle w:val="StyleUnderline"/>
        </w:rPr>
        <w:t xml:space="preserve"> such as the immune system, lung, brain, liver, kidney, heart etc. It is possible that the development of </w:t>
      </w:r>
      <w:r w:rsidRPr="00606EF0">
        <w:rPr>
          <w:rStyle w:val="StyleUnderline"/>
          <w:highlight w:val="green"/>
        </w:rPr>
        <w:t>pathogenic variants</w:t>
      </w:r>
      <w:r w:rsidRPr="00606EF0">
        <w:rPr>
          <w:rStyle w:val="StyleUnderline"/>
        </w:rPr>
        <w:t xml:space="preserve"> in the gut can lead to contagious viruses which </w:t>
      </w:r>
      <w:r w:rsidRPr="00606EF0">
        <w:rPr>
          <w:rStyle w:val="StyleUnderline"/>
          <w:highlight w:val="green"/>
        </w:rPr>
        <w:t>can cause pandemics</w:t>
      </w:r>
      <w:r w:rsidRPr="00606EF0">
        <w:rPr>
          <w:rStyle w:val="StyleUnderline"/>
        </w:rPr>
        <w:t xml:space="preserve">, leading to destruction of vital organs, </w:t>
      </w:r>
      <w:r w:rsidRPr="00606EF0">
        <w:rPr>
          <w:rStyle w:val="StyleUnderline"/>
          <w:highlight w:val="green"/>
        </w:rPr>
        <w:t>causing death or</w:t>
      </w:r>
      <w:r w:rsidRPr="00606EF0">
        <w:rPr>
          <w:rStyle w:val="StyleUnderline"/>
        </w:rPr>
        <w:t xml:space="preserve"> various </w:t>
      </w:r>
      <w:r w:rsidRPr="00606EF0">
        <w:rPr>
          <w:rStyle w:val="StyleUnderline"/>
          <w:highlight w:val="green"/>
        </w:rPr>
        <w:t>debilitating diseases</w:t>
      </w:r>
      <w:r w:rsidRPr="00606EF0">
        <w:rPr>
          <w:rStyle w:val="StyleUnderline"/>
        </w:rPr>
        <w:t xml:space="preserve"> such as blindness, respiratory, liver, heart and kidney failures. These </w:t>
      </w:r>
      <w:r w:rsidRPr="00606EF0">
        <w:rPr>
          <w:rStyle w:val="StyleUnderline"/>
          <w:highlight w:val="green"/>
        </w:rPr>
        <w:t>diseases could result in</w:t>
      </w:r>
      <w:r w:rsidRPr="00606EF0">
        <w:rPr>
          <w:rStyle w:val="StyleUnderline"/>
        </w:rPr>
        <w:t xml:space="preserve"> the </w:t>
      </w:r>
      <w:r w:rsidRPr="00606EF0">
        <w:rPr>
          <w:rStyle w:val="StyleUnderline"/>
          <w:highlight w:val="green"/>
        </w:rPr>
        <w:t>complete shutdown of</w:t>
      </w:r>
      <w:r w:rsidRPr="00606EF0">
        <w:rPr>
          <w:rStyle w:val="StyleUnderline"/>
        </w:rPr>
        <w:t xml:space="preserve"> our </w:t>
      </w:r>
      <w:r w:rsidRPr="00606EF0">
        <w:rPr>
          <w:rStyle w:val="StyleUnderline"/>
          <w:highlight w:val="green"/>
        </w:rPr>
        <w:t>civilization and probably</w:t>
      </w:r>
      <w:r w:rsidRPr="00606EF0">
        <w:rPr>
          <w:rStyle w:val="StyleUnderline"/>
        </w:rPr>
        <w:t xml:space="preserve"> the </w:t>
      </w:r>
      <w:r w:rsidRPr="00606EF0">
        <w:rPr>
          <w:rStyle w:val="StyleUnderline"/>
          <w:highlight w:val="green"/>
        </w:rPr>
        <w:t>extinction of human race</w:t>
      </w:r>
      <w:r w:rsidRPr="00606EF0">
        <w:rPr>
          <w:rStyle w:val="StyleUnderline"/>
        </w:rPr>
        <w:t>.</w:t>
      </w:r>
      <w:r w:rsidRPr="008B0A03">
        <w:rPr>
          <w:sz w:val="16"/>
        </w:rPr>
        <w:t xml:space="preserve"> In this essay, I will first provide a few independent pieces of scientific facts and then combine this information to come up with some (but certainly not all) hypothetical </w:t>
      </w:r>
      <w:r w:rsidRPr="00606EF0">
        <w:rPr>
          <w:rStyle w:val="StyleUnderline"/>
        </w:rPr>
        <w:t>scenarios that could cause human race misery, even extinction</w:t>
      </w:r>
      <w:r w:rsidRPr="008B0A03">
        <w:rPr>
          <w:sz w:val="16"/>
        </w:rPr>
        <w:t>. I hope that these scary scenarios will trigger preventative measures that could reverse or delay the projected adverse outcomes.</w:t>
      </w:r>
    </w:p>
    <w:p w14:paraId="38BDD072" w14:textId="77777777" w:rsidR="00467E4D" w:rsidRPr="00467E4D" w:rsidRDefault="00467E4D" w:rsidP="00467E4D"/>
    <w:sectPr w:rsidR="00467E4D" w:rsidRPr="00467E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7E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E4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E3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DDE4B"/>
  <w14:defaultImageDpi w14:val="300"/>
  <w15:docId w15:val="{B581DE88-F711-AD49-960C-CB4F6C39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7E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67E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7E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No Underline,Char Char Char Char Char Char Char,Text 7,Heading 3 Char Char,Char,Underlines,Cite 1"/>
    <w:basedOn w:val="Normal"/>
    <w:next w:val="Normal"/>
    <w:link w:val="Heading3Char"/>
    <w:uiPriority w:val="9"/>
    <w:unhideWhenUsed/>
    <w:qFormat/>
    <w:rsid w:val="00467E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9"/>
    <w:unhideWhenUsed/>
    <w:qFormat/>
    <w:rsid w:val="00467E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7E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7E4D"/>
  </w:style>
  <w:style w:type="character" w:customStyle="1" w:styleId="Heading1Char">
    <w:name w:val="Heading 1 Char"/>
    <w:aliases w:val="Pocket Char"/>
    <w:basedOn w:val="DefaultParagraphFont"/>
    <w:link w:val="Heading1"/>
    <w:uiPriority w:val="9"/>
    <w:rsid w:val="00467E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7E4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No Underline Char,Text 7 Char,Heading 3 Char Char Char"/>
    <w:basedOn w:val="DefaultParagraphFont"/>
    <w:link w:val="Heading3"/>
    <w:uiPriority w:val="9"/>
    <w:rsid w:val="00467E4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467E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7E4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467E4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20"/>
    <w:qFormat/>
    <w:rsid w:val="00467E4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67E4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Card Text,T"/>
    <w:basedOn w:val="DefaultParagraphFont"/>
    <w:link w:val="NoSpacing"/>
    <w:uiPriority w:val="99"/>
    <w:unhideWhenUsed/>
    <w:rsid w:val="00467E4D"/>
    <w:rPr>
      <w:color w:val="auto"/>
      <w:u w:val="none"/>
    </w:rPr>
  </w:style>
  <w:style w:type="paragraph" w:styleId="DocumentMap">
    <w:name w:val="Document Map"/>
    <w:basedOn w:val="Normal"/>
    <w:link w:val="DocumentMapChar"/>
    <w:uiPriority w:val="99"/>
    <w:semiHidden/>
    <w:unhideWhenUsed/>
    <w:rsid w:val="00467E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7E4D"/>
    <w:rPr>
      <w:rFonts w:ascii="Lucida Grande" w:hAnsi="Lucida Grande" w:cs="Lucida Grande"/>
    </w:rPr>
  </w:style>
  <w:style w:type="paragraph" w:customStyle="1" w:styleId="Emphasis1">
    <w:name w:val="Emphasis1"/>
    <w:basedOn w:val="Normal"/>
    <w:link w:val="Emphasis"/>
    <w:autoRedefine/>
    <w:uiPriority w:val="20"/>
    <w:qFormat/>
    <w:rsid w:val="00610E3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tag"/>
    <w:basedOn w:val="Heading1"/>
    <w:link w:val="Hyperlink"/>
    <w:autoRedefine/>
    <w:uiPriority w:val="99"/>
    <w:qFormat/>
    <w:rsid w:val="00610E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preprints.org/manuscript/202104.0397/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1442</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2022-02-05T15:21:00Z</dcterms:created>
  <dcterms:modified xsi:type="dcterms:W3CDTF">2022-02-05T15:21:00Z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