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F1BF" w14:textId="5AB63FF1" w:rsidR="00E42E4C" w:rsidRDefault="00BA7BB6" w:rsidP="00BA7BB6">
      <w:pPr>
        <w:pStyle w:val="Heading1"/>
      </w:pPr>
      <w:r>
        <w:t>1NC</w:t>
      </w:r>
      <w:r w:rsidR="00E3709A">
        <w:t xml:space="preserve"> vs Peninsula AB</w:t>
      </w:r>
    </w:p>
    <w:p w14:paraId="69C2983A" w14:textId="77777777" w:rsidR="00261F55" w:rsidRDefault="00261F55" w:rsidP="00261F55">
      <w:pPr>
        <w:pStyle w:val="Heading2"/>
      </w:pPr>
      <w:r>
        <w:t>OFF</w:t>
      </w:r>
    </w:p>
    <w:p w14:paraId="6956E36D" w14:textId="77777777" w:rsidR="00261F55" w:rsidRDefault="00261F55" w:rsidP="00261F55">
      <w:pPr>
        <w:pStyle w:val="Heading3"/>
      </w:pPr>
      <w:r>
        <w:t>1NC - OFF</w:t>
      </w:r>
    </w:p>
    <w:p w14:paraId="455FBE30" w14:textId="77777777" w:rsidR="00261F55" w:rsidRPr="001E3593" w:rsidRDefault="00261F55" w:rsidP="00261F55">
      <w:r>
        <w:t>T-Workers</w:t>
      </w:r>
    </w:p>
    <w:p w14:paraId="05101F5E" w14:textId="77777777" w:rsidR="00261F55" w:rsidRDefault="00261F55" w:rsidP="00261F55">
      <w:pPr>
        <w:pStyle w:val="Heading4"/>
      </w:pPr>
      <w:r>
        <w:t xml:space="preserve">Interpretation: The aff can’t specify a type of worker or subset of workers. </w:t>
      </w:r>
    </w:p>
    <w:p w14:paraId="56900A27" w14:textId="77777777" w:rsidR="00261F55" w:rsidRDefault="00261F55" w:rsidP="00261F55"/>
    <w:p w14:paraId="6EE24C10" w14:textId="77777777" w:rsidR="00261F55" w:rsidRPr="00D81E22" w:rsidRDefault="00261F55" w:rsidP="00261F55">
      <w:pPr>
        <w:pStyle w:val="Heading4"/>
        <w:rPr>
          <w:rFonts w:cs="Calibri"/>
        </w:rPr>
      </w:pPr>
      <w:r w:rsidRPr="00D81E22">
        <w:rPr>
          <w:rFonts w:cs="Calibri"/>
        </w:rPr>
        <w:t>The upward entailment test and adverb test determine the genericity of a bare plural</w:t>
      </w:r>
    </w:p>
    <w:p w14:paraId="7A8CF01B" w14:textId="77777777" w:rsidR="00261F55" w:rsidRPr="00D81E22" w:rsidRDefault="00261F55" w:rsidP="00261F55">
      <w:r w:rsidRPr="0047742B">
        <w:rPr>
          <w:rStyle w:val="Style13ptBold"/>
        </w:rPr>
        <w:t>Leslie and Lerner 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0BE4240A" w14:textId="77777777" w:rsidR="00261F55" w:rsidRPr="00AC2840" w:rsidRDefault="00261F55" w:rsidP="00261F55">
      <w:pPr>
        <w:rPr>
          <w:sz w:val="16"/>
        </w:rPr>
      </w:pPr>
      <w:r w:rsidRPr="00D81E22">
        <w:rPr>
          <w:rStyle w:val="StyleUnderline"/>
        </w:rPr>
        <w:t>Generics and Logical Form</w:t>
      </w:r>
      <w:r>
        <w:rPr>
          <w:rStyle w:val="StyleUnderline"/>
        </w:rPr>
        <w:t xml:space="preserve"> </w:t>
      </w:r>
      <w:r w:rsidRPr="00AC2840">
        <w:rPr>
          <w:sz w:val="16"/>
        </w:rPr>
        <w:t xml:space="preserve">In English, </w:t>
      </w:r>
      <w:r w:rsidRPr="00AC2840">
        <w:rPr>
          <w:rStyle w:val="StyleUnderline"/>
          <w:highlight w:val="green"/>
        </w:rPr>
        <w:t>generics can be expressed using</w:t>
      </w:r>
      <w:r w:rsidRPr="00D81E22">
        <w:rPr>
          <w:rStyle w:val="StyleUnderline"/>
        </w:rPr>
        <w:t xml:space="preserve"> a variety of syntactic forms:</w:t>
      </w:r>
      <w:r>
        <w:rPr>
          <w:rStyle w:val="StyleUnderline"/>
        </w:rPr>
        <w:t xml:space="preserve"> </w:t>
      </w:r>
      <w:r w:rsidRPr="00AC2840">
        <w:rPr>
          <w:rStyle w:val="StyleUnderline"/>
          <w:highlight w:val="green"/>
        </w:rPr>
        <w:t>bare plurals (e.g., “tigers are striped”)</w:t>
      </w:r>
      <w:r w:rsidRPr="00D81E22">
        <w:rPr>
          <w:rStyle w:val="StyleUnderline"/>
        </w:rPr>
        <w:t>,</w:t>
      </w:r>
      <w:r>
        <w:rPr>
          <w:rStyle w:val="StyleUnderline"/>
        </w:rPr>
        <w:t xml:space="preserve"> </w:t>
      </w:r>
      <w:r w:rsidRPr="00D81E22">
        <w:rPr>
          <w:rStyle w:val="StyleUnderline"/>
        </w:rPr>
        <w:t>indefinite singulars</w:t>
      </w:r>
      <w:r>
        <w:rPr>
          <w:rStyle w:val="StyleUnderline"/>
        </w:rPr>
        <w:t xml:space="preserve"> </w:t>
      </w:r>
      <w:r w:rsidRPr="00D81E22">
        <w:rPr>
          <w:rStyle w:val="StyleUnderline"/>
        </w:rPr>
        <w:t>(e.g., “a tiger is striped”), and</w:t>
      </w:r>
      <w:r>
        <w:rPr>
          <w:rStyle w:val="StyleUnderline"/>
        </w:rPr>
        <w:t xml:space="preserve"> </w:t>
      </w:r>
      <w:r w:rsidRPr="00D81E22">
        <w:rPr>
          <w:rStyle w:val="StyleUnderline"/>
        </w:rPr>
        <w:t>definite singulars</w:t>
      </w:r>
      <w:r>
        <w:rPr>
          <w:rStyle w:val="StyleUnderline"/>
        </w:rPr>
        <w:t xml:space="preserve"> </w:t>
      </w:r>
      <w:r w:rsidRPr="00D81E22">
        <w:rPr>
          <w:rStyle w:val="StyleUnderline"/>
        </w:rPr>
        <w:t>(“the tiger is striped”). However, none of these syntactic forms is dedicated to expressing generic claims; each can also be used to express existential and/or specific claims</w:t>
      </w:r>
      <w:r w:rsidRPr="00AC2840">
        <w:rPr>
          <w:sz w:val="16"/>
        </w:rPr>
        <w:t xml:space="preserve">. Further, some </w:t>
      </w:r>
      <w:r w:rsidRPr="00D81E22">
        <w:rPr>
          <w:rStyle w:val="StyleUnderline"/>
        </w:rPr>
        <w:t>generics express</w:t>
      </w:r>
      <w:r w:rsidRPr="00AC2840">
        <w:rPr>
          <w:sz w:val="16"/>
        </w:rPr>
        <w:t xml:space="preserve"> what appear to be </w:t>
      </w:r>
      <w:r w:rsidRPr="00D81E22">
        <w:rPr>
          <w:rStyle w:val="StyleUnderline"/>
        </w:rPr>
        <w:t>generalizations over individuals (e.g., “tigers are striped”)</w:t>
      </w:r>
      <w:r w:rsidRPr="00AC2840">
        <w:rPr>
          <w:sz w:val="16"/>
        </w:rPr>
        <w:t xml:space="preserve">, while others appear to predicate properties directly of the kind (e.g., “dodos are extinct”). These facts and others give rise to a number of questions concerning the logical forms of generic statements. </w:t>
      </w:r>
      <w:r w:rsidRPr="00D81E22">
        <w:rPr>
          <w:rStyle w:val="StyleUnderline"/>
        </w:rPr>
        <w:t>1.1 Isolating the Generic Interpretation</w:t>
      </w:r>
      <w:r>
        <w:rPr>
          <w:rStyle w:val="StyleUnderline"/>
        </w:rPr>
        <w:t xml:space="preserve"> </w:t>
      </w:r>
      <w:r w:rsidRPr="00AC2840">
        <w:rPr>
          <w:sz w:val="16"/>
        </w:rPr>
        <w:t>Consider the following pairs of sentences: (1)a.Tigers are striped. b.Tigers are on the front lawn. (2)a.A tiger is striped. b.A tiger is on the front lawn. (3)a.The tiger is striped. b.The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AC2840">
          <w:rPr>
            <w:rStyle w:val="Hyperlink"/>
            <w:sz w:val="16"/>
          </w:rPr>
          <w:t>1b</w:t>
        </w:r>
      </w:hyperlink>
      <w:r w:rsidRPr="00AC2840">
        <w:rPr>
          <w:sz w:val="16"/>
        </w:rPr>
        <w:t>), some individual tiger in (</w:t>
      </w:r>
      <w:hyperlink r:id="rId12" w:anchor="ex2b" w:history="1">
        <w:r w:rsidRPr="00AC2840">
          <w:rPr>
            <w:rStyle w:val="Hyperlink"/>
            <w:sz w:val="16"/>
          </w:rPr>
          <w:t>2b</w:t>
        </w:r>
      </w:hyperlink>
      <w:r w:rsidRPr="00AC2840">
        <w:rPr>
          <w:sz w:val="16"/>
        </w:rPr>
        <w:t>), and some unique salient or familiar tiger in (</w:t>
      </w:r>
      <w:hyperlink r:id="rId13" w:anchor="ex3b" w:history="1">
        <w:r w:rsidRPr="00AC2840">
          <w:rPr>
            <w:rStyle w:val="Hyperlink"/>
            <w:sz w:val="16"/>
          </w:rPr>
          <w:t>3b</w:t>
        </w:r>
      </w:hyperlink>
      <w:r w:rsidRPr="00AC2840">
        <w:rPr>
          <w:sz w:val="16"/>
        </w:rPr>
        <w:t xml:space="preserve">)—a beloved pet, perhaps. In the first sentences, however, we are saying something general. There is/are no particular tiger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D81E22">
        <w:rPr>
          <w:rStyle w:val="StyleUnderline"/>
        </w:rPr>
        <w:t>There are some tests that are helpful in distinguishing these two readings</w:t>
      </w:r>
      <w:r w:rsidRPr="00AC2840">
        <w:rPr>
          <w:sz w:val="16"/>
        </w:rPr>
        <w:t xml:space="preserve">. For example, </w:t>
      </w:r>
      <w:r w:rsidRPr="00AC2840">
        <w:rPr>
          <w:rStyle w:val="StyleUnderline"/>
          <w:highlight w:val="green"/>
        </w:rPr>
        <w:t>the existential</w:t>
      </w:r>
      <w:r w:rsidRPr="00D81E22">
        <w:rPr>
          <w:rStyle w:val="StyleUnderline"/>
        </w:rPr>
        <w:t xml:space="preserve"> interpretation </w:t>
      </w:r>
      <w:r w:rsidRPr="00AC2840">
        <w:rPr>
          <w:rStyle w:val="StyleUnderline"/>
          <w:highlight w:val="green"/>
        </w:rPr>
        <w:t>is upward entailing, meaning</w:t>
      </w:r>
      <w:r w:rsidRPr="00D81E22">
        <w:rPr>
          <w:rStyle w:val="StyleUnderline"/>
        </w:rPr>
        <w:t xml:space="preserve"> that </w:t>
      </w:r>
      <w:r w:rsidRPr="00AC2840">
        <w:rPr>
          <w:rStyle w:val="StyleUnderline"/>
          <w:highlight w:val="green"/>
        </w:rPr>
        <w:t>the statement will</w:t>
      </w:r>
      <w:r w:rsidRPr="00D81E22">
        <w:rPr>
          <w:rStyle w:val="StyleUnderline"/>
        </w:rPr>
        <w:t xml:space="preserve"> always </w:t>
      </w:r>
      <w:r w:rsidRPr="00AC2840">
        <w:rPr>
          <w:rStyle w:val="StyleUnderline"/>
          <w:highlight w:val="green"/>
        </w:rPr>
        <w:t>remain true if we replace the subject</w:t>
      </w:r>
      <w:r w:rsidRPr="00D81E22">
        <w:rPr>
          <w:rStyle w:val="StyleUnderline"/>
        </w:rPr>
        <w:t xml:space="preserve"> term </w:t>
      </w:r>
      <w:r w:rsidRPr="00AC2840">
        <w:rPr>
          <w:rStyle w:val="StyleUnderline"/>
          <w:highlight w:val="green"/>
        </w:rPr>
        <w:t>with a more inclusive term</w:t>
      </w:r>
      <w:r w:rsidRPr="00AC2840">
        <w:rPr>
          <w:sz w:val="16"/>
        </w:rPr>
        <w:t>. Consider our examples above. In (</w:t>
      </w:r>
      <w:hyperlink r:id="rId14" w:anchor="ex1b" w:history="1">
        <w:r w:rsidRPr="00AC2840">
          <w:rPr>
            <w:rStyle w:val="Hyperlink"/>
            <w:sz w:val="16"/>
          </w:rPr>
          <w:t>1b</w:t>
        </w:r>
      </w:hyperlink>
      <w:r w:rsidRPr="00AC2840">
        <w:rPr>
          <w:sz w:val="16"/>
        </w:rPr>
        <w:t>), we can replace “tiger” with “animal” salva veritate, but in (</w:t>
      </w:r>
      <w:hyperlink r:id="rId15" w:anchor="ex1a" w:history="1">
        <w:r w:rsidRPr="00AC2840">
          <w:rPr>
            <w:rStyle w:val="Hyperlink"/>
            <w:sz w:val="16"/>
          </w:rPr>
          <w:t>1a</w:t>
        </w:r>
      </w:hyperlink>
      <w:r w:rsidRPr="00AC2840">
        <w:rPr>
          <w:sz w:val="16"/>
        </w:rPr>
        <w:t xml:space="preserve">) we cannot. </w:t>
      </w:r>
      <w:r w:rsidRPr="00D81E22">
        <w:rPr>
          <w:rStyle w:val="StyleUnderline"/>
        </w:rPr>
        <w:t>If “tigers are on the lawn” is true, then “animals are on the lawn” must be true.</w:t>
      </w:r>
      <w:r w:rsidRPr="00AC2840">
        <w:rPr>
          <w:sz w:val="16"/>
        </w:rPr>
        <w:t xml:space="preserve"> However, “tigers are striped” is true, yet “animals are striped” is false. (</w:t>
      </w:r>
      <w:hyperlink r:id="rId16" w:anchor="ex1a" w:history="1">
        <w:r w:rsidRPr="00AC2840">
          <w:rPr>
            <w:rStyle w:val="Hyperlink"/>
            <w:sz w:val="16"/>
          </w:rPr>
          <w:t>1a</w:t>
        </w:r>
      </w:hyperlink>
      <w:r w:rsidRPr="00AC2840">
        <w:rPr>
          <w:sz w:val="16"/>
        </w:rPr>
        <w:t>) does not entail that animals are striped, but (</w:t>
      </w:r>
      <w:hyperlink r:id="rId17" w:anchor="ex1b" w:history="1">
        <w:r w:rsidRPr="00AC2840">
          <w:rPr>
            <w:rStyle w:val="Hyperlink"/>
            <w:sz w:val="16"/>
          </w:rPr>
          <w:t>1b</w:t>
        </w:r>
      </w:hyperlink>
      <w:r w:rsidRPr="00AC2840">
        <w:rPr>
          <w:sz w:val="16"/>
        </w:rPr>
        <w:t xml:space="preserve">) entails that animals are on the front lawn (Lawler 1973; Laca 1990; Krifka et al. 1995). </w:t>
      </w:r>
      <w:r w:rsidRPr="00AC2840">
        <w:rPr>
          <w:rStyle w:val="StyleUnderline"/>
          <w:highlight w:val="green"/>
        </w:rPr>
        <w:t>Another test concerns whether we can insert an adverb of quantification with minimal change of meaning</w:t>
      </w:r>
      <w:r w:rsidRPr="00AC2840">
        <w:rPr>
          <w:sz w:val="16"/>
        </w:rPr>
        <w:t xml:space="preserve"> (Krifka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AC2840">
        <w:rPr>
          <w:sz w:val="16"/>
        </w:rPr>
        <w:t xml:space="preserve"> (For generics such as “mosquitoes carry malaria”, the adverb “sometimes” is perhaps better used than “usually” to mark off the generic reading.) </w:t>
      </w:r>
    </w:p>
    <w:p w14:paraId="4A473A38" w14:textId="77777777" w:rsidR="00261F55" w:rsidRDefault="00261F55" w:rsidP="00261F55">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29916517" w14:textId="77777777" w:rsidR="00261F55" w:rsidRDefault="00261F55" w:rsidP="00261F55">
      <w:pPr>
        <w:pStyle w:val="Heading4"/>
      </w:pPr>
      <w:r w:rsidRPr="00BB44EF">
        <w:t>Precision outweighs pragmatics A) 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49DFE8AA" w14:textId="77777777" w:rsidR="00261F55" w:rsidRDefault="00261F55" w:rsidP="00261F55">
      <w:pPr>
        <w:pStyle w:val="Heading4"/>
      </w:pPr>
      <w:r>
        <w:t>Standards:</w:t>
      </w:r>
    </w:p>
    <w:p w14:paraId="2DED9C46" w14:textId="77777777" w:rsidR="00261F55" w:rsidRDefault="00261F55" w:rsidP="00261F55">
      <w:pPr>
        <w:pStyle w:val="Heading4"/>
        <w:numPr>
          <w:ilvl w:val="0"/>
          <w:numId w:val="15"/>
        </w:numPr>
        <w:tabs>
          <w:tab w:val="num" w:pos="360"/>
        </w:tabs>
        <w:ind w:left="0" w:firstLine="0"/>
      </w:pPr>
      <w:r>
        <w:t>Semantics --- anything other than strict adherence to the resolution means they can arbitrarily jettison any word in the resolution which kills topic stasis.  Semantics k2 fairness because they determine prep, otherwise one side has an imbalance.</w:t>
      </w:r>
    </w:p>
    <w:p w14:paraId="0F90ED18" w14:textId="77777777" w:rsidR="00261F55" w:rsidRDefault="00261F55" w:rsidP="00261F55">
      <w:pPr>
        <w:pStyle w:val="Heading4"/>
        <w:numPr>
          <w:ilvl w:val="0"/>
          <w:numId w:val="15"/>
        </w:numPr>
        <w:tabs>
          <w:tab w:val="num" w:pos="360"/>
        </w:tabs>
        <w:ind w:left="0" w:firstLine="0"/>
      </w:pPr>
      <w:r>
        <w:t>Limits --- there’s over 76 AFFS</w:t>
      </w:r>
    </w:p>
    <w:p w14:paraId="45E46605" w14:textId="77777777" w:rsidR="00261F55" w:rsidRDefault="00261F55" w:rsidP="00261F55">
      <w:pPr>
        <w:pStyle w:val="Heading4"/>
        <w:numPr>
          <w:ilvl w:val="1"/>
          <w:numId w:val="15"/>
        </w:numPr>
        <w:tabs>
          <w:tab w:val="num" w:pos="360"/>
        </w:tabs>
        <w:ind w:left="0" w:firstLine="0"/>
      </w:pPr>
      <w:r>
        <w:t>Limits controls the I/L to predictability --- topic constraints guide pre-round prep.  Predictability key to fairness because it ensures reciprocal prep burdens.</w:t>
      </w:r>
    </w:p>
    <w:p w14:paraId="662A9F69" w14:textId="77777777" w:rsidR="00261F55" w:rsidRDefault="00261F55" w:rsidP="00261F55">
      <w:pPr>
        <w:pStyle w:val="Heading4"/>
        <w:numPr>
          <w:ilvl w:val="1"/>
          <w:numId w:val="15"/>
        </w:numPr>
        <w:tabs>
          <w:tab w:val="num" w:pos="360"/>
        </w:tabs>
        <w:ind w:left="0" w:firstLine="0"/>
      </w:pPr>
      <w:r>
        <w:t>Limits are key to clash --- pre-round prep is necessary for well-researched clash.  Clash key to education because engagement is how we learn in a debate round.</w:t>
      </w:r>
    </w:p>
    <w:p w14:paraId="0C3277EF" w14:textId="77777777" w:rsidR="00261F55" w:rsidRDefault="00261F55" w:rsidP="00261F55">
      <w:pPr>
        <w:pStyle w:val="Heading4"/>
      </w:pPr>
      <w:r>
        <w:t>Voters ---</w:t>
      </w:r>
    </w:p>
    <w:p w14:paraId="072FB7D0" w14:textId="77777777" w:rsidR="00261F55" w:rsidRDefault="00261F55" w:rsidP="00261F55">
      <w:pPr>
        <w:pStyle w:val="Heading4"/>
      </w:pPr>
      <w:r>
        <w:t>Fairness is a voter because debate is a game and in round competitive equity is necessary for equal access to the ballot</w:t>
      </w:r>
    </w:p>
    <w:p w14:paraId="4CAB4B94" w14:textId="77777777" w:rsidR="00261F55" w:rsidRDefault="00261F55" w:rsidP="00261F55">
      <w:pPr>
        <w:pStyle w:val="Heading4"/>
      </w:pPr>
      <w:r>
        <w:t>Education is a voter because it’s the portable impact to debate</w:t>
      </w:r>
    </w:p>
    <w:p w14:paraId="627F3C43" w14:textId="77777777" w:rsidR="00261F55" w:rsidRDefault="00261F55" w:rsidP="00261F55">
      <w:pPr>
        <w:pStyle w:val="Heading4"/>
      </w:pPr>
      <w:r>
        <w:t>C/I ---</w:t>
      </w:r>
    </w:p>
    <w:p w14:paraId="4637CBD4" w14:textId="77777777" w:rsidR="00261F55" w:rsidRDefault="00261F55" w:rsidP="00261F55">
      <w:pPr>
        <w:pStyle w:val="Heading4"/>
        <w:numPr>
          <w:ilvl w:val="0"/>
          <w:numId w:val="12"/>
        </w:numPr>
        <w:ind w:left="360"/>
      </w:pPr>
      <w:r>
        <w:t>Norming --- competing interps finds the best model of debate</w:t>
      </w:r>
    </w:p>
    <w:p w14:paraId="659356A9" w14:textId="77777777" w:rsidR="00261F55" w:rsidRDefault="00261F55" w:rsidP="00261F55">
      <w:pPr>
        <w:pStyle w:val="Heading4"/>
        <w:numPr>
          <w:ilvl w:val="0"/>
          <w:numId w:val="12"/>
        </w:numPr>
        <w:ind w:left="360"/>
      </w:pPr>
      <w:r>
        <w:t>Reasonability causes a race to the bottom by incentivizing more and more abuse</w:t>
      </w:r>
    </w:p>
    <w:p w14:paraId="607078A5" w14:textId="77777777" w:rsidR="00261F55" w:rsidRDefault="00261F55" w:rsidP="00261F55">
      <w:pPr>
        <w:pStyle w:val="Heading4"/>
      </w:pPr>
      <w:r>
        <w:t>DTD ---</w:t>
      </w:r>
    </w:p>
    <w:p w14:paraId="55D13752" w14:textId="77777777" w:rsidR="00261F55" w:rsidRDefault="00261F55" w:rsidP="00261F55">
      <w:pPr>
        <w:pStyle w:val="Heading4"/>
        <w:numPr>
          <w:ilvl w:val="0"/>
          <w:numId w:val="13"/>
        </w:numPr>
        <w:tabs>
          <w:tab w:val="num" w:pos="360"/>
        </w:tabs>
        <w:ind w:left="0" w:firstLine="0"/>
      </w:pPr>
      <w:r>
        <w:t>Deterrence --- if you lose, you’ll change your strategy</w:t>
      </w:r>
    </w:p>
    <w:p w14:paraId="56441569" w14:textId="77777777" w:rsidR="00261F55" w:rsidRDefault="00261F55" w:rsidP="00261F55">
      <w:pPr>
        <w:pStyle w:val="Heading4"/>
        <w:numPr>
          <w:ilvl w:val="0"/>
          <w:numId w:val="13"/>
        </w:numPr>
        <w:tabs>
          <w:tab w:val="num" w:pos="360"/>
        </w:tabs>
        <w:ind w:left="0" w:firstLine="0"/>
      </w:pPr>
      <w:r>
        <w:t>It indicts reading the AFF in the first place --- means substance was irreparably skewed, only dropping the debater rectifies this abuse</w:t>
      </w:r>
    </w:p>
    <w:p w14:paraId="0CF64812" w14:textId="77777777" w:rsidR="00261F55" w:rsidRPr="00C17D69" w:rsidRDefault="00261F55" w:rsidP="00261F55">
      <w:pPr>
        <w:pStyle w:val="Heading4"/>
        <w:numPr>
          <w:ilvl w:val="0"/>
          <w:numId w:val="13"/>
        </w:numPr>
        <w:tabs>
          <w:tab w:val="num" w:pos="360"/>
        </w:tabs>
        <w:ind w:left="0" w:firstLine="0"/>
      </w:pPr>
      <w:r>
        <w:t>Collapses --- DTA would be rejecting the AFF which is DTD.  AFF severance is terrible --- it creates a moving target, and moots 7 minutes of NC offense</w:t>
      </w:r>
    </w:p>
    <w:p w14:paraId="5F3795BB" w14:textId="77777777" w:rsidR="00261F55" w:rsidRDefault="00261F55" w:rsidP="00261F55">
      <w:pPr>
        <w:pStyle w:val="Heading4"/>
      </w:pPr>
      <w:r>
        <w:t>No RVIs ---</w:t>
      </w:r>
    </w:p>
    <w:p w14:paraId="727813CD" w14:textId="77777777" w:rsidR="00261F55" w:rsidRDefault="00261F55" w:rsidP="00261F55">
      <w:pPr>
        <w:pStyle w:val="Heading4"/>
        <w:numPr>
          <w:ilvl w:val="0"/>
          <w:numId w:val="14"/>
        </w:numPr>
        <w:tabs>
          <w:tab w:val="num" w:pos="360"/>
        </w:tabs>
        <w:ind w:left="0" w:firstLine="0"/>
      </w:pPr>
      <w:r>
        <w:t>Illogical --- you shouldn’t win for proving you didn’t cheat.  Logic is a metaconstraint on arguments</w:t>
      </w:r>
    </w:p>
    <w:p w14:paraId="039C9CC2" w14:textId="77777777" w:rsidR="00261F55" w:rsidRDefault="00261F55" w:rsidP="00261F55">
      <w:pPr>
        <w:pStyle w:val="Heading4"/>
        <w:numPr>
          <w:ilvl w:val="0"/>
          <w:numId w:val="14"/>
        </w:numPr>
        <w:tabs>
          <w:tab w:val="num" w:pos="360"/>
        </w:tabs>
        <w:ind w:left="0" w:firstLine="0"/>
      </w:pPr>
      <w:r>
        <w:t>Theory baiting --- incentivizes abusive AFFs that will just collapse to the RVI</w:t>
      </w:r>
    </w:p>
    <w:p w14:paraId="2A366691" w14:textId="77777777" w:rsidR="00261F55" w:rsidRPr="004F2F81" w:rsidRDefault="00261F55" w:rsidP="00261F55">
      <w:pPr>
        <w:pStyle w:val="Heading4"/>
        <w:numPr>
          <w:ilvl w:val="0"/>
          <w:numId w:val="14"/>
        </w:numPr>
        <w:tabs>
          <w:tab w:val="num" w:pos="360"/>
        </w:tabs>
        <w:ind w:left="0" w:firstLine="0"/>
      </w:pPr>
      <w:r>
        <w:t>Chilling effect --- RVIs allow AFFs to collapse to the RVI, deterring NEGs from checking abuse.  O/w --- a. infinite abuse, b. if the shell is frivolous you should be able to beat it</w:t>
      </w:r>
    </w:p>
    <w:p w14:paraId="040982F9" w14:textId="77777777" w:rsidR="00261F55" w:rsidRDefault="00261F55" w:rsidP="00261F55"/>
    <w:p w14:paraId="7BF24A11" w14:textId="77777777" w:rsidR="00261F55" w:rsidRDefault="00261F55" w:rsidP="00261F55">
      <w:pPr>
        <w:pStyle w:val="Heading3"/>
      </w:pPr>
      <w:r>
        <w:t>1NC - OFF</w:t>
      </w:r>
    </w:p>
    <w:p w14:paraId="1910768C" w14:textId="77777777" w:rsidR="00261F55" w:rsidRDefault="00261F55" w:rsidP="00261F55">
      <w:r>
        <w:t>Stonks DA</w:t>
      </w:r>
    </w:p>
    <w:p w14:paraId="27A0A2D1" w14:textId="77777777" w:rsidR="00261F55" w:rsidRDefault="00261F55" w:rsidP="00261F55">
      <w:r>
        <w:t>Stick them w/the US --- a. heart of topic lit, b. ev assumes, c. 2NR no links destroys clash</w:t>
      </w:r>
    </w:p>
    <w:p w14:paraId="5892EA1D" w14:textId="77777777" w:rsidR="00261F55" w:rsidRDefault="00261F55" w:rsidP="00261F55">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172C5199" w14:textId="77777777" w:rsidR="00261F55" w:rsidRPr="003E493C" w:rsidRDefault="00261F55" w:rsidP="00261F55">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0" w:history="1">
        <w:r w:rsidRPr="00270F2A">
          <w:rPr>
            <w:rStyle w:val="Hyperlink"/>
          </w:rPr>
          <w:t>https://www.cnbc.com/2021/10/21/stock-market-futures-open-to-close-news.html</w:t>
        </w:r>
      </w:hyperlink>
      <w:r>
        <w:t>]</w:t>
      </w:r>
    </w:p>
    <w:p w14:paraId="1A43261D" w14:textId="77777777" w:rsidR="00261F55" w:rsidRPr="00E735B5" w:rsidRDefault="00261F55" w:rsidP="00261F55">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1D19DD9C" w14:textId="77777777" w:rsidR="00261F55" w:rsidRDefault="00261F55" w:rsidP="00261F55">
      <w:r w:rsidRPr="003E493C">
        <w:rPr>
          <w:noProof/>
        </w:rPr>
        <w:drawing>
          <wp:inline distT="0" distB="0" distL="0" distR="0" wp14:anchorId="228EFDEA" wp14:editId="62AFB4C0">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1"/>
                    <a:stretch>
                      <a:fillRect/>
                    </a:stretch>
                  </pic:blipFill>
                  <pic:spPr>
                    <a:xfrm>
                      <a:off x="0" y="0"/>
                      <a:ext cx="3565085" cy="2557661"/>
                    </a:xfrm>
                    <a:prstGeom prst="rect">
                      <a:avLst/>
                    </a:prstGeom>
                  </pic:spPr>
                </pic:pic>
              </a:graphicData>
            </a:graphic>
          </wp:inline>
        </w:drawing>
      </w:r>
    </w:p>
    <w:p w14:paraId="0457708F" w14:textId="77777777" w:rsidR="00261F55" w:rsidRPr="00FB0EDC" w:rsidRDefault="00261F55" w:rsidP="00261F55"/>
    <w:p w14:paraId="2985CAFC" w14:textId="77777777" w:rsidR="00261F55" w:rsidRDefault="00261F55" w:rsidP="00261F55">
      <w:pPr>
        <w:pStyle w:val="Heading4"/>
      </w:pPr>
      <w:r>
        <w:t xml:space="preserve">Best data proves union strike victories </w:t>
      </w:r>
      <w:r w:rsidRPr="003F1A0E">
        <w:rPr>
          <w:u w:val="single"/>
        </w:rPr>
        <w:t>statistically cause stock market crash</w:t>
      </w:r>
      <w:r>
        <w:t>.</w:t>
      </w:r>
    </w:p>
    <w:p w14:paraId="0CC8DF65" w14:textId="77777777" w:rsidR="00261F55" w:rsidRPr="003F1A0E" w:rsidRDefault="00261F55" w:rsidP="00261F55">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2" w:history="1">
        <w:r w:rsidRPr="00540FF3">
          <w:rPr>
            <w:rStyle w:val="Hyperlink"/>
          </w:rPr>
          <w:t>https://academic.oup.com/qje/article-abstract/127/1/333/1834007?redirectedFrom=fulltext</w:t>
        </w:r>
      </w:hyperlink>
      <w:r>
        <w:t>]</w:t>
      </w:r>
    </w:p>
    <w:p w14:paraId="112EE1DD" w14:textId="77777777" w:rsidR="00261F55" w:rsidRPr="009B1F9A" w:rsidRDefault="00261F55" w:rsidP="00261F55">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4E9B894A" w14:textId="77777777" w:rsidR="00261F55" w:rsidRPr="009B1F9A" w:rsidRDefault="00261F55" w:rsidP="00261F55">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3FEEC9F4" w14:textId="77777777" w:rsidR="00261F55" w:rsidRPr="009B1F9A" w:rsidRDefault="00261F55" w:rsidP="00261F55">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46C668F6" w14:textId="77777777" w:rsidR="00261F55" w:rsidRPr="009B1F9A" w:rsidRDefault="00261F55" w:rsidP="00261F55">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44B57E9B" w14:textId="77777777" w:rsidR="00261F55" w:rsidRDefault="00261F55" w:rsidP="00261F55"/>
    <w:p w14:paraId="01C6E6F7" w14:textId="77777777" w:rsidR="00261F55" w:rsidRPr="00DF7201" w:rsidRDefault="00261F55" w:rsidP="00261F55">
      <w:pPr>
        <w:pStyle w:val="Heading4"/>
      </w:pPr>
      <w:r w:rsidRPr="00DF7201">
        <w:t>Stock market collapse leads to full recession</w:t>
      </w:r>
      <w:r>
        <w:t>.</w:t>
      </w:r>
    </w:p>
    <w:p w14:paraId="46973F5D" w14:textId="77777777" w:rsidR="00261F55" w:rsidRPr="00DF7201" w:rsidRDefault="00261F55" w:rsidP="00261F55">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0C74D9">
        <w:rPr>
          <w:rFonts w:cstheme="minorHAnsi"/>
          <w:sz w:val="16"/>
          <w:szCs w:val="16"/>
        </w:rPr>
        <w:t xml:space="preserve"> (Jianjun Miao† , Pengfei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33669E04" w14:textId="77777777" w:rsidR="00261F55" w:rsidRPr="00321DFB" w:rsidRDefault="00261F55" w:rsidP="00261F55">
      <w:pPr>
        <w:rPr>
          <w:rFonts w:cstheme="minorHAnsi"/>
          <w:sz w:val="16"/>
        </w:rPr>
      </w:pPr>
      <w:r w:rsidRPr="00321DFB">
        <w:rPr>
          <w:rFonts w:cstheme="minorHAnsi"/>
          <w:sz w:val="16"/>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asset prices collapse and a credit crunch arises</w:t>
      </w:r>
      <w:r w:rsidRPr="00321DFB">
        <w:rPr>
          <w:rFonts w:cstheme="minorHAnsi"/>
          <w:sz w:val="16"/>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321DFB">
        <w:rPr>
          <w:rFonts w:cstheme="minorHAnsi"/>
          <w:sz w:val="16"/>
        </w:rPr>
        <w:t xml:space="preserve">.1 Third, </w:t>
      </w:r>
      <w:r w:rsidRPr="00DF7201">
        <w:rPr>
          <w:rStyle w:val="StyleUnderline"/>
          <w:rFonts w:cstheme="minorHAnsi"/>
        </w:rPr>
        <w:t>the stock market and unemployment are highly correlated</w:t>
      </w:r>
      <w:r w:rsidRPr="00321DFB">
        <w:rPr>
          <w:rFonts w:cstheme="minorHAnsi"/>
          <w:sz w:val="16"/>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321DFB">
        <w:rPr>
          <w:rFonts w:cstheme="minorHAnsi"/>
          <w:sz w:val="16"/>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137168">
        <w:rPr>
          <w:rStyle w:val="StyleUnderline"/>
          <w:rFonts w:cstheme="minorHAnsi"/>
          <w:highlight w:val="green"/>
        </w:rPr>
        <w:t xml:space="preserve">Bureau </w:t>
      </w:r>
      <w:r w:rsidRPr="00927059">
        <w:rPr>
          <w:rStyle w:val="StyleUnderline"/>
          <w:rFonts w:cstheme="minorHAnsi"/>
          <w:highlight w:val="green"/>
        </w:rPr>
        <w:t>of</w:t>
      </w:r>
      <w:r w:rsidRPr="00DF7201">
        <w:rPr>
          <w:rStyle w:val="StyleUnderline"/>
          <w:rFonts w:cstheme="minorHAnsi"/>
        </w:rPr>
        <w:t xml:space="preserve"> Labor </w:t>
      </w:r>
      <w:r w:rsidRPr="00137168">
        <w:rPr>
          <w:rStyle w:val="StyleUnderline"/>
          <w:rFonts w:cstheme="minorHAnsi"/>
          <w:highlight w:val="green"/>
        </w:rPr>
        <w:t>Statistics</w:t>
      </w:r>
      <w:r w:rsidRPr="00321DFB">
        <w:rPr>
          <w:rFonts w:cstheme="minorHAnsi"/>
          <w:sz w:val="16"/>
        </w:rPr>
        <w:t xml:space="preserve"> (BLS).3 This figure </w:t>
      </w:r>
      <w:r w:rsidRPr="00137168">
        <w:rPr>
          <w:rStyle w:val="StyleUnderline"/>
          <w:highlight w:val="green"/>
        </w:rPr>
        <w:t>shows that</w:t>
      </w:r>
      <w:r w:rsidRPr="00927059">
        <w:rPr>
          <w:rStyle w:val="StyleUnderline"/>
        </w:rPr>
        <w:t xml:space="preserve">, </w:t>
      </w:r>
      <w:r w:rsidRPr="00DF7201">
        <w:rPr>
          <w:rStyle w:val="StyleUnderline"/>
        </w:rPr>
        <w:t>during</w:t>
      </w:r>
      <w:r w:rsidRPr="00DF7201">
        <w:rPr>
          <w:rStyle w:val="StyleUnderline"/>
          <w:rFonts w:cstheme="minorHAnsi"/>
        </w:rPr>
        <w:t xml:space="preserve"> recessions, the stock price fell and the unemployment rate rose</w:t>
      </w:r>
      <w:r w:rsidRPr="00321DFB">
        <w:rPr>
          <w:rFonts w:cstheme="minorHAnsi"/>
          <w:sz w:val="16"/>
        </w:rPr>
        <w:t xml:space="preserve">. In particular, during the recent Great Recession, the unemployment rate rose from 5.0 percent at the onset of the recession to a peak of 10.1 percent in October 2009, while the stock market fell by more than 50 percent from October 2007 to March 2009. </w:t>
      </w:r>
      <w:r w:rsidRPr="00321DFB">
        <w:rPr>
          <w:rFonts w:cstheme="minorHAnsi"/>
          <w:sz w:val="16"/>
          <w:szCs w:val="14"/>
        </w:rPr>
        <w:t xml:space="preserve">[Insert Figure 1 Here.] </w:t>
      </w:r>
      <w:r w:rsidRPr="00321DFB">
        <w:rPr>
          <w:rFonts w:cstheme="minorHAnsi"/>
          <w:sz w:val="16"/>
        </w:rPr>
        <w:t xml:space="preserve">Motivated by the preceding observations, </w:t>
      </w:r>
      <w:r w:rsidRPr="00DF7201">
        <w:rPr>
          <w:rStyle w:val="StyleUnderline"/>
          <w:rFonts w:cstheme="minorHAnsi"/>
        </w:rPr>
        <w:t>we build a search model with credit constraints</w:t>
      </w:r>
      <w:r w:rsidRPr="00321DFB">
        <w:rPr>
          <w:rFonts w:cstheme="minorHAnsi"/>
          <w:sz w:val="16"/>
        </w:rPr>
        <w:t xml:space="preserve">, based on Blanchard and Gali (2010). The Blanchard and Gali model is isomorphic to the Diamond-Mortensen-Pissarides (DMP) search and matching model of unemployment (Diamond (1982), Mortensen (1982), and Pissarides (1985)). Our key contribution is to introduce credit constraints in a way similar to Miao and Wang (2011a,b,c,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321DFB">
        <w:rPr>
          <w:rFonts w:cstheme="minorHAnsi"/>
          <w:sz w:val="16"/>
        </w:rPr>
        <w:t xml:space="preserve">. The intuition is the following: </w:t>
      </w:r>
      <w:r w:rsidRPr="00137168">
        <w:rPr>
          <w:rStyle w:val="StyleUnderline"/>
          <w:rFonts w:cstheme="minorHAnsi"/>
          <w:highlight w:val="green"/>
        </w:rPr>
        <w:t>When</w:t>
      </w:r>
      <w:r w:rsidRPr="00927059">
        <w:rPr>
          <w:rStyle w:val="StyleUnderline"/>
          <w:rFonts w:cstheme="minorHAnsi"/>
        </w:rPr>
        <w:t xml:space="preserve">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321DFB">
        <w:rPr>
          <w:rFonts w:cstheme="minorHAnsi"/>
          <w:sz w:val="16"/>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321DFB">
        <w:rPr>
          <w:rFonts w:cstheme="minorHAnsi"/>
          <w:sz w:val="16"/>
        </w:rPr>
        <w:t xml:space="preserve">. </w:t>
      </w:r>
      <w:r w:rsidRPr="00DF7201">
        <w:rPr>
          <w:rStyle w:val="Emphasis"/>
          <w:rFonts w:cstheme="minorHAnsi"/>
        </w:rPr>
        <w:t>Then the firm can finance more investment and hiring spending</w:t>
      </w:r>
      <w:r w:rsidRPr="00321DFB">
        <w:rPr>
          <w:rFonts w:cstheme="minorHAnsi"/>
          <w:sz w:val="16"/>
        </w:rPr>
        <w:t xml:space="preserve">. </w:t>
      </w:r>
      <w:r w:rsidRPr="00DF7201">
        <w:rPr>
          <w:rStyle w:val="StyleUnderline"/>
          <w:rFonts w:cstheme="minorHAnsi"/>
        </w:rPr>
        <w:t>This generates higher firm value and justifies investors’ initial optimistic beliefs. Thus, a high stock market value of the firm can be sustained in equilibrium</w:t>
      </w:r>
      <w:r w:rsidRPr="00321DFB">
        <w:rPr>
          <w:rFonts w:cstheme="minorHAnsi"/>
          <w:sz w:val="16"/>
        </w:rPr>
        <w:t xml:space="preserve">. </w:t>
      </w:r>
      <w:r w:rsidRPr="00DF7201">
        <w:rPr>
          <w:rStyle w:val="StyleUnderline"/>
          <w:rFonts w:cstheme="minorHAnsi"/>
        </w:rPr>
        <w:t xml:space="preserve">There is another equilibrium in which </w:t>
      </w:r>
      <w:r w:rsidRPr="00137168">
        <w:rPr>
          <w:rStyle w:val="StyleUnderline"/>
          <w:rFonts w:cstheme="minorHAnsi"/>
          <w:highlight w:val="green"/>
        </w:rPr>
        <w:t>no one believes</w:t>
      </w:r>
      <w:r w:rsidRPr="00DF7201">
        <w:rPr>
          <w:rStyle w:val="StyleUnderline"/>
          <w:rFonts w:cstheme="minorHAnsi"/>
        </w:rPr>
        <w:t xml:space="preserve"> that </w:t>
      </w:r>
      <w:r w:rsidRPr="00137168">
        <w:rPr>
          <w:rStyle w:val="StyleUnderline"/>
          <w:rFonts w:cstheme="minorHAnsi"/>
          <w:highlight w:val="green"/>
        </w:rPr>
        <w:t>firm assets have</w:t>
      </w:r>
      <w:r w:rsidRPr="00927059">
        <w:rPr>
          <w:rStyle w:val="StyleUnderline"/>
          <w:rFonts w:cstheme="minorHAnsi"/>
        </w:rPr>
        <w:t xml:space="preserve"> </w:t>
      </w:r>
      <w:r w:rsidRPr="00DF7201">
        <w:rPr>
          <w:rStyle w:val="StyleUnderline"/>
          <w:rFonts w:cstheme="minorHAnsi"/>
        </w:rPr>
        <w:t xml:space="preserve">a high </w:t>
      </w:r>
      <w:r w:rsidRPr="00137168">
        <w:rPr>
          <w:rStyle w:val="StyleUnderline"/>
          <w:rFonts w:cstheme="minorHAnsi"/>
          <w:highlight w:val="green"/>
        </w:rPr>
        <w:t>value</w:t>
      </w:r>
      <w:r w:rsidRPr="00DF7201">
        <w:rPr>
          <w:rStyle w:val="StyleUnderline"/>
          <w:rFonts w:cstheme="minorHAnsi"/>
        </w:rPr>
        <w:t xml:space="preserve">. In this case, </w:t>
      </w:r>
      <w:r w:rsidRPr="00DF7201">
        <w:rPr>
          <w:rStyle w:val="Emphasis"/>
          <w:rFonts w:cstheme="minorHAnsi"/>
        </w:rPr>
        <w:t xml:space="preserve">the </w:t>
      </w:r>
      <w:r w:rsidRPr="00137168">
        <w:rPr>
          <w:rStyle w:val="Emphasis"/>
          <w:rFonts w:cstheme="minorHAnsi"/>
          <w:highlight w:val="green"/>
        </w:rPr>
        <w:t>firm cannot borrow</w:t>
      </w:r>
      <w:r w:rsidRPr="00927059">
        <w:rPr>
          <w:rStyle w:val="Emphasis"/>
          <w:rFonts w:cstheme="minorHAnsi"/>
        </w:rPr>
        <w:t xml:space="preserve"> </w:t>
      </w:r>
      <w:r w:rsidRPr="00DF7201">
        <w:rPr>
          <w:rStyle w:val="Emphasis"/>
          <w:rFonts w:cstheme="minorHAnsi"/>
        </w:rPr>
        <w:t xml:space="preserve">more </w:t>
      </w:r>
      <w:r w:rsidRPr="00137168">
        <w:rPr>
          <w:rStyle w:val="Emphasis"/>
          <w:rFonts w:cstheme="minorHAnsi"/>
          <w:highlight w:val="green"/>
        </w:rPr>
        <w:t>to finance investment and hiring spending</w:t>
      </w:r>
      <w:r w:rsidRPr="00321DFB">
        <w:rPr>
          <w:rFonts w:cstheme="minorHAnsi"/>
          <w:sz w:val="16"/>
        </w:rPr>
        <w:t xml:space="preserve">. </w:t>
      </w:r>
      <w:r w:rsidRPr="00DF7201">
        <w:rPr>
          <w:rStyle w:val="StyleUnderline"/>
          <w:rFonts w:cstheme="minorHAnsi"/>
        </w:rPr>
        <w:t>This makes firm value indeed low, justifying initial pessimistic beliefs</w:t>
      </w:r>
      <w:r w:rsidRPr="00321DFB">
        <w:rPr>
          <w:rFonts w:cstheme="minorHAnsi"/>
          <w:sz w:val="16"/>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321DFB">
        <w:rPr>
          <w:rFonts w:cstheme="minorHAnsi"/>
          <w:sz w:val="16"/>
          <w:szCs w:val="14"/>
        </w:rPr>
        <w:t xml:space="preserve">[Insert Figure 2 Here.] </w:t>
      </w:r>
      <w:r w:rsidRPr="00DF7201">
        <w:rPr>
          <w:rStyle w:val="StyleUnderline"/>
          <w:rFonts w:cstheme="minorHAnsi"/>
        </w:rPr>
        <w:t>After analyzing these two types of equilibria, we</w:t>
      </w:r>
      <w:r w:rsidRPr="00321DFB">
        <w:rPr>
          <w:rFonts w:cstheme="minorHAnsi"/>
          <w:sz w:val="16"/>
        </w:rPr>
        <w:t xml:space="preserve"> follow Weil (1987), Kocherlakota (2009) and Miao and Wang (2011a,b,c,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321DFB">
        <w:rPr>
          <w:rFonts w:cstheme="minorHAnsi"/>
          <w:sz w:val="16"/>
        </w:rPr>
        <w:t xml:space="preserve">. </w:t>
      </w:r>
      <w:r w:rsidRPr="00DF7201">
        <w:rPr>
          <w:rStyle w:val="StyleUnderline"/>
          <w:rFonts w:cstheme="minorHAnsi"/>
        </w:rPr>
        <w:t xml:space="preserve">Agents believe that there is a small </w:t>
      </w:r>
      <w:r w:rsidRPr="00137168">
        <w:rPr>
          <w:rStyle w:val="StyleUnderline"/>
          <w:rFonts w:cstheme="minorHAnsi"/>
          <w:highlight w:val="green"/>
        </w:rPr>
        <w:t>probability</w:t>
      </w:r>
      <w:r w:rsidRPr="00DF7201">
        <w:rPr>
          <w:rStyle w:val="StyleUnderline"/>
          <w:rFonts w:cstheme="minorHAnsi"/>
        </w:rPr>
        <w:t xml:space="preserve"> that </w:t>
      </w:r>
      <w:r w:rsidRPr="00137168">
        <w:rPr>
          <w:rStyle w:val="StyleUnderline"/>
          <w:rFonts w:cstheme="minorHAnsi"/>
          <w:highlight w:val="green"/>
        </w:rPr>
        <w:t>the stock</w:t>
      </w:r>
      <w:r w:rsidRPr="00080A6A">
        <w:rPr>
          <w:rStyle w:val="StyleUnderline"/>
          <w:rFonts w:cstheme="minorHAnsi"/>
        </w:rPr>
        <w:t xml:space="preserve"> </w:t>
      </w:r>
      <w:r w:rsidRPr="00DF7201">
        <w:rPr>
          <w:rStyle w:val="StyleUnderline"/>
          <w:rFonts w:cstheme="minorHAnsi"/>
        </w:rPr>
        <w:t xml:space="preserve">market </w:t>
      </w:r>
      <w:r w:rsidRPr="00137168">
        <w:rPr>
          <w:rStyle w:val="StyleUnderline"/>
          <w:rFonts w:cstheme="minorHAnsi"/>
          <w:highlight w:val="green"/>
        </w:rPr>
        <w:t>bubble</w:t>
      </w:r>
      <w:r w:rsidRPr="00080A6A">
        <w:rPr>
          <w:rStyle w:val="StyleUnderline"/>
          <w:rFonts w:cstheme="minorHAnsi"/>
        </w:rPr>
        <w:t xml:space="preserve"> </w:t>
      </w:r>
      <w:r w:rsidRPr="00DF7201">
        <w:rPr>
          <w:rStyle w:val="StyleUnderline"/>
          <w:rFonts w:cstheme="minorHAnsi"/>
        </w:rPr>
        <w:t xml:space="preserve">may </w:t>
      </w:r>
      <w:r w:rsidRPr="00137168">
        <w:rPr>
          <w:rStyle w:val="StyleUnderline"/>
          <w:rFonts w:cstheme="minorHAnsi"/>
          <w:highlight w:val="green"/>
        </w:rPr>
        <w:t>burst</w:t>
      </w:r>
      <w:r w:rsidRPr="00321DFB">
        <w:rPr>
          <w:rFonts w:cstheme="minorHAnsi"/>
          <w:sz w:val="16"/>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321DFB">
        <w:rPr>
          <w:rFonts w:cstheme="minorHAnsi"/>
          <w:sz w:val="16"/>
        </w:rPr>
        <w:t xml:space="preserve">. We show that </w:t>
      </w:r>
      <w:r w:rsidRPr="00DF7201">
        <w:rPr>
          <w:rStyle w:val="Emphasis"/>
          <w:rFonts w:cstheme="minorHAnsi"/>
        </w:rPr>
        <w:t>this shift of beliefs can also be self-fulfilling</w:t>
      </w:r>
      <w:r w:rsidRPr="00321DFB">
        <w:rPr>
          <w:rFonts w:cstheme="minorHAnsi"/>
          <w:sz w:val="16"/>
        </w:rPr>
        <w:t xml:space="preserve">. </w:t>
      </w:r>
      <w:r w:rsidRPr="00137168">
        <w:rPr>
          <w:rStyle w:val="StyleUnderline"/>
          <w:rFonts w:cstheme="minorHAnsi"/>
          <w:highlight w:val="green"/>
        </w:rPr>
        <w:t>After</w:t>
      </w:r>
      <w:r w:rsidRPr="00080A6A">
        <w:rPr>
          <w:rStyle w:val="StyleUnderline"/>
          <w:rFonts w:cstheme="minorHAnsi"/>
        </w:rPr>
        <w:t xml:space="preserve"> </w:t>
      </w:r>
      <w:r w:rsidRPr="00DF7201">
        <w:rPr>
          <w:rStyle w:val="StyleUnderline"/>
          <w:rFonts w:cstheme="minorHAnsi"/>
        </w:rPr>
        <w:t xml:space="preserve">the </w:t>
      </w:r>
      <w:r w:rsidRPr="00137168">
        <w:rPr>
          <w:rStyle w:val="StyleUnderline"/>
          <w:rFonts w:cstheme="minorHAnsi"/>
          <w:highlight w:val="green"/>
        </w:rPr>
        <w:t>burst</w:t>
      </w:r>
      <w:r w:rsidRPr="00DF7201">
        <w:rPr>
          <w:rStyle w:val="StyleUnderline"/>
          <w:rFonts w:cstheme="minorHAnsi"/>
        </w:rPr>
        <w:t xml:space="preserve"> of the bubble, the </w:t>
      </w:r>
      <w:r w:rsidRPr="00137168">
        <w:rPr>
          <w:rStyle w:val="StyleUnderline"/>
          <w:rFonts w:cstheme="minorHAnsi"/>
          <w:highlight w:val="green"/>
        </w:rPr>
        <w:t>economy enters</w:t>
      </w:r>
      <w:r w:rsidRPr="00080A6A">
        <w:rPr>
          <w:rStyle w:val="StyleUnderline"/>
          <w:rFonts w:cstheme="minorHAnsi"/>
        </w:rPr>
        <w:t xml:space="preserve"> </w:t>
      </w:r>
      <w:r w:rsidRPr="00DF7201">
        <w:rPr>
          <w:rStyle w:val="StyleUnderline"/>
          <w:rFonts w:cstheme="minorHAnsi"/>
        </w:rPr>
        <w:t xml:space="preserve">a </w:t>
      </w:r>
      <w:r w:rsidRPr="00137168">
        <w:rPr>
          <w:rStyle w:val="StyleUnderline"/>
          <w:rFonts w:cstheme="minorHAnsi"/>
          <w:highlight w:val="green"/>
        </w:rPr>
        <w:t>recession</w:t>
      </w:r>
      <w:r w:rsidRPr="00080A6A">
        <w:rPr>
          <w:rStyle w:val="StyleUnderline"/>
          <w:rFonts w:cstheme="minorHAnsi"/>
        </w:rPr>
        <w:t xml:space="preserve"> </w:t>
      </w:r>
      <w:r w:rsidRPr="00DF7201">
        <w:rPr>
          <w:rStyle w:val="StyleUnderline"/>
          <w:rFonts w:cstheme="minorHAnsi"/>
        </w:rPr>
        <w:t xml:space="preserve">with a </w:t>
      </w:r>
      <w:r w:rsidRPr="00DF7201">
        <w:rPr>
          <w:rStyle w:val="Emphasis"/>
          <w:rFonts w:cstheme="minorHAnsi"/>
        </w:rPr>
        <w:t>persistent high unemployment rate</w:t>
      </w:r>
      <w:r w:rsidRPr="00321DFB">
        <w:rPr>
          <w:rFonts w:cstheme="minorHAnsi"/>
          <w:sz w:val="16"/>
        </w:rPr>
        <w:t xml:space="preserve">. The intuition is the following. </w:t>
      </w:r>
      <w:r w:rsidRPr="00DF7201">
        <w:rPr>
          <w:rStyle w:val="StyleUnderline"/>
          <w:rFonts w:cstheme="minorHAnsi"/>
        </w:rPr>
        <w:t xml:space="preserve">After the burst of the bubble, the </w:t>
      </w:r>
      <w:r w:rsidRPr="00137168">
        <w:rPr>
          <w:rStyle w:val="StyleUnderline"/>
          <w:rFonts w:cstheme="minorHAnsi"/>
          <w:highlight w:val="green"/>
        </w:rPr>
        <w:t>credit</w:t>
      </w:r>
      <w:r w:rsidRPr="00DF7201">
        <w:rPr>
          <w:rStyle w:val="StyleUnderline"/>
          <w:rFonts w:cstheme="minorHAnsi"/>
        </w:rPr>
        <w:t xml:space="preserve"> constraints </w:t>
      </w:r>
      <w:r w:rsidRPr="00137168">
        <w:rPr>
          <w:rStyle w:val="StyleUnderline"/>
          <w:rFonts w:cstheme="minorHAnsi"/>
          <w:highlight w:val="green"/>
        </w:rPr>
        <w:t xml:space="preserve">tighten, causing firms to </w:t>
      </w:r>
      <w:r w:rsidRPr="00137168">
        <w:rPr>
          <w:rStyle w:val="Emphasis"/>
          <w:rFonts w:cstheme="minorHAnsi"/>
          <w:highlight w:val="green"/>
        </w:rPr>
        <w:t>reduce investment and hiring</w:t>
      </w:r>
      <w:r w:rsidRPr="00DF7201">
        <w:rPr>
          <w:rStyle w:val="Emphasis"/>
          <w:rFonts w:cstheme="minorHAnsi"/>
        </w:rPr>
        <w:t>.</w:t>
      </w:r>
      <w:r w:rsidRPr="00321DFB">
        <w:rPr>
          <w:rFonts w:cstheme="minorHAnsi"/>
          <w:sz w:val="16"/>
        </w:rPr>
        <w:t xml:space="preserve"> </w:t>
      </w:r>
      <w:r w:rsidRPr="00DF7201">
        <w:rPr>
          <w:rStyle w:val="StyleUnderline"/>
          <w:rFonts w:cstheme="minorHAnsi"/>
        </w:rPr>
        <w:t xml:space="preserve">An unemployed worker is then harder to find a job, </w:t>
      </w:r>
      <w:r w:rsidRPr="00137168">
        <w:rPr>
          <w:rStyle w:val="StyleUnderline"/>
          <w:rFonts w:cstheme="minorHAnsi"/>
          <w:highlight w:val="green"/>
        </w:rPr>
        <w:t>generating</w:t>
      </w:r>
      <w:r w:rsidRPr="00DF7201">
        <w:rPr>
          <w:rStyle w:val="StyleUnderline"/>
          <w:rFonts w:cstheme="minorHAnsi"/>
        </w:rPr>
        <w:t xml:space="preserve"> high </w:t>
      </w:r>
      <w:r w:rsidRPr="00137168">
        <w:rPr>
          <w:rStyle w:val="StyleUnderline"/>
          <w:rFonts w:cstheme="minorHAnsi"/>
          <w:highlight w:val="green"/>
        </w:rPr>
        <w:t>unemployment</w:t>
      </w:r>
      <w:r w:rsidRPr="00321DFB">
        <w:rPr>
          <w:rFonts w:cstheme="minorHAnsi"/>
          <w:sz w:val="16"/>
        </w:rPr>
        <w:t xml:space="preserve">. </w:t>
      </w:r>
      <w:r w:rsidRPr="00DF7201">
        <w:rPr>
          <w:rStyle w:val="StyleUnderline"/>
          <w:rFonts w:cstheme="minorHAnsi"/>
        </w:rPr>
        <w:t>Our model can help explain the high unemployment during the Great Recession</w:t>
      </w:r>
      <w:r w:rsidRPr="00321DFB">
        <w:rPr>
          <w:rFonts w:cstheme="minorHAnsi"/>
          <w:sz w:val="16"/>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02C8D806" w14:textId="77777777" w:rsidR="00261F55" w:rsidRPr="00501C34" w:rsidRDefault="00261F55" w:rsidP="00261F55">
      <w:pPr>
        <w:pStyle w:val="Heading4"/>
        <w:rPr>
          <w:rFonts w:cs="Times New Roman"/>
        </w:rPr>
      </w:pPr>
      <w:r w:rsidRPr="00501C34">
        <w:rPr>
          <w:rFonts w:cs="Times New Roman"/>
        </w:rPr>
        <w:t>Prolonged downturn causes nuclear war</w:t>
      </w:r>
    </w:p>
    <w:p w14:paraId="6E14061D" w14:textId="77777777" w:rsidR="00261F55" w:rsidRPr="00B5458B" w:rsidRDefault="00261F55" w:rsidP="00261F55">
      <w:r w:rsidRPr="00110AA6">
        <w:rPr>
          <w:rStyle w:val="Style13ptBold"/>
        </w:rPr>
        <w:t>Sundaram and Popov 2019</w:t>
      </w:r>
      <w:r w:rsidRPr="00110AA6">
        <w:t xml:space="preserve">  </w:t>
      </w:r>
      <w:r w:rsidRPr="00110AA6">
        <w:rPr>
          <w:sz w:val="18"/>
          <w:szCs w:val="18"/>
        </w:rPr>
        <w:t>[Jomo Kwame</w:t>
      </w:r>
      <w:r w:rsidRPr="00501C34">
        <w:rPr>
          <w:sz w:val="18"/>
          <w:szCs w:val="18"/>
        </w:rPr>
        <w:t xml:space="preserve">, former economics professor, was United Nations Assistant Secretary-General for Economic Development, and received the Wassily Leontief Prize for Advancing the Frontiers of Economic Thought, and Vladimir, former senior economics researcher in the Soviet Union, Russia and the United Nations Secretariat, is now Research Director at the Dialogue of Civilizations Research Institute in Berlin, “Economic Crisis Can Trigger World War”, Inter Press Service, February, </w:t>
      </w:r>
      <w:hyperlink r:id="rId23" w:history="1">
        <w:r w:rsidRPr="000B7846">
          <w:rPr>
            <w:rStyle w:val="Hyperlink"/>
            <w:sz w:val="18"/>
            <w:szCs w:val="18"/>
          </w:rPr>
          <w:t>http://www.ipsnews.net/2019/02/economic-crisis-can-trigger-world-war/</w:t>
        </w:r>
      </w:hyperlink>
      <w:r w:rsidRPr="000B7846">
        <w:rPr>
          <w:sz w:val="18"/>
          <w:szCs w:val="18"/>
        </w:rPr>
        <w:t>]</w:t>
      </w:r>
    </w:p>
    <w:p w14:paraId="113B7FA0" w14:textId="77777777" w:rsidR="00261F55" w:rsidRDefault="00261F55" w:rsidP="00261F55">
      <w:pPr>
        <w:rPr>
          <w:sz w:val="16"/>
        </w:rPr>
      </w:pPr>
      <w:r w:rsidRPr="000B7846">
        <w:rPr>
          <w:sz w:val="16"/>
        </w:rPr>
        <w:t xml:space="preserve">KUALA LUMPUR and BERLIN, Feb 12 2019 (IPS) - </w:t>
      </w:r>
      <w:r w:rsidRPr="000B7846">
        <w:rPr>
          <w:rStyle w:val="StyleUnderline"/>
        </w:rPr>
        <w:t>Economic recovery efforts since the 2008-2009 global financial crisis have mainly depended on unconventional monetary policies</w:t>
      </w:r>
      <w:r w:rsidRPr="000B7846">
        <w:rPr>
          <w:sz w:val="16"/>
        </w:rPr>
        <w:t xml:space="preserve">. </w:t>
      </w:r>
      <w:r w:rsidRPr="000B7846">
        <w:rPr>
          <w:rStyle w:val="Emphasis"/>
        </w:rPr>
        <w:t xml:space="preserve">As fears rise of yet another international </w:t>
      </w:r>
      <w:r w:rsidRPr="001C39FF">
        <w:rPr>
          <w:rStyle w:val="Emphasis"/>
          <w:highlight w:val="green"/>
        </w:rPr>
        <w:t>financial crisis,</w:t>
      </w:r>
      <w:r w:rsidRPr="000B7846">
        <w:rPr>
          <w:rStyle w:val="Emphasis"/>
        </w:rPr>
        <w:t xml:space="preserve"> there are growing concerns about the </w:t>
      </w:r>
      <w:r w:rsidRPr="001C39FF">
        <w:rPr>
          <w:rStyle w:val="Emphasis"/>
          <w:highlight w:val="green"/>
        </w:rPr>
        <w:t>increased possibility of large-scale military conflict</w:t>
      </w:r>
      <w:r w:rsidRPr="000B7846">
        <w:rPr>
          <w:sz w:val="16"/>
        </w:rPr>
        <w:t xml:space="preserve">. More worryingly, in the current political landscape, </w:t>
      </w:r>
      <w:r w:rsidRPr="001C39FF">
        <w:rPr>
          <w:rStyle w:val="Emphasis"/>
          <w:highlight w:val="green"/>
        </w:rPr>
        <w:t>prolonged</w:t>
      </w:r>
      <w:r w:rsidRPr="000B7846">
        <w:rPr>
          <w:rStyle w:val="Emphasis"/>
        </w:rPr>
        <w:t xml:space="preserve"> economic </w:t>
      </w:r>
      <w:r w:rsidRPr="001C39FF">
        <w:rPr>
          <w:rStyle w:val="Emphasis"/>
          <w:highlight w:val="green"/>
        </w:rPr>
        <w:t>crisis</w:t>
      </w:r>
      <w:r w:rsidRPr="000B7846">
        <w:rPr>
          <w:rStyle w:val="Emphasis"/>
        </w:rPr>
        <w:t xml:space="preserve">, </w:t>
      </w:r>
      <w:r w:rsidRPr="001C39FF">
        <w:rPr>
          <w:rStyle w:val="Emphasis"/>
          <w:highlight w:val="green"/>
        </w:rPr>
        <w:t>combined with</w:t>
      </w:r>
      <w:r w:rsidRPr="000B7846">
        <w:rPr>
          <w:rStyle w:val="Emphasis"/>
        </w:rPr>
        <w:t xml:space="preserve"> rising economic </w:t>
      </w:r>
      <w:r w:rsidRPr="001C39FF">
        <w:rPr>
          <w:rStyle w:val="Emphasis"/>
          <w:highlight w:val="green"/>
        </w:rPr>
        <w:t>inequality</w:t>
      </w:r>
      <w:r w:rsidRPr="000B7846">
        <w:rPr>
          <w:rStyle w:val="Emphasis"/>
        </w:rPr>
        <w:t>, chauvinistic ethno-</w:t>
      </w:r>
      <w:r w:rsidRPr="001C39FF">
        <w:rPr>
          <w:rStyle w:val="Emphasis"/>
          <w:highlight w:val="green"/>
        </w:rPr>
        <w:t>populism</w:t>
      </w:r>
      <w:r w:rsidRPr="000B7846">
        <w:rPr>
          <w:rStyle w:val="Emphasis"/>
        </w:rPr>
        <w:t xml:space="preserve"> as well as </w:t>
      </w:r>
      <w:r w:rsidRPr="00666A4E">
        <w:rPr>
          <w:rStyle w:val="Emphasis"/>
        </w:rPr>
        <w:t>aggressive jingoist rhetoric,</w:t>
      </w:r>
      <w:r w:rsidRPr="000B7846">
        <w:rPr>
          <w:rStyle w:val="Emphasis"/>
        </w:rPr>
        <w:t xml:space="preserve"> including threats</w:t>
      </w:r>
      <w:r w:rsidRPr="00666A4E">
        <w:rPr>
          <w:rStyle w:val="Emphasis"/>
        </w:rPr>
        <w:t xml:space="preserve">, could easily </w:t>
      </w:r>
      <w:r w:rsidRPr="001C39FF">
        <w:rPr>
          <w:rStyle w:val="Emphasis"/>
          <w:highlight w:val="green"/>
        </w:rPr>
        <w:t>spin out of control</w:t>
      </w:r>
      <w:r w:rsidRPr="000B7846">
        <w:rPr>
          <w:rStyle w:val="Emphasis"/>
        </w:rPr>
        <w:t xml:space="preserve"> and ‘morph’ </w:t>
      </w:r>
      <w:r w:rsidRPr="001C39FF">
        <w:rPr>
          <w:rStyle w:val="Emphasis"/>
          <w:highlight w:val="green"/>
        </w:rPr>
        <w:t>into</w:t>
      </w:r>
      <w:r w:rsidRPr="000B7846">
        <w:rPr>
          <w:rStyle w:val="Emphasis"/>
        </w:rPr>
        <w:t xml:space="preserve"> military conflict, and worse, </w:t>
      </w:r>
      <w:r w:rsidRPr="001C39FF">
        <w:rPr>
          <w:rStyle w:val="Emphasis"/>
          <w:highlight w:val="green"/>
        </w:rPr>
        <w:t>world war</w:t>
      </w:r>
      <w:r w:rsidRPr="000B7846">
        <w:rPr>
          <w:sz w:val="16"/>
        </w:rPr>
        <w:t xml:space="preserve">. Crisis responses limited </w:t>
      </w:r>
      <w:r w:rsidRPr="00666A4E">
        <w:rPr>
          <w:rStyle w:val="StyleUnderline"/>
        </w:rPr>
        <w:t xml:space="preserve">The </w:t>
      </w:r>
      <w:r w:rsidRPr="001C39FF">
        <w:rPr>
          <w:rStyle w:val="StyleUnderline"/>
          <w:highlight w:val="green"/>
        </w:rPr>
        <w:t>2008</w:t>
      </w:r>
      <w:r w:rsidRPr="00666A4E">
        <w:rPr>
          <w:rStyle w:val="StyleUnderline"/>
        </w:rPr>
        <w:t>-2009 global financial crisis almost ‘</w:t>
      </w:r>
      <w:r w:rsidRPr="001C39FF">
        <w:rPr>
          <w:rStyle w:val="StyleUnderline"/>
          <w:highlight w:val="green"/>
        </w:rPr>
        <w:t>bankrupted’ governments</w:t>
      </w:r>
      <w:r w:rsidRPr="00666A4E">
        <w:rPr>
          <w:rStyle w:val="StyleUnderline"/>
        </w:rPr>
        <w:t xml:space="preserve"> and caused systemic collapse</w:t>
      </w:r>
      <w:r w:rsidRPr="00666A4E">
        <w:rPr>
          <w:sz w:val="16"/>
        </w:rPr>
        <w:t xml:space="preserve">. </w:t>
      </w:r>
      <w:r w:rsidRPr="00666A4E">
        <w:rPr>
          <w:rStyle w:val="StyleUnderline"/>
        </w:rPr>
        <w:t>Policymakers managed to pull the world economy from the brink, but soon switched from counter-cyclical fiscal efforts to unconventional monetary measures, primarily ‘quantitative easing’ and very low, if not negative real interest rates</w:t>
      </w:r>
      <w:r w:rsidRPr="00666A4E">
        <w:rPr>
          <w:sz w:val="16"/>
        </w:rPr>
        <w:t xml:space="preserve">. But </w:t>
      </w:r>
      <w:r w:rsidRPr="00666A4E">
        <w:rPr>
          <w:rStyle w:val="StyleUnderline"/>
        </w:rPr>
        <w:t xml:space="preserve">while these monetary interventions averted realization of the worst fears at the time by turning the US economy around, </w:t>
      </w:r>
      <w:r w:rsidRPr="001C39FF">
        <w:rPr>
          <w:rStyle w:val="Emphasis"/>
          <w:highlight w:val="green"/>
        </w:rPr>
        <w:t>they did little to address underlying economic weaknesses</w:t>
      </w:r>
      <w:r w:rsidRPr="00666A4E">
        <w:rPr>
          <w:rStyle w:val="Emphasis"/>
        </w:rPr>
        <w:t>, largely due to the ascendance of finance in recent decades at the expense of the real economy</w:t>
      </w:r>
      <w:r w:rsidRPr="00666A4E">
        <w:rPr>
          <w:sz w:val="16"/>
        </w:rPr>
        <w:t xml:space="preserve">. Since then, despite promising to do so, policymakers have not seriously pursued, let alone achieved, such needed reforms. Instead, </w:t>
      </w:r>
      <w:r w:rsidRPr="00666A4E">
        <w:rPr>
          <w:rStyle w:val="StyleUnderline"/>
        </w:rPr>
        <w:t>ostensible structural reformers have</w:t>
      </w:r>
      <w:r w:rsidRPr="000B7846">
        <w:rPr>
          <w:rStyle w:val="StyleUnderline"/>
        </w:rPr>
        <w:t xml:space="preserve"> taken advantage of the crisis to pursue largely irrelevant efforts to further ‘casualize’ labour markets</w:t>
      </w:r>
      <w:r w:rsidRPr="000B7846">
        <w:rPr>
          <w:sz w:val="16"/>
        </w:rPr>
        <w:t xml:space="preserve">. </w:t>
      </w:r>
      <w:r w:rsidRPr="000B7846">
        <w:rPr>
          <w:rStyle w:val="StyleUnderline"/>
        </w:rPr>
        <w:t>This lack of structural reform has meant that the unprecedented liquidity central banks injected into economies has not been well allocated to stimulate resurgence of the real economy</w:t>
      </w:r>
      <w:r w:rsidRPr="000B7846">
        <w:rPr>
          <w:sz w:val="16"/>
        </w:rPr>
        <w:t xml:space="preserve">. From bust to bubble Instead, easy credit raised asset prices to levels even higher than those prevailing before 2008. US house prices are now 8% more than at the peak of the </w:t>
      </w:r>
      <w:r w:rsidRPr="00666A4E">
        <w:rPr>
          <w:sz w:val="16"/>
        </w:rPr>
        <w:t xml:space="preserve">property bubble in 2006, while its price-to-earnings ratio in late 2018 was even higher than in 2008 and in 1929, when the Wall Street Crash precipitated the Great Depression. As monetary tightening checks asset price bubbles, </w:t>
      </w:r>
      <w:r w:rsidRPr="00666A4E">
        <w:rPr>
          <w:rStyle w:val="StyleUnderline"/>
        </w:rPr>
        <w:t>another economic crisis — possibly more severe than the last, as the economy has become less responsive to such</w:t>
      </w:r>
      <w:r w:rsidRPr="000B7846">
        <w:rPr>
          <w:rStyle w:val="StyleUnderline"/>
        </w:rPr>
        <w:t xml:space="preserve"> blunt monetary interventions — is considered likely</w:t>
      </w:r>
      <w:r w:rsidRPr="000B7846">
        <w:rPr>
          <w:sz w:val="16"/>
        </w:rPr>
        <w:t xml:space="preserve">. A decade of such unconventional monetary policies, with very low interest rates, has greatly depleted their ability to revive the economy. </w:t>
      </w:r>
      <w:r w:rsidRPr="000B7846">
        <w:rPr>
          <w:rStyle w:val="StyleUnderline"/>
        </w:rPr>
        <w:t>The implications beyond the economy of such developments and policy responses are already being seen</w:t>
      </w:r>
      <w:r w:rsidRPr="000B7846">
        <w:rPr>
          <w:sz w:val="16"/>
        </w:rPr>
        <w:t xml:space="preserve">. </w:t>
      </w:r>
      <w:r w:rsidRPr="000B7846">
        <w:rPr>
          <w:rStyle w:val="Emphasis"/>
        </w:rPr>
        <w:t>Prolonged economic distress has worsened public antipathy towards the culturally alien — not only abroad, but also within</w:t>
      </w:r>
      <w:r w:rsidRPr="000B7846">
        <w:rPr>
          <w:sz w:val="16"/>
        </w:rPr>
        <w:t xml:space="preserve">. </w:t>
      </w:r>
      <w:r w:rsidRPr="000B7846">
        <w:rPr>
          <w:rStyle w:val="Emphasis"/>
        </w:rPr>
        <w:t xml:space="preserve">Thus, </w:t>
      </w:r>
      <w:r w:rsidRPr="001C39FF">
        <w:rPr>
          <w:rStyle w:val="Emphasis"/>
          <w:highlight w:val="green"/>
        </w:rPr>
        <w:t>another round of economic stress</w:t>
      </w:r>
      <w:r w:rsidRPr="00666A4E">
        <w:rPr>
          <w:rStyle w:val="Emphasis"/>
        </w:rPr>
        <w:t xml:space="preserve"> is deemed likely to </w:t>
      </w:r>
      <w:r w:rsidRPr="001C39FF">
        <w:rPr>
          <w:rStyle w:val="Emphasis"/>
          <w:highlight w:val="green"/>
        </w:rPr>
        <w:t>foment unrest</w:t>
      </w:r>
      <w:r w:rsidRPr="000B7846">
        <w:rPr>
          <w:rStyle w:val="Emphasis"/>
        </w:rPr>
        <w:t>, conflict, even war as it is blamed on the foreign</w:t>
      </w:r>
      <w:r w:rsidRPr="000B7846">
        <w:rPr>
          <w:sz w:val="16"/>
        </w:rPr>
        <w:t xml:space="preserve">. </w:t>
      </w:r>
      <w:r w:rsidRPr="000B7846">
        <w:rPr>
          <w:rStyle w:val="Emphasis"/>
        </w:rPr>
        <w:t>International trade shrank by two-thirds</w:t>
      </w:r>
      <w:r w:rsidRPr="000B7846">
        <w:rPr>
          <w:rStyle w:val="StyleUnderline"/>
        </w:rPr>
        <w:t xml:space="preserve"> within half a decade after the US passed the Smoot-Hawley Tariff Act in 1930</w:t>
      </w:r>
      <w:r w:rsidRPr="000B7846">
        <w:rPr>
          <w:sz w:val="16"/>
        </w:rPr>
        <w:t xml:space="preserve">, at the start of the Great Depression, ostensibly to protect American workers and farmers from foreign competition! Liberalization’s discontents </w:t>
      </w:r>
      <w:r w:rsidRPr="000B7846">
        <w:rPr>
          <w:rStyle w:val="Emphasis"/>
        </w:rPr>
        <w:t>Rising economic insecurity, inequalities and deprivation are expected to strengthen ethno-populist and jingoistic nationalist sentiments, and increase social tensions and turmoil, especially among the growing precariat and others who feel vulnerable or threatened</w:t>
      </w:r>
      <w:r w:rsidRPr="000B7846">
        <w:rPr>
          <w:sz w:val="16"/>
        </w:rPr>
        <w:t xml:space="preserve">. Thus, </w:t>
      </w:r>
      <w:r w:rsidRPr="000B7846">
        <w:rPr>
          <w:rStyle w:val="Emphasis"/>
        </w:rPr>
        <w:t>ethno-</w:t>
      </w:r>
      <w:r w:rsidRPr="001C39FF">
        <w:rPr>
          <w:rStyle w:val="Emphasis"/>
          <w:highlight w:val="green"/>
        </w:rPr>
        <w:t>populist</w:t>
      </w:r>
      <w:r w:rsidRPr="000B7846">
        <w:rPr>
          <w:rStyle w:val="Emphasis"/>
        </w:rPr>
        <w:t xml:space="preserve"> inspired chauvinistic </w:t>
      </w:r>
      <w:r w:rsidRPr="001C39FF">
        <w:rPr>
          <w:rStyle w:val="Emphasis"/>
          <w:highlight w:val="green"/>
        </w:rPr>
        <w:t>nationalism</w:t>
      </w:r>
      <w:r w:rsidRPr="00666A4E">
        <w:rPr>
          <w:rStyle w:val="Emphasis"/>
        </w:rPr>
        <w:t xml:space="preserve"> may </w:t>
      </w:r>
      <w:r w:rsidRPr="001C39FF">
        <w:rPr>
          <w:rStyle w:val="Emphasis"/>
          <w:highlight w:val="green"/>
        </w:rPr>
        <w:t>exacerbate tensions, leading to conflicts</w:t>
      </w:r>
      <w:r w:rsidRPr="000B7846">
        <w:rPr>
          <w:rStyle w:val="Emphasis"/>
        </w:rPr>
        <w:t xml:space="preserve"> and tensions among countries, as in the 1930s</w:t>
      </w:r>
      <w:r w:rsidRPr="000B7846">
        <w:rPr>
          <w:sz w:val="16"/>
        </w:rPr>
        <w:t xml:space="preserve">. </w:t>
      </w:r>
      <w:r w:rsidRPr="000B7846">
        <w:rPr>
          <w:rStyle w:val="Emphasis"/>
        </w:rPr>
        <w:t xml:space="preserve">Opportunistic </w:t>
      </w:r>
      <w:r w:rsidRPr="001C39FF">
        <w:rPr>
          <w:rStyle w:val="Emphasis"/>
          <w:highlight w:val="green"/>
        </w:rPr>
        <w:t>leaders</w:t>
      </w:r>
      <w:r w:rsidRPr="00666A4E">
        <w:rPr>
          <w:rStyle w:val="Emphasis"/>
        </w:rPr>
        <w:t xml:space="preserve"> have been </w:t>
      </w:r>
      <w:r w:rsidRPr="001C39FF">
        <w:rPr>
          <w:rStyle w:val="Emphasis"/>
          <w:highlight w:val="green"/>
        </w:rPr>
        <w:t>blam</w:t>
      </w:r>
      <w:r w:rsidRPr="00666A4E">
        <w:rPr>
          <w:rStyle w:val="Emphasis"/>
        </w:rPr>
        <w:t xml:space="preserve">ing such misfortunes on </w:t>
      </w:r>
      <w:r w:rsidRPr="001C39FF">
        <w:rPr>
          <w:rStyle w:val="Emphasis"/>
          <w:highlight w:val="green"/>
        </w:rPr>
        <w:t>outsiders and</w:t>
      </w:r>
      <w:r w:rsidRPr="000B7846">
        <w:rPr>
          <w:rStyle w:val="Emphasis"/>
        </w:rPr>
        <w:t xml:space="preserve"> may </w:t>
      </w:r>
      <w:r w:rsidRPr="00666A4E">
        <w:rPr>
          <w:rStyle w:val="Emphasis"/>
        </w:rPr>
        <w:t xml:space="preserve">seek to </w:t>
      </w:r>
      <w:r w:rsidRPr="001C39FF">
        <w:rPr>
          <w:rStyle w:val="Emphasis"/>
          <w:highlight w:val="green"/>
        </w:rPr>
        <w:t>reverse</w:t>
      </w:r>
      <w:r w:rsidRPr="00666A4E">
        <w:rPr>
          <w:rStyle w:val="Emphasis"/>
        </w:rPr>
        <w:t xml:space="preserve"> policies associated with the perceived causes, such as ‘globalist’ economic </w:t>
      </w:r>
      <w:r w:rsidRPr="001C39FF">
        <w:rPr>
          <w:rStyle w:val="Emphasis"/>
          <w:highlight w:val="green"/>
        </w:rPr>
        <w:t>liberalization</w:t>
      </w:r>
      <w:r w:rsidRPr="00666A4E">
        <w:rPr>
          <w:sz w:val="16"/>
        </w:rPr>
        <w:t xml:space="preserve">. </w:t>
      </w:r>
      <w:r w:rsidRPr="00666A4E">
        <w:rPr>
          <w:rStyle w:val="StyleUnderline"/>
        </w:rPr>
        <w:t>Policies which successfully</w:t>
      </w:r>
      <w:r w:rsidRPr="000B7846">
        <w:rPr>
          <w:rStyle w:val="StyleUnderline"/>
        </w:rPr>
        <w:t xml:space="preserve"> check such problems may reduce social tensions, as well as the likelihood of social turmoil and conflict, including among countries</w:t>
      </w:r>
      <w:r w:rsidRPr="000B7846">
        <w:rPr>
          <w:sz w:val="16"/>
        </w:rPr>
        <w:t xml:space="preserve">. However, these may also inadvertently exacerbate problems. The recent spread of anti-globalization sentiment appears correlated to slow, if not negative per capita income growth and increased economic inequality. </w:t>
      </w:r>
      <w:r w:rsidRPr="000B7846">
        <w:rPr>
          <w:rStyle w:val="StyleUnderline"/>
        </w:rPr>
        <w:t>To be sure, globalization and liberalization are statistically associated with growing economic inequality and rising ethno-populism</w:t>
      </w:r>
      <w:r w:rsidRPr="000B7846">
        <w:rPr>
          <w:sz w:val="16"/>
        </w:rPr>
        <w:t xml:space="preserve">. </w:t>
      </w:r>
      <w:r w:rsidRPr="000B7846">
        <w:rPr>
          <w:rStyle w:val="StyleUnderline"/>
        </w:rPr>
        <w:t>Declining real incomes and growing economic insecurity have apparently strengthened ethno-populism and nationalistic chauvinism, threatening economic liberalization itself, both within and among countries</w:t>
      </w:r>
      <w:r w:rsidRPr="000B7846">
        <w:rPr>
          <w:sz w:val="16"/>
        </w:rPr>
        <w:t xml:space="preserve">. Insecurity, populism, conflict Thomas Piketty has argued that a </w:t>
      </w:r>
      <w:r w:rsidRPr="000B7846">
        <w:rPr>
          <w:rStyle w:val="Emphasis"/>
        </w:rPr>
        <w:t>sudden increase in income inequality is often followed by a great crisis</w:t>
      </w:r>
      <w:r w:rsidRPr="000B7846">
        <w:rPr>
          <w:sz w:val="16"/>
        </w:rPr>
        <w:t xml:space="preserve">. </w:t>
      </w:r>
      <w:r w:rsidRPr="000B7846">
        <w:rPr>
          <w:rStyle w:val="StyleUnderline"/>
        </w:rPr>
        <w:t>Although causality is difficult to prove, with wealth and income inequality now at historical highs, this should give cause for concern</w:t>
      </w:r>
      <w:r w:rsidRPr="000B7846">
        <w:rPr>
          <w:sz w:val="16"/>
        </w:rPr>
        <w:t xml:space="preserve">. Of course, other </w:t>
      </w:r>
      <w:r w:rsidRPr="000B7846">
        <w:rPr>
          <w:rStyle w:val="StyleUnderline"/>
        </w:rPr>
        <w:t>factors also contribute to or exacerbate civil and international tensions, with some due to policies intended for other purposes</w:t>
      </w:r>
      <w:r w:rsidRPr="000B7846">
        <w:rPr>
          <w:sz w:val="16"/>
        </w:rPr>
        <w:t xml:space="preserve">. Nevertheless, </w:t>
      </w:r>
      <w:r w:rsidRPr="000B7846">
        <w:rPr>
          <w:rStyle w:val="Emphasis"/>
        </w:rPr>
        <w:t>even if unintended, such developments could inadvertently catalyse future crises and conflicts</w:t>
      </w:r>
      <w:r w:rsidRPr="000B7846">
        <w:rPr>
          <w:sz w:val="16"/>
        </w:rPr>
        <w:t xml:space="preserve">. </w:t>
      </w:r>
      <w:r w:rsidRPr="000B7846">
        <w:rPr>
          <w:rStyle w:val="Emphasis"/>
        </w:rPr>
        <w:t>Publics often have good reason to be restless, if not angry, but the emotional appeals of ethno-populism and jingoistic nationalism are leading to chauvinistic policy measures which only make things worse</w:t>
      </w:r>
      <w:r w:rsidRPr="000B7846">
        <w:rPr>
          <w:sz w:val="16"/>
        </w:rPr>
        <w:t xml:space="preserve">. </w:t>
      </w:r>
      <w:r w:rsidRPr="000B7846">
        <w:rPr>
          <w:rStyle w:val="Emphasis"/>
        </w:rPr>
        <w:t xml:space="preserve">At the international level, despite the world’s unprecedented and still growing interconnectedness, </w:t>
      </w:r>
      <w:r w:rsidRPr="001C39FF">
        <w:rPr>
          <w:rStyle w:val="Emphasis"/>
          <w:highlight w:val="green"/>
        </w:rPr>
        <w:t>multilateralism is</w:t>
      </w:r>
      <w:r w:rsidRPr="000B7846">
        <w:rPr>
          <w:rStyle w:val="Emphasis"/>
        </w:rPr>
        <w:t xml:space="preserve"> increasingly </w:t>
      </w:r>
      <w:r w:rsidRPr="001C39FF">
        <w:rPr>
          <w:rStyle w:val="Emphasis"/>
          <w:highlight w:val="green"/>
        </w:rPr>
        <w:t>being eschewed as the US</w:t>
      </w:r>
      <w:r w:rsidRPr="000B7846">
        <w:rPr>
          <w:rStyle w:val="Emphasis"/>
        </w:rPr>
        <w:t xml:space="preserve"> increasingly </w:t>
      </w:r>
      <w:r w:rsidRPr="001C39FF">
        <w:rPr>
          <w:rStyle w:val="Emphasis"/>
          <w:highlight w:val="green"/>
        </w:rPr>
        <w:t>resorts to unilateral</w:t>
      </w:r>
      <w:r w:rsidRPr="000B7846">
        <w:rPr>
          <w:rStyle w:val="Emphasis"/>
        </w:rPr>
        <w:t xml:space="preserve">, sovereigntist </w:t>
      </w:r>
      <w:r w:rsidRPr="001C39FF">
        <w:rPr>
          <w:rStyle w:val="Emphasis"/>
          <w:highlight w:val="green"/>
        </w:rPr>
        <w:t>policies without</w:t>
      </w:r>
      <w:r w:rsidRPr="000B7846">
        <w:rPr>
          <w:rStyle w:val="Emphasis"/>
        </w:rPr>
        <w:t xml:space="preserve"> bothering to even </w:t>
      </w:r>
      <w:r w:rsidRPr="001C39FF">
        <w:rPr>
          <w:rStyle w:val="Emphasis"/>
          <w:highlight w:val="green"/>
        </w:rPr>
        <w:t>build coalitions</w:t>
      </w:r>
      <w:r w:rsidRPr="000B7846">
        <w:rPr>
          <w:rStyle w:val="Emphasis"/>
        </w:rPr>
        <w:t xml:space="preserve"> with its usual allies</w:t>
      </w:r>
      <w:r w:rsidRPr="000B7846">
        <w:rPr>
          <w:sz w:val="16"/>
        </w:rPr>
        <w:t xml:space="preserve">. Avoiding Thucydides’ iceberg </w:t>
      </w:r>
      <w:r w:rsidRPr="000B7846">
        <w:rPr>
          <w:rStyle w:val="Emphasis"/>
        </w:rPr>
        <w:t xml:space="preserve">Thus, protracted economic distress, economic conflicts or </w:t>
      </w:r>
      <w:r w:rsidRPr="00666A4E">
        <w:rPr>
          <w:rStyle w:val="Emphasis"/>
        </w:rPr>
        <w:t>another financial crisis could lead to military confrontation by the protagonists, even if unintended</w:t>
      </w:r>
      <w:r w:rsidRPr="00666A4E">
        <w:rPr>
          <w:sz w:val="16"/>
        </w:rPr>
        <w:t xml:space="preserve">. </w:t>
      </w:r>
      <w:r w:rsidRPr="00666A4E">
        <w:rPr>
          <w:rStyle w:val="StyleUnderline"/>
        </w:rPr>
        <w:t>Less than a decade after the Great</w:t>
      </w:r>
      <w:r w:rsidRPr="000B7846">
        <w:rPr>
          <w:rStyle w:val="StyleUnderline"/>
        </w:rPr>
        <w:t xml:space="preserve"> Depression started, the Second World War had begun as the Axis powers challenged the earlier entrenched colonial powers</w:t>
      </w:r>
      <w:r w:rsidRPr="000B7846">
        <w:rPr>
          <w:sz w:val="16"/>
        </w:rPr>
        <w:t xml:space="preserve">. They patently ignored Thucydides’ warning, in chronicling the Peloponnesian wars over two millennia before, when the rise of Athens threatened the established dominance of Sparta! </w:t>
      </w:r>
      <w:r w:rsidRPr="000B7846">
        <w:rPr>
          <w:rStyle w:val="StyleUnderline"/>
        </w:rPr>
        <w:t xml:space="preserve">Anticipating and addressing such possibilities may well serve to help </w:t>
      </w:r>
      <w:r w:rsidRPr="000B7846">
        <w:rPr>
          <w:rStyle w:val="Emphasis"/>
        </w:rPr>
        <w:t>avoid otherwise imminent disasters by undertaking pre-emptive collective action</w:t>
      </w:r>
      <w:r w:rsidRPr="000B7846">
        <w:rPr>
          <w:rStyle w:val="StyleUnderline"/>
        </w:rPr>
        <w:t>, as difficult as that may be</w:t>
      </w:r>
      <w:r w:rsidRPr="000B7846">
        <w:rPr>
          <w:sz w:val="16"/>
        </w:rPr>
        <w:t>. The international community has no excuse for being like the owners and captain of the Titanic, conceitedly convinced that no iceberg could possibly sink the great ship.</w:t>
      </w:r>
    </w:p>
    <w:p w14:paraId="329BD5B2" w14:textId="77777777" w:rsidR="00261F55" w:rsidRDefault="00261F55" w:rsidP="00261F55">
      <w:pPr>
        <w:pStyle w:val="Heading3"/>
      </w:pPr>
      <w:r>
        <w:t>1NC - OFF</w:t>
      </w:r>
    </w:p>
    <w:p w14:paraId="1F61ECD3" w14:textId="77777777" w:rsidR="00261F55" w:rsidRDefault="00261F55" w:rsidP="00261F55">
      <w:r>
        <w:t>Worker Rights CP</w:t>
      </w:r>
    </w:p>
    <w:p w14:paraId="0AC7285B" w14:textId="77777777" w:rsidR="00261F55" w:rsidRDefault="00261F55" w:rsidP="00261F55">
      <w:pPr>
        <w:pStyle w:val="Heading4"/>
      </w:pPr>
      <w:r>
        <w:t>CP Text: A just government should:</w:t>
      </w:r>
    </w:p>
    <w:p w14:paraId="1563EC66" w14:textId="77777777" w:rsidR="00261F55" w:rsidRDefault="00261F55" w:rsidP="00261F55">
      <w:pPr>
        <w:pStyle w:val="Heading4"/>
      </w:pPr>
      <w:r>
        <w:t xml:space="preserve"> - affirm in statutory language that labor law’s purpose is to encourage organization and collective bargaining</w:t>
      </w:r>
    </w:p>
    <w:p w14:paraId="3570C784" w14:textId="77777777" w:rsidR="00261F55" w:rsidRDefault="00261F55" w:rsidP="00261F55">
      <w:pPr>
        <w:pStyle w:val="Heading4"/>
      </w:pPr>
      <w:r>
        <w:t xml:space="preserve"> - expand ability to discuss unionization at the workplace</w:t>
      </w:r>
    </w:p>
    <w:p w14:paraId="42A2F137" w14:textId="77777777" w:rsidR="00261F55" w:rsidRDefault="00261F55" w:rsidP="00261F55">
      <w:pPr>
        <w:pStyle w:val="Heading4"/>
      </w:pPr>
      <w:r>
        <w:t xml:space="preserve"> - allow workers to determine bargaining unit and structure</w:t>
      </w:r>
    </w:p>
    <w:p w14:paraId="000C91CB" w14:textId="77777777" w:rsidR="00261F55" w:rsidRDefault="00261F55" w:rsidP="00261F55">
      <w:pPr>
        <w:pStyle w:val="Heading4"/>
      </w:pPr>
      <w:r>
        <w:t xml:space="preserve"> - protect the right to refuse hazardous work and ensure benefits for workers who do so</w:t>
      </w:r>
    </w:p>
    <w:p w14:paraId="7D41BECE" w14:textId="77777777" w:rsidR="00261F55" w:rsidRPr="00E903AD" w:rsidRDefault="00261F55" w:rsidP="00261F55">
      <w:pPr>
        <w:rPr>
          <w:sz w:val="15"/>
        </w:rPr>
      </w:pPr>
      <w:r w:rsidRPr="009F190B">
        <w:rPr>
          <w:rStyle w:val="Style13ptBold"/>
        </w:rPr>
        <w:t xml:space="preserve">McNicholas et. al. 20 </w:t>
      </w:r>
      <w:r w:rsidRPr="00E903AD">
        <w:rPr>
          <w:sz w:val="15"/>
        </w:rPr>
        <w:t>[Celine McNicholas is EPI’s director of government affairs and labor counsel.  Lynn Rhinehart is a senior fellow at EPI, where she works on labor and employment policy, with a focus on collective bargaining.  Margaret Poydock joined EPI in 2016. As the policy analyst, she assists the policy team in managing EPI’s legislative and policy initiatives to build a more just economy.   Heidi Shierholz leads EPI’s policy team, which monitors wage and employment policies coming out of Congress and the administration and advances a worker-first policy agenda.  Daniel Perez is a research assistant at the Economic Policy Institute.  “Why unions are good for workers—especially in a crisis like COVID-19.”  August 25, 2020.  https://www.epi.org/publication/why-unions-are-good-for-workers-especially-in-a-crisis-like-covid-19-12-policies-that-would-boost-worker-rights-safety-and-wages/]</w:t>
      </w:r>
    </w:p>
    <w:p w14:paraId="5E41EF87" w14:textId="77777777" w:rsidR="00261F55" w:rsidRPr="00FA3399" w:rsidRDefault="00261F55" w:rsidP="00261F55">
      <w:pPr>
        <w:rPr>
          <w:sz w:val="14"/>
        </w:rPr>
      </w:pPr>
      <w:r w:rsidRPr="00101F25">
        <w:rPr>
          <w:sz w:val="14"/>
        </w:rPr>
        <w:t xml:space="preserve">3. </w:t>
      </w:r>
      <w:r w:rsidRPr="00F95EDF">
        <w:rPr>
          <w:highlight w:val="green"/>
          <w:u w:val="single"/>
        </w:rPr>
        <w:t>Reaffirm in statutory language</w:t>
      </w:r>
      <w:r w:rsidRPr="003C7F82">
        <w:rPr>
          <w:u w:val="single"/>
        </w:rPr>
        <w:t xml:space="preserve"> that the purpose of </w:t>
      </w:r>
      <w:r w:rsidRPr="00F95EDF">
        <w:rPr>
          <w:highlight w:val="green"/>
          <w:u w:val="single"/>
        </w:rPr>
        <w:t xml:space="preserve">labor law </w:t>
      </w:r>
      <w:r w:rsidRPr="00F95EDF">
        <w:rPr>
          <w:u w:val="single"/>
        </w:rPr>
        <w:t>is</w:t>
      </w:r>
      <w:r w:rsidRPr="003C7F82">
        <w:rPr>
          <w:u w:val="single"/>
        </w:rPr>
        <w:t xml:space="preserve"> to promote and </w:t>
      </w:r>
      <w:r w:rsidRPr="00F95EDF">
        <w:rPr>
          <w:highlight w:val="green"/>
          <w:u w:val="single"/>
        </w:rPr>
        <w:t>encourage</w:t>
      </w:r>
      <w:r w:rsidRPr="003C7F82">
        <w:rPr>
          <w:u w:val="single"/>
        </w:rPr>
        <w:t xml:space="preserve"> organizing and </w:t>
      </w:r>
      <w:r w:rsidRPr="00F95EDF">
        <w:rPr>
          <w:highlight w:val="green"/>
          <w:u w:val="single"/>
        </w:rPr>
        <w:t>collective bargaining</w:t>
      </w:r>
      <w:r w:rsidRPr="00101F25">
        <w:rPr>
          <w:sz w:val="14"/>
        </w:rPr>
        <w:t xml:space="preserve"> Reaffirm in statutory language that the purpose of labor law is to promote and encourage organizing and collective bargaining and that the NLRB’s actions must further this goal. </w:t>
      </w:r>
      <w:r w:rsidRPr="00F730B9">
        <w:rPr>
          <w:u w:val="single"/>
        </w:rPr>
        <w:t>Promoting and encouraging organizing and collective bargaining was the purpose and goal</w:t>
      </w:r>
      <w:r w:rsidRPr="00101F25">
        <w:rPr>
          <w:sz w:val="14"/>
        </w:rPr>
        <w:t xml:space="preserve"> of the original Wagner Act (the NLRA). However, after the passage of the Taft-Hartley Act, </w:t>
      </w:r>
      <w:r w:rsidRPr="007858DD">
        <w:rPr>
          <w:u w:val="single"/>
        </w:rPr>
        <w:t>employers have argued that the law is not pro-union but is neutral</w:t>
      </w:r>
      <w:r w:rsidRPr="00101F25">
        <w:rPr>
          <w:sz w:val="14"/>
        </w:rPr>
        <w:t xml:space="preserve">. The </w:t>
      </w:r>
      <w:r w:rsidRPr="00F95EDF">
        <w:rPr>
          <w:highlight w:val="green"/>
          <w:u w:val="single"/>
        </w:rPr>
        <w:t>statutory language must be strengthened</w:t>
      </w:r>
      <w:r w:rsidRPr="00F754EF">
        <w:rPr>
          <w:u w:val="single"/>
        </w:rPr>
        <w:t xml:space="preserve"> to provide that NLRB actions that do not meet the statutory standard of promoting organizing and collective bargaining could be invalidated by a reviewing court as contrary to the governing law</w:t>
      </w:r>
      <w:r w:rsidRPr="00101F25">
        <w:rPr>
          <w:sz w:val="14"/>
        </w:rPr>
        <w:t xml:space="preserve"> under the Administrative Procedures Act. This approach is similar to that taken under the Occupational Safety and Health Act, which states that health standards must provide the maximum level of protection to workers that is technologically feasible, and standards that fall short of this level of protection can be invalidated by the courts.21 4. Amend the NLRA to </w:t>
      </w:r>
      <w:r w:rsidRPr="00F95EDF">
        <w:rPr>
          <w:highlight w:val="green"/>
          <w:u w:val="single"/>
        </w:rPr>
        <w:t>expand access</w:t>
      </w:r>
      <w:r w:rsidRPr="00046B4C">
        <w:rPr>
          <w:u w:val="single"/>
        </w:rPr>
        <w:t xml:space="preserve"> for workers and union organizers </w:t>
      </w:r>
      <w:r w:rsidRPr="00F95EDF">
        <w:rPr>
          <w:highlight w:val="green"/>
          <w:u w:val="single"/>
        </w:rPr>
        <w:t>to discuss unionization at the workplace</w:t>
      </w:r>
      <w:r w:rsidRPr="00101F25">
        <w:rPr>
          <w:sz w:val="14"/>
        </w:rPr>
        <w:t xml:space="preserve"> </w:t>
      </w:r>
      <w:r w:rsidRPr="00955831">
        <w:rPr>
          <w:u w:val="single"/>
        </w:rPr>
        <w:t>Workers need a fair chance to hear from union representatives about the benefits of unionization, including the ways in which unions help strengthen health and safety protections at the workplace</w:t>
      </w:r>
      <w:r w:rsidRPr="00101F25">
        <w:rPr>
          <w:sz w:val="14"/>
        </w:rPr>
        <w:t xml:space="preserve">. Currently, </w:t>
      </w:r>
      <w:r w:rsidRPr="00F95EDF">
        <w:rPr>
          <w:highlight w:val="green"/>
          <w:u w:val="single"/>
        </w:rPr>
        <w:t>employers</w:t>
      </w:r>
      <w:r w:rsidRPr="007A37D0">
        <w:rPr>
          <w:u w:val="single"/>
        </w:rPr>
        <w:t xml:space="preserve"> are able to </w:t>
      </w:r>
      <w:r w:rsidRPr="00F95EDF">
        <w:rPr>
          <w:highlight w:val="green"/>
          <w:u w:val="single"/>
        </w:rPr>
        <w:t>deliver</w:t>
      </w:r>
      <w:r w:rsidRPr="007A37D0">
        <w:rPr>
          <w:u w:val="single"/>
        </w:rPr>
        <w:t xml:space="preserve"> their </w:t>
      </w:r>
      <w:r w:rsidRPr="00F95EDF">
        <w:rPr>
          <w:highlight w:val="green"/>
          <w:u w:val="single"/>
        </w:rPr>
        <w:t>anti-union messages at the workplace</w:t>
      </w:r>
      <w:r w:rsidRPr="007A37D0">
        <w:rPr>
          <w:u w:val="single"/>
        </w:rPr>
        <w:t xml:space="preserve"> and on work tim</w:t>
      </w:r>
      <w:r w:rsidRPr="00101F25">
        <w:rPr>
          <w:sz w:val="14"/>
        </w:rPr>
        <w:t xml:space="preserve">e, because the employer controls the workplace and directs how work time is spent. </w:t>
      </w:r>
      <w:r w:rsidRPr="002C5965">
        <w:rPr>
          <w:u w:val="single"/>
        </w:rPr>
        <w:t xml:space="preserve">Employers use this advantage to bombard workers with anti-union messages </w:t>
      </w:r>
      <w:r w:rsidRPr="00101F25">
        <w:rPr>
          <w:sz w:val="14"/>
        </w:rPr>
        <w:t xml:space="preserve">in their paychecks, in one-on-one meetings with their supervisors, and in employer anti-union “captive-audience” meetings that workers are required to attend or face discipline or discharge. </w:t>
      </w:r>
      <w:r w:rsidRPr="00F95EDF">
        <w:rPr>
          <w:highlight w:val="green"/>
          <w:u w:val="single"/>
        </w:rPr>
        <w:t>Nine out of 10</w:t>
      </w:r>
      <w:r w:rsidRPr="00961E91">
        <w:rPr>
          <w:u w:val="single"/>
        </w:rPr>
        <w:t xml:space="preserve"> employers </w:t>
      </w:r>
      <w:r w:rsidRPr="00F95EDF">
        <w:rPr>
          <w:highlight w:val="green"/>
          <w:u w:val="single"/>
        </w:rPr>
        <w:t>require</w:t>
      </w:r>
      <w:r w:rsidRPr="00961E91">
        <w:rPr>
          <w:u w:val="single"/>
        </w:rPr>
        <w:t xml:space="preserve"> workers to attend </w:t>
      </w:r>
      <w:r w:rsidRPr="00F95EDF">
        <w:rPr>
          <w:highlight w:val="green"/>
          <w:u w:val="single"/>
        </w:rPr>
        <w:t>captive-audience meetings during organizing</w:t>
      </w:r>
      <w:r w:rsidRPr="00961E91">
        <w:rPr>
          <w:u w:val="single"/>
        </w:rPr>
        <w:t xml:space="preserve"> campaigns</w:t>
      </w:r>
      <w:r w:rsidRPr="00101F25">
        <w:rPr>
          <w:sz w:val="14"/>
        </w:rPr>
        <w:t xml:space="preserve"> (Bronfenbrenner 2009). Workers have only a limited ability to hear from union supporters at the workplace, and their access has been further curtailed by the Trump NLRB, which has restricted the ability of workers and organizers to organize at their workplace (McNicholas et al. 2019; Fawaz 2020). </w:t>
      </w:r>
      <w:r w:rsidRPr="004767EB">
        <w:rPr>
          <w:u w:val="single"/>
        </w:rPr>
        <w:t xml:space="preserve">This imbalance </w:t>
      </w:r>
      <w:r w:rsidRPr="00F95EDF">
        <w:rPr>
          <w:highlight w:val="green"/>
          <w:u w:val="single"/>
        </w:rPr>
        <w:t>undermines</w:t>
      </w:r>
      <w:r w:rsidRPr="004767EB">
        <w:rPr>
          <w:u w:val="single"/>
        </w:rPr>
        <w:t xml:space="preserve"> the </w:t>
      </w:r>
      <w:r w:rsidRPr="00F95EDF">
        <w:rPr>
          <w:highlight w:val="green"/>
          <w:u w:val="single"/>
        </w:rPr>
        <w:t>ability of workers to organize</w:t>
      </w:r>
      <w:r w:rsidRPr="004767EB">
        <w:rPr>
          <w:u w:val="single"/>
        </w:rPr>
        <w:t xml:space="preserve"> together. The </w:t>
      </w:r>
      <w:r w:rsidRPr="00F95EDF">
        <w:rPr>
          <w:highlight w:val="green"/>
          <w:u w:val="single"/>
        </w:rPr>
        <w:t>law should be amended to require</w:t>
      </w:r>
      <w:r w:rsidRPr="004767EB">
        <w:rPr>
          <w:u w:val="single"/>
        </w:rPr>
        <w:t xml:space="preserve"> employers to grant reasonable access to union organizers, off-duty employees, and off-duty contractor employees to nonworking areas to talk with workers on their nonworking time</w:t>
      </w:r>
      <w:r w:rsidRPr="00101F25">
        <w:rPr>
          <w:sz w:val="14"/>
        </w:rPr>
        <w:t xml:space="preserve">. The law should also make clear that workers may use their employer’s internal e-mail system for union-related messages. In addition, </w:t>
      </w:r>
      <w:r w:rsidRPr="00F95EDF">
        <w:rPr>
          <w:highlight w:val="green"/>
          <w:u w:val="single"/>
        </w:rPr>
        <w:t>workers</w:t>
      </w:r>
      <w:r w:rsidRPr="00FD57B0">
        <w:rPr>
          <w:u w:val="single"/>
        </w:rPr>
        <w:t xml:space="preserve"> who have not yet organized a union </w:t>
      </w:r>
      <w:r w:rsidRPr="00F95EDF">
        <w:rPr>
          <w:highlight w:val="green"/>
          <w:u w:val="single"/>
        </w:rPr>
        <w:t>should be able to designate a union representative</w:t>
      </w:r>
      <w:r w:rsidRPr="00FD57B0">
        <w:rPr>
          <w:u w:val="single"/>
        </w:rPr>
        <w:t xml:space="preserve"> as their representative during an OSHA inspection and related proceedings</w:t>
      </w:r>
      <w:r w:rsidRPr="00101F25">
        <w:rPr>
          <w:sz w:val="14"/>
        </w:rPr>
        <w:t xml:space="preserve">. The COVID-19 crisis shows that workers with union representation have fared better than nonunion workers in terms of advocating for safety equipment and protocols. Workers should not have to go through the formal NLRB election process to gain the benefit of union advocacy and expertise when it comes to their health and safety on the job. 6. </w:t>
      </w:r>
      <w:r w:rsidRPr="009B0CCF">
        <w:rPr>
          <w:u w:val="single"/>
        </w:rPr>
        <w:t xml:space="preserve">Amend the NLRA to </w:t>
      </w:r>
      <w:r w:rsidRPr="00F95EDF">
        <w:rPr>
          <w:highlight w:val="green"/>
          <w:u w:val="single"/>
        </w:rPr>
        <w:t>let workers determine</w:t>
      </w:r>
      <w:r w:rsidRPr="009B0CCF">
        <w:rPr>
          <w:u w:val="single"/>
        </w:rPr>
        <w:t xml:space="preserve"> the </w:t>
      </w:r>
      <w:r w:rsidRPr="00F95EDF">
        <w:rPr>
          <w:highlight w:val="green"/>
          <w:u w:val="single"/>
        </w:rPr>
        <w:t>bargaining unit and</w:t>
      </w:r>
      <w:r w:rsidRPr="009B0CCF">
        <w:rPr>
          <w:u w:val="single"/>
        </w:rPr>
        <w:t xml:space="preserve"> bargaining </w:t>
      </w:r>
      <w:r w:rsidRPr="00F95EDF">
        <w:rPr>
          <w:highlight w:val="green"/>
          <w:u w:val="single"/>
        </w:rPr>
        <w:t>structure</w:t>
      </w:r>
      <w:r w:rsidRPr="009B0CCF">
        <w:rPr>
          <w:u w:val="single"/>
        </w:rPr>
        <w:t xml:space="preserve"> When workers organize, they determine the group of workers—called the “bargaining unit”—that will be the group covered by the organizing and collective bargaining agreement, and they describe the bargaining unit</w:t>
      </w:r>
      <w:r w:rsidRPr="00101F25">
        <w:rPr>
          <w:sz w:val="14"/>
        </w:rPr>
        <w:t xml:space="preserve"> in their petition to the NLRB. </w:t>
      </w:r>
      <w:r w:rsidRPr="00F95EDF">
        <w:rPr>
          <w:highlight w:val="green"/>
          <w:u w:val="single"/>
        </w:rPr>
        <w:t>Employers try to gerrymander</w:t>
      </w:r>
      <w:r w:rsidRPr="002D4C97">
        <w:rPr>
          <w:u w:val="single"/>
        </w:rPr>
        <w:t xml:space="preserve"> the bargaining unit by adding workers they think will vote against the union or removing those who support representation</w:t>
      </w:r>
      <w:r w:rsidRPr="00101F25">
        <w:rPr>
          <w:sz w:val="14"/>
        </w:rPr>
        <w:t xml:space="preserve">. Here again, </w:t>
      </w:r>
      <w:r w:rsidRPr="00F95EDF">
        <w:rPr>
          <w:highlight w:val="green"/>
          <w:u w:val="single"/>
        </w:rPr>
        <w:t>it should be workers’ choice</w:t>
      </w:r>
      <w:r w:rsidRPr="00D4461C">
        <w:rPr>
          <w:u w:val="single"/>
        </w:rPr>
        <w:t>, and not up to the employer, to determine the group that is organizing and bargaining</w:t>
      </w:r>
      <w:r w:rsidRPr="00101F25">
        <w:rPr>
          <w:sz w:val="14"/>
        </w:rPr>
        <w:t xml:space="preserve">. As EPI has previously recommended, </w:t>
      </w:r>
      <w:r w:rsidRPr="00AD630C">
        <w:rPr>
          <w:u w:val="single"/>
        </w:rPr>
        <w:t>the law should make clear that the petitioning union’s description of the bargaining unit is determinative</w:t>
      </w:r>
      <w:r w:rsidRPr="00101F25">
        <w:rPr>
          <w:sz w:val="14"/>
        </w:rPr>
        <w:t xml:space="preserve">, unless the employer can make a compelling case as to why the proposed unit is unworkable (Rhinehart and McNicholas 2020). Similarly, </w:t>
      </w:r>
      <w:r w:rsidRPr="00F95EDF">
        <w:rPr>
          <w:highlight w:val="green"/>
          <w:u w:val="single"/>
        </w:rPr>
        <w:t>workers should be able to designate a</w:t>
      </w:r>
      <w:r w:rsidRPr="00530496">
        <w:rPr>
          <w:u w:val="single"/>
        </w:rPr>
        <w:t xml:space="preserve"> multi-employer </w:t>
      </w:r>
      <w:r w:rsidRPr="00F95EDF">
        <w:rPr>
          <w:highlight w:val="green"/>
          <w:u w:val="single"/>
        </w:rPr>
        <w:t>bargaining arrangement</w:t>
      </w:r>
      <w:r w:rsidRPr="00530496">
        <w:rPr>
          <w:u w:val="single"/>
        </w:rPr>
        <w:t>, and their proposed arrangement should be certified</w:t>
      </w:r>
      <w:r w:rsidRPr="00101F25">
        <w:rPr>
          <w:sz w:val="14"/>
        </w:rPr>
        <w:t xml:space="preserve"> unless the employer can make a compelling case as to why its participation in a multi-employer bargaining unit is unworkable (Rhinehart and McNicholas 2020). 7. </w:t>
      </w:r>
      <w:r w:rsidRPr="00F95EDF">
        <w:rPr>
          <w:highlight w:val="green"/>
          <w:u w:val="single"/>
        </w:rPr>
        <w:t>Enact</w:t>
      </w:r>
      <w:r w:rsidRPr="00101F25">
        <w:rPr>
          <w:sz w:val="14"/>
        </w:rPr>
        <w:t xml:space="preserve"> federal and state </w:t>
      </w:r>
      <w:r w:rsidRPr="00F95EDF">
        <w:rPr>
          <w:highlight w:val="green"/>
          <w:u w:val="single"/>
        </w:rPr>
        <w:t>measures that strengthen the right to refuse hazardous work</w:t>
      </w:r>
      <w:r w:rsidRPr="00346E32">
        <w:rPr>
          <w:u w:val="single"/>
        </w:rPr>
        <w:t xml:space="preserve"> and </w:t>
      </w:r>
      <w:r w:rsidRPr="00F95EDF">
        <w:rPr>
          <w:highlight w:val="green"/>
          <w:u w:val="single"/>
        </w:rPr>
        <w:t>continue eligibility for UI benefits</w:t>
      </w:r>
      <w:r w:rsidRPr="00346E32">
        <w:rPr>
          <w:u w:val="single"/>
        </w:rPr>
        <w:t xml:space="preserve"> for workers refusing unsafe work</w:t>
      </w:r>
      <w:r w:rsidRPr="00101F25">
        <w:rPr>
          <w:sz w:val="14"/>
        </w:rPr>
        <w:t xml:space="preserve"> At the beginning of the COVID-19 pandemic, essential workers in health care, food service, warehouses, grocery stores, meatpacking plants, and other settings raised concerns about the risk of workplace exposure to COVID-19 and the lack of personal protective equipment and other safety protections. Too often, these workers were fired or faced other retaliation for raising these concerns (Hiltzik 2020; Kruzel 2020; Davenport, Bhattarai, and McGregor 2020). In other places, workers were called back to work at workplaces that did not have sufficient health and safety protections and were faced with the prospect of working at an unsafe job and risking contracting a deadly disease, or refusing to work and risking losing their unemployment benefits. </w:t>
      </w:r>
      <w:r w:rsidRPr="00FE0A65">
        <w:rPr>
          <w:u w:val="single"/>
        </w:rPr>
        <w:t>Workers should not be faced with choosing between their health and their livelihood</w:t>
      </w:r>
      <w:r w:rsidRPr="00101F25">
        <w:rPr>
          <w:sz w:val="14"/>
        </w:rPr>
        <w:t xml:space="preserve">. </w:t>
      </w:r>
      <w:r w:rsidRPr="00F95EDF">
        <w:rPr>
          <w:highlight w:val="green"/>
          <w:u w:val="single"/>
        </w:rPr>
        <w:t>The law must</w:t>
      </w:r>
      <w:r w:rsidRPr="00FA1B94">
        <w:rPr>
          <w:u w:val="single"/>
        </w:rPr>
        <w:t xml:space="preserve"> be strengthened to </w:t>
      </w:r>
      <w:r w:rsidRPr="00F95EDF">
        <w:rPr>
          <w:highlight w:val="green"/>
          <w:u w:val="single"/>
        </w:rPr>
        <w:t>explicitly protect workers who refuse</w:t>
      </w:r>
      <w:r w:rsidRPr="00FA1B94">
        <w:rPr>
          <w:u w:val="single"/>
        </w:rPr>
        <w:t xml:space="preserve"> to perform </w:t>
      </w:r>
      <w:r w:rsidRPr="00F95EDF">
        <w:rPr>
          <w:highlight w:val="green"/>
          <w:u w:val="single"/>
        </w:rPr>
        <w:t>hazardous work</w:t>
      </w:r>
      <w:r w:rsidRPr="00FA1B94">
        <w:rPr>
          <w:u w:val="single"/>
        </w:rPr>
        <w:t xml:space="preserve"> from being fired or retaliated against</w:t>
      </w:r>
      <w:r w:rsidRPr="00101F25">
        <w:rPr>
          <w:sz w:val="14"/>
        </w:rPr>
        <w:t xml:space="preserve">. These protections exist to some extent now under the Occupational Safety and Health Act and the NLRA, but the protections are weak and the enforcement is up to the government agency. Also, </w:t>
      </w:r>
      <w:r w:rsidRPr="00F95EDF">
        <w:rPr>
          <w:highlight w:val="green"/>
          <w:u w:val="single"/>
        </w:rPr>
        <w:t>workers who refuse</w:t>
      </w:r>
      <w:r w:rsidRPr="00F04524">
        <w:rPr>
          <w:u w:val="single"/>
        </w:rPr>
        <w:t xml:space="preserve"> to work </w:t>
      </w:r>
      <w:r w:rsidRPr="00F95EDF">
        <w:rPr>
          <w:highlight w:val="green"/>
          <w:u w:val="single"/>
        </w:rPr>
        <w:t>because of unsafe</w:t>
      </w:r>
      <w:r w:rsidRPr="00F04524">
        <w:rPr>
          <w:u w:val="single"/>
        </w:rPr>
        <w:t xml:space="preserve"> working </w:t>
      </w:r>
      <w:r w:rsidRPr="00F95EDF">
        <w:rPr>
          <w:highlight w:val="green"/>
          <w:u w:val="single"/>
        </w:rPr>
        <w:t>conditions</w:t>
      </w:r>
      <w:r w:rsidRPr="00F04524">
        <w:rPr>
          <w:u w:val="single"/>
        </w:rPr>
        <w:t xml:space="preserve"> that the employer fails to address </w:t>
      </w:r>
      <w:r w:rsidRPr="00F95EDF">
        <w:rPr>
          <w:highlight w:val="green"/>
          <w:u w:val="single"/>
        </w:rPr>
        <w:t>should not be disqualified from</w:t>
      </w:r>
      <w:r w:rsidRPr="00F04524">
        <w:rPr>
          <w:u w:val="single"/>
        </w:rPr>
        <w:t xml:space="preserve"> receiving </w:t>
      </w:r>
      <w:r w:rsidRPr="00F95EDF">
        <w:rPr>
          <w:highlight w:val="green"/>
          <w:u w:val="single"/>
        </w:rPr>
        <w:t>unemployment benefits</w:t>
      </w:r>
      <w:r w:rsidRPr="00101F25">
        <w:rPr>
          <w:sz w:val="14"/>
        </w:rPr>
        <w:t xml:space="preserve">: </w:t>
      </w:r>
      <w:r w:rsidRPr="00B56FA2">
        <w:rPr>
          <w:u w:val="single"/>
        </w:rPr>
        <w:t>States should be required to consider the refusal to perform unsafe work as “good cause” to not work, so that unemployment benefits continue</w:t>
      </w:r>
      <w:r w:rsidRPr="00101F25">
        <w:rPr>
          <w:sz w:val="14"/>
        </w:rPr>
        <w:t xml:space="preserve"> (Berkowitz and Sonn 2020). And because </w:t>
      </w:r>
      <w:r w:rsidRPr="000414F6">
        <w:rPr>
          <w:u w:val="single"/>
        </w:rPr>
        <w:t xml:space="preserve">strikes have shown themselves to be effective and often necessary to force action on safety and health, states should be </w:t>
      </w:r>
      <w:r w:rsidRPr="00F95EDF">
        <w:rPr>
          <w:highlight w:val="green"/>
          <w:u w:val="single"/>
        </w:rPr>
        <w:t>required to provide unemployment insurance for strikers</w:t>
      </w:r>
      <w:r w:rsidRPr="000414F6">
        <w:rPr>
          <w:u w:val="single"/>
        </w:rPr>
        <w:t xml:space="preserve"> </w:t>
      </w:r>
      <w:r w:rsidRPr="00101F25">
        <w:rPr>
          <w:sz w:val="14"/>
        </w:rPr>
        <w:t>(Block and Sachs 2020).22</w:t>
      </w:r>
    </w:p>
    <w:p w14:paraId="1CBFEE8C" w14:textId="77777777" w:rsidR="00E3709A" w:rsidRPr="00E3709A" w:rsidRDefault="00E3709A" w:rsidP="00E3709A"/>
    <w:sectPr w:rsidR="00E3709A" w:rsidRPr="00E370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EB78F2"/>
    <w:multiLevelType w:val="hybridMultilevel"/>
    <w:tmpl w:val="04E64E2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F5733F"/>
    <w:multiLevelType w:val="hybridMultilevel"/>
    <w:tmpl w:val="1F22A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97660"/>
    <w:multiLevelType w:val="hybridMultilevel"/>
    <w:tmpl w:val="1604E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6D24EE"/>
    <w:multiLevelType w:val="hybridMultilevel"/>
    <w:tmpl w:val="EDBA7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7B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F55"/>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BB6"/>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09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A852E"/>
  <w14:defaultImageDpi w14:val="300"/>
  <w15:docId w15:val="{4CE0B45D-22A1-9342-9F29-9836C06F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B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A7B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B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BA7B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21"/>
    <w:basedOn w:val="Normal"/>
    <w:next w:val="Normal"/>
    <w:link w:val="Heading4Char"/>
    <w:uiPriority w:val="9"/>
    <w:unhideWhenUsed/>
    <w:qFormat/>
    <w:rsid w:val="00BA7B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B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BB6"/>
  </w:style>
  <w:style w:type="character" w:customStyle="1" w:styleId="Heading1Char">
    <w:name w:val="Heading 1 Char"/>
    <w:aliases w:val="Pocket Char"/>
    <w:basedOn w:val="DefaultParagraphFont"/>
    <w:link w:val="Heading1"/>
    <w:uiPriority w:val="9"/>
    <w:rsid w:val="00BA7B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BB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BA7BB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A7B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7BB6"/>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BA7BB6"/>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20"/>
    <w:qFormat/>
    <w:rsid w:val="00BA7BB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A7B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BA7BB6"/>
    <w:rPr>
      <w:color w:val="auto"/>
      <w:u w:val="none"/>
    </w:rPr>
  </w:style>
  <w:style w:type="paragraph" w:styleId="DocumentMap">
    <w:name w:val="Document Map"/>
    <w:basedOn w:val="Normal"/>
    <w:link w:val="DocumentMapChar"/>
    <w:uiPriority w:val="99"/>
    <w:semiHidden/>
    <w:unhideWhenUsed/>
    <w:rsid w:val="00BA7B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BB6"/>
    <w:rPr>
      <w:rFonts w:ascii="Lucida Grande" w:hAnsi="Lucida Grande" w:cs="Lucida Grande"/>
    </w:rPr>
  </w:style>
  <w:style w:type="paragraph" w:customStyle="1" w:styleId="Card">
    <w:name w:val="Card"/>
    <w:aliases w:val="Note Level 2,card,Medium Grid 21,No Spacing111111,No Spacing31,No Spacing22,No Spacing3,tag,No Spacing41,No Spacing111112,No Spacing5,Small Text,nonunderlined,Tag and Cite,Tag and Ci,No Spacing11211,Very Small Text,Tags,Debate Text,No Spacing11"/>
    <w:basedOn w:val="Heading1"/>
    <w:link w:val="Hyperlink"/>
    <w:autoRedefine/>
    <w:uiPriority w:val="99"/>
    <w:qFormat/>
    <w:rsid w:val="00261F5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61F55"/>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cnbc.com/2021/10/21/stock-market-futures-open-to-close-new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www.ipsnews.net/2019/02/economic-crisis-can-trigger-world-war/"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academic.oup.com/qje/article-abstract/127/1/333/1834007?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5620</Words>
  <Characters>30406</Characters>
  <Application>Microsoft Office Word</Application>
  <DocSecurity>0</DocSecurity>
  <Lines>341</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cp:revision>
  <dcterms:created xsi:type="dcterms:W3CDTF">2021-11-05T21:51:00Z</dcterms:created>
  <dcterms:modified xsi:type="dcterms:W3CDTF">2021-11-05T21:52:00Z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