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17EBAE" w14:textId="736536FB" w:rsidR="00DA2CEC" w:rsidRDefault="000F768A" w:rsidP="00DA2CEC">
      <w:pPr>
        <w:pStyle w:val="Heading2"/>
      </w:pPr>
      <w:r>
        <w:t>1</w:t>
      </w:r>
    </w:p>
    <w:p w14:paraId="1A05DA9D" w14:textId="77777777" w:rsidR="00DF42BD" w:rsidRPr="00395CE0" w:rsidRDefault="00DF42BD" w:rsidP="00DF42BD">
      <w:pPr>
        <w:pStyle w:val="Heading4"/>
        <w:spacing w:before="0" w:line="276" w:lineRule="auto"/>
        <w:rPr>
          <w:rFonts w:cs="Calibri"/>
        </w:rPr>
      </w:pPr>
      <w:r w:rsidRPr="00395CE0">
        <w:rPr>
          <w:rFonts w:cs="Calibri"/>
        </w:rPr>
        <w:t>I value morality because the word ought in the resolution implies a moral obligation.</w:t>
      </w:r>
    </w:p>
    <w:p w14:paraId="6DA070A1" w14:textId="20AA49D6" w:rsidR="00DF42BD" w:rsidRPr="00395CE0" w:rsidRDefault="00DF42BD" w:rsidP="00DF42BD">
      <w:pPr>
        <w:pStyle w:val="Heading4"/>
        <w:spacing w:before="0" w:line="276" w:lineRule="auto"/>
        <w:rPr>
          <w:rFonts w:cs="Calibri"/>
        </w:rPr>
      </w:pPr>
      <w:r w:rsidRPr="00395CE0">
        <w:rPr>
          <w:rFonts w:cs="Calibri"/>
        </w:rPr>
        <w:t xml:space="preserve">Thus, the value criterion must be maximizing well-being </w:t>
      </w:r>
    </w:p>
    <w:p w14:paraId="3F0DC826" w14:textId="77777777" w:rsidR="00DF42BD" w:rsidRPr="00395CE0" w:rsidRDefault="00DF42BD" w:rsidP="00DF42BD">
      <w:pPr>
        <w:pStyle w:val="Heading4"/>
        <w:spacing w:before="0" w:line="276" w:lineRule="auto"/>
        <w:rPr>
          <w:rFonts w:cs="Calibri"/>
        </w:rPr>
      </w:pPr>
      <w:r w:rsidRPr="00395CE0">
        <w:rPr>
          <w:rFonts w:cs="Calibri"/>
        </w:rPr>
        <w:t>There are two main reasons for this:</w:t>
      </w:r>
    </w:p>
    <w:p w14:paraId="0EC436CB" w14:textId="77777777" w:rsidR="00DF42BD" w:rsidRPr="00395CE0" w:rsidRDefault="00DF42BD" w:rsidP="00DF42BD">
      <w:pPr>
        <w:pStyle w:val="Heading4"/>
        <w:numPr>
          <w:ilvl w:val="0"/>
          <w:numId w:val="13"/>
        </w:numPr>
        <w:spacing w:before="0" w:line="276" w:lineRule="auto"/>
        <w:rPr>
          <w:rFonts w:cs="Calibri"/>
        </w:rPr>
      </w:pPr>
      <w:r w:rsidRPr="00395CE0">
        <w:rPr>
          <w:rFonts w:cs="Calibri"/>
        </w:rPr>
        <w:t>Everyone does not like painful or emotionally harmful experiences, so naturally we should try to replace these things with good experiences.</w:t>
      </w:r>
    </w:p>
    <w:p w14:paraId="1876CD2F" w14:textId="77777777" w:rsidR="00DF42BD" w:rsidRPr="00395CE0" w:rsidRDefault="00DF42BD" w:rsidP="00DF42BD">
      <w:pPr>
        <w:pStyle w:val="Heading4"/>
        <w:numPr>
          <w:ilvl w:val="0"/>
          <w:numId w:val="13"/>
        </w:numPr>
        <w:spacing w:before="0" w:line="276" w:lineRule="auto"/>
        <w:rPr>
          <w:rFonts w:cs="Calibri"/>
        </w:rPr>
      </w:pPr>
      <w:r w:rsidRPr="00395CE0">
        <w:rPr>
          <w:rFonts w:cs="Calibri"/>
        </w:rPr>
        <w:t>Things like death and oppression are intuitively bad, and effect everyone, so we should try to prevent them.</w:t>
      </w:r>
    </w:p>
    <w:p w14:paraId="0CFB26A2" w14:textId="77777777" w:rsidR="00DF42BD" w:rsidRPr="00DF42BD" w:rsidRDefault="00DF42BD" w:rsidP="00DF42BD"/>
    <w:p w14:paraId="40E85DC2" w14:textId="77777777" w:rsidR="00C76911" w:rsidRDefault="00C76911" w:rsidP="00C76911">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2D61AD99" w14:textId="77777777" w:rsidR="00C76911" w:rsidRPr="004B406B" w:rsidRDefault="00C76911" w:rsidP="00C76911">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6" w:anchor="_idTextAnchor020" w:history="1">
        <w:r w:rsidRPr="004B406B">
          <w:rPr>
            <w:rStyle w:val="Hyperlink"/>
          </w:rPr>
          <w:t>https://www.cbo.goc/publication/57126#_idTextAnchor020</w:t>
        </w:r>
      </w:hyperlink>
      <w:r w:rsidRPr="004B406B">
        <w:t xml:space="preserve"> </w:t>
      </w:r>
      <w:r>
        <w:t>SJ//DA</w:t>
      </w:r>
    </w:p>
    <w:p w14:paraId="174DA36C" w14:textId="77777777" w:rsidR="00C76911" w:rsidRPr="00334F58" w:rsidRDefault="00C76911" w:rsidP="00C76911">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325F7">
        <w:rPr>
          <w:b/>
          <w:bCs/>
          <w:u w:val="single"/>
        </w:rPr>
        <w:t>activities, including discovering</w:t>
      </w:r>
      <w:r w:rsidRPr="004B406B">
        <w:rPr>
          <w:b/>
          <w:bCs/>
          <w:u w:val="single"/>
        </w:rPr>
        <w:t xml:space="preserve"> and </w:t>
      </w:r>
      <w:r w:rsidRPr="004325F7">
        <w:rPr>
          <w:b/>
          <w:bCs/>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325F7">
        <w:rPr>
          <w:b/>
          <w:bCs/>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325F7">
        <w:rPr>
          <w:b/>
          <w:bCs/>
          <w:u w:val="single"/>
        </w:rPr>
        <w:t>Small companies not in PhRMA devote a greater share of their research to developing and testing new 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18831BBC" w14:textId="77777777" w:rsidR="00C76911" w:rsidRPr="00867226" w:rsidRDefault="00C76911" w:rsidP="00C76911"/>
    <w:p w14:paraId="78CBC94B" w14:textId="77777777" w:rsidR="00C76911" w:rsidRDefault="00C76911" w:rsidP="00C76911">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3CF645D2" w14:textId="77777777" w:rsidR="00C76911" w:rsidRPr="00AB7043" w:rsidRDefault="00C76911" w:rsidP="00C76911">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7" w:history="1">
        <w:r w:rsidRPr="00FE7871">
          <w:rPr>
            <w:rStyle w:val="Hyperlink"/>
          </w:rPr>
          <w:t>https://www.barrons.com/articles/big-pharma-is-not-the-tobacco-industry-51620315693</w:t>
        </w:r>
      </w:hyperlink>
      <w:r>
        <w:t>] Justin</w:t>
      </w:r>
    </w:p>
    <w:p w14:paraId="4EE161A1" w14:textId="77777777" w:rsidR="00C76911" w:rsidRDefault="00C76911" w:rsidP="00C76911">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proofErr w:type="spellStart"/>
      <w:r w:rsidRPr="00AB7043">
        <w:rPr>
          <w:rStyle w:val="Emphasis"/>
          <w:highlight w:val="green"/>
        </w:rPr>
        <w:t>d</w:t>
      </w:r>
      <w:r w:rsidRPr="00AB7043">
        <w:rPr>
          <w:rStyle w:val="Emphasis"/>
        </w:rPr>
        <w:t>isfunction</w:t>
      </w:r>
      <w:proofErr w:type="spellEnd"/>
      <w:r w:rsidRPr="00AB7043">
        <w:rPr>
          <w:sz w:val="16"/>
        </w:rPr>
        <w:t xml:space="preserve">, which will surely earn you a steady return with far less </w:t>
      </w:r>
      <w:proofErr w:type="spellStart"/>
      <w:r w:rsidRPr="00AB7043">
        <w:rPr>
          <w:sz w:val="16"/>
        </w:rPr>
        <w:t>agita</w:t>
      </w:r>
      <w:proofErr w:type="spellEnd"/>
      <w:r w:rsidRPr="00AB7043">
        <w:rPr>
          <w:sz w:val="16"/>
        </w:rPr>
        <w:t xml:space="preserve">.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376B3D3F" w14:textId="77777777" w:rsidR="00C76911" w:rsidRDefault="00C76911" w:rsidP="00C76911">
      <w:pPr>
        <w:rPr>
          <w:sz w:val="16"/>
        </w:rPr>
      </w:pPr>
    </w:p>
    <w:p w14:paraId="281978F9" w14:textId="77777777" w:rsidR="00C76911" w:rsidRDefault="00C76911" w:rsidP="00C76911"/>
    <w:p w14:paraId="7442AF30" w14:textId="77777777" w:rsidR="00C76911" w:rsidRDefault="00C76911" w:rsidP="00C76911">
      <w:pPr>
        <w:pStyle w:val="Heading4"/>
      </w:pPr>
      <w:r>
        <w:t xml:space="preserve">Pharma Innovation </w:t>
      </w:r>
      <w:r>
        <w:rPr>
          <w:u w:val="single"/>
        </w:rPr>
        <w:t>prevents Extinction</w:t>
      </w:r>
      <w:r>
        <w:t xml:space="preserve"> – checks </w:t>
      </w:r>
      <w:r>
        <w:rPr>
          <w:u w:val="single"/>
        </w:rPr>
        <w:t>new diseases</w:t>
      </w:r>
      <w:r>
        <w:t>.</w:t>
      </w:r>
    </w:p>
    <w:p w14:paraId="3D47B043" w14:textId="77777777" w:rsidR="00C76911" w:rsidRPr="00343733" w:rsidRDefault="00C76911" w:rsidP="00C76911">
      <w:proofErr w:type="spellStart"/>
      <w:r w:rsidRPr="00343733">
        <w:rPr>
          <w:rStyle w:val="Style13ptBold"/>
        </w:rPr>
        <w:t>Engelhardt</w:t>
      </w:r>
      <w:proofErr w:type="spellEnd"/>
      <w:r w:rsidRPr="00343733">
        <w:rPr>
          <w:rStyle w:val="Style13ptBold"/>
        </w:rPr>
        <w:t xml:space="preserve"> 8</w:t>
      </w:r>
      <w:r w:rsidRPr="00343733">
        <w:t xml:space="preserve">, H. </w:t>
      </w:r>
      <w:proofErr w:type="spellStart"/>
      <w:r w:rsidRPr="00343733">
        <w:t>Tristram</w:t>
      </w:r>
      <w:proofErr w:type="spellEnd"/>
      <w:r w:rsidRPr="00343733">
        <w:t>.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0241BC81" w14:textId="77777777" w:rsidR="00C76911" w:rsidRPr="00610247" w:rsidRDefault="00C76911" w:rsidP="00C76911">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4325F7">
        <w:rPr>
          <w:rStyle w:val="StyleThickunderline1"/>
        </w:rPr>
        <w:t>in a</w:t>
      </w:r>
      <w:r w:rsidRPr="00343733">
        <w:rPr>
          <w:rStyle w:val="StyleThickunderline1"/>
        </w:rPr>
        <w:t>n ever-</w:t>
      </w:r>
      <w:r w:rsidRPr="004325F7">
        <w:rPr>
          <w:rStyle w:val="StyleThickunderline1"/>
        </w:rPr>
        <w:t>changing and</w:t>
      </w:r>
      <w:r w:rsidRPr="00343733">
        <w:rPr>
          <w:rStyle w:val="StyleThickunderline1"/>
        </w:rPr>
        <w:t xml:space="preserve"> always </w:t>
      </w:r>
      <w:r w:rsidRPr="00F106F9">
        <w:rPr>
          <w:rStyle w:val="StyleThickunderline1"/>
          <w:highlight w:val="green"/>
        </w:rPr>
        <w:t xml:space="preserve">dangerous environment </w:t>
      </w:r>
      <w:r w:rsidRPr="004325F7">
        <w:rPr>
          <w:rStyle w:val="StyleThickunderline1"/>
        </w:rPr>
        <w:t>in</w:t>
      </w:r>
      <w:r w:rsidRPr="00F106F9">
        <w:rPr>
          <w:rStyle w:val="StyleThickunderline1"/>
          <w:highlight w:val="green"/>
        </w:rPr>
        <w:t xml:space="preserve">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4325F7">
        <w:rPr>
          <w:rStyle w:val="StyleThickunderline1"/>
        </w:rPr>
        <w:t xml:space="preserve">at any time </w:t>
      </w:r>
      <w:r w:rsidRPr="00F106F9">
        <w:rPr>
          <w:rStyle w:val="StyleThickunderline1"/>
          <w:highlight w:val="green"/>
        </w:rPr>
        <w:t xml:space="preserve">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2EE96340" w14:textId="77777777" w:rsidR="00C76911" w:rsidRDefault="00C76911" w:rsidP="00C76911">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4A91658B" w14:textId="77777777" w:rsidR="00C76911" w:rsidRPr="00CB1B2A" w:rsidRDefault="00C76911" w:rsidP="00C76911">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46F1676D" w14:textId="77777777" w:rsidR="00C76911" w:rsidRDefault="00C76911" w:rsidP="00C76911">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proofErr w:type="gramStart"/>
      <w:r w:rsidRPr="00343733">
        <w:rPr>
          <w:sz w:val="16"/>
        </w:rPr>
        <w:t>The</w:t>
      </w:r>
      <w:proofErr w:type="gramEnd"/>
      <w:r w:rsidRPr="00343733">
        <w:rPr>
          <w:sz w:val="16"/>
        </w:rPr>
        <w:t xml:space="preserv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3619A9F3" w14:textId="77777777" w:rsidR="00C76911" w:rsidRDefault="00C76911" w:rsidP="00C76911"/>
    <w:p w14:paraId="3197979F" w14:textId="1FA076FF" w:rsidR="009E7B37" w:rsidRPr="009E7B37" w:rsidRDefault="009E7B37" w:rsidP="009E7B37">
      <w:pPr>
        <w:pStyle w:val="Heading2"/>
      </w:pPr>
      <w:r>
        <w:t>2</w:t>
      </w:r>
    </w:p>
    <w:p w14:paraId="4EB94A7A" w14:textId="77777777" w:rsidR="00DA2CEC" w:rsidRDefault="00DA2CEC" w:rsidP="00DA2CEC">
      <w:pPr>
        <w:pStyle w:val="Heading4"/>
      </w:pPr>
      <w:r>
        <w:t>I</w:t>
      </w:r>
      <w:r w:rsidRPr="007D63D5">
        <w:t>nterpretation</w:t>
      </w:r>
      <w:r>
        <w:t>:</w:t>
      </w:r>
      <w:r w:rsidRPr="007D63D5">
        <w:t xml:space="preserve"> the </w:t>
      </w:r>
      <w:r>
        <w:t>aff</w:t>
      </w:r>
      <w:r w:rsidRPr="007D63D5">
        <w:t xml:space="preserve"> may not claim offense from anything other than the instrumental implementation of a policy stating that </w:t>
      </w:r>
      <w:r>
        <w:t>the member nations of the World Trade Organization ought to reduce intellectual property protections for medicines</w:t>
      </w:r>
    </w:p>
    <w:p w14:paraId="356B031C" w14:textId="77777777" w:rsidR="00DA2CEC" w:rsidRPr="00FB3A00" w:rsidRDefault="00DA2CEC" w:rsidP="00DA2CEC">
      <w:pPr>
        <w:pStyle w:val="Heading4"/>
        <w:rPr>
          <w:rFonts w:cs="Calibri"/>
        </w:rPr>
      </w:pPr>
      <w:r w:rsidRPr="00FB3A00">
        <w:rPr>
          <w:rFonts w:cs="Calibri"/>
        </w:rPr>
        <w:t>Resolved means a policy</w:t>
      </w:r>
    </w:p>
    <w:p w14:paraId="65632C60" w14:textId="77777777" w:rsidR="00DA2CEC" w:rsidRPr="00FB3A00" w:rsidRDefault="00DA2CEC" w:rsidP="00DA2CEC">
      <w:pPr>
        <w:rPr>
          <w:rStyle w:val="StyleUnderline"/>
          <w:b/>
          <w:sz w:val="16"/>
        </w:rPr>
      </w:pPr>
      <w:r w:rsidRPr="00FB3A00">
        <w:rPr>
          <w:rStyle w:val="StyleUnderline"/>
        </w:rPr>
        <w:t>Words and Phrases 64</w:t>
      </w:r>
      <w:r w:rsidRPr="00FB3A00">
        <w:t xml:space="preserve"> Words and Phrases Permanent Edition. “Resolved”. 1964.</w:t>
      </w:r>
    </w:p>
    <w:p w14:paraId="28AA4B99" w14:textId="77777777" w:rsidR="00DA2CEC" w:rsidRPr="00FB3A00" w:rsidRDefault="00DA2CEC" w:rsidP="00DA2CEC">
      <w:r w:rsidRPr="00FB3A00">
        <w:rPr>
          <w:rStyle w:val="StyleUnderline"/>
        </w:rPr>
        <w:t>Definition of the word “</w:t>
      </w:r>
      <w:r w:rsidRPr="00FB3A00">
        <w:rPr>
          <w:rStyle w:val="StyleUnderline"/>
          <w:highlight w:val="green"/>
        </w:rPr>
        <w:t>resolve</w:t>
      </w:r>
      <w:r w:rsidRPr="00FB3A00">
        <w:rPr>
          <w:rStyle w:val="StyleUnderline"/>
        </w:rPr>
        <w:t xml:space="preserve">,” given by Webster </w:t>
      </w:r>
      <w:r w:rsidRPr="00FB3A00">
        <w:rPr>
          <w:rStyle w:val="StyleUnderline"/>
          <w:highlight w:val="green"/>
        </w:rPr>
        <w:t>is</w:t>
      </w:r>
      <w:r w:rsidRPr="00FB3A00">
        <w:rPr>
          <w:rStyle w:val="StyleUnderline"/>
        </w:rPr>
        <w:t xml:space="preserve"> “to express an opinion or </w:t>
      </w:r>
      <w:r w:rsidRPr="00FB3A00">
        <w:rPr>
          <w:rStyle w:val="StyleUnderline"/>
          <w:highlight w:val="green"/>
        </w:rPr>
        <w:t>determination by</w:t>
      </w:r>
      <w:r w:rsidRPr="00FB3A00">
        <w:rPr>
          <w:rStyle w:val="StyleUnderline"/>
        </w:rPr>
        <w:t xml:space="preserve"> resolution or vote; as ‘it was resolved by the </w:t>
      </w:r>
      <w:r w:rsidRPr="00FB3A00">
        <w:rPr>
          <w:rStyle w:val="StyleUnderline"/>
          <w:highlight w:val="green"/>
        </w:rPr>
        <w:t>legislature</w:t>
      </w:r>
      <w:r w:rsidRPr="00FB3A00">
        <w:t>;” It is of similar force to the word “enact,” which is defined by Bouvier as meaning “</w:t>
      </w:r>
      <w:r w:rsidRPr="00FB3A00">
        <w:rPr>
          <w:rStyle w:val="StyleUnderline"/>
          <w:highlight w:val="green"/>
        </w:rPr>
        <w:t>to establish by law</w:t>
      </w:r>
      <w:r w:rsidRPr="00FB3A00">
        <w:t xml:space="preserve">”. </w:t>
      </w:r>
    </w:p>
    <w:p w14:paraId="2822F590" w14:textId="77777777" w:rsidR="00DA2CEC" w:rsidRPr="00FB3A00" w:rsidRDefault="00DA2CEC" w:rsidP="00DA2CEC">
      <w:pPr>
        <w:pStyle w:val="Heading4"/>
        <w:rPr>
          <w:rFonts w:cs="Calibri"/>
        </w:rPr>
      </w:pPr>
      <w:r>
        <w:rPr>
          <w:rFonts w:cs="Calibri"/>
        </w:rPr>
        <w:t>The WTO is an organization that deals with the rules of trade</w:t>
      </w:r>
    </w:p>
    <w:p w14:paraId="60336C01" w14:textId="77777777" w:rsidR="00DA2CEC" w:rsidRPr="00E95FED" w:rsidRDefault="00DA2CEC" w:rsidP="00DA2CEC">
      <w:r>
        <w:rPr>
          <w:rStyle w:val="Style13ptBold"/>
        </w:rPr>
        <w:t>WTO 21</w:t>
      </w:r>
      <w:r w:rsidRPr="00FB3A00">
        <w:rPr>
          <w:rStyle w:val="Style13ptBold"/>
        </w:rPr>
        <w:t xml:space="preserve"> </w:t>
      </w:r>
      <w:r w:rsidRPr="00E95FED">
        <w:rPr>
          <w:i/>
          <w:iCs/>
        </w:rPr>
        <w:t>What is the WTO?</w:t>
      </w:r>
      <w:r w:rsidRPr="00E95FED">
        <w:t xml:space="preserve"> WTO. (2021). Retrieved September 11, 2021, from https://www.wto.org/english/thewto_e/whatis_e/whatis_e.htm. </w:t>
      </w:r>
    </w:p>
    <w:p w14:paraId="2FC34246" w14:textId="77777777" w:rsidR="00DA2CEC" w:rsidRDefault="00DA2CEC" w:rsidP="00DA2CEC">
      <w:pPr>
        <w:rPr>
          <w:b/>
          <w:iCs/>
        </w:rPr>
      </w:pPr>
      <w:r w:rsidRPr="00E95FED">
        <w:rPr>
          <w:rFonts w:eastAsiaTheme="majorEastAsia" w:cstheme="majorBidi"/>
          <w:b/>
          <w:sz w:val="32"/>
          <w:szCs w:val="24"/>
          <w:highlight w:val="green"/>
          <w:u w:val="single"/>
        </w:rPr>
        <w:t>The</w:t>
      </w:r>
      <w:r w:rsidRPr="00E95FED">
        <w:rPr>
          <w:rFonts w:eastAsiaTheme="majorEastAsia" w:cstheme="majorBidi"/>
          <w:b/>
          <w:sz w:val="32"/>
          <w:szCs w:val="24"/>
          <w:u w:val="single"/>
        </w:rPr>
        <w:t xml:space="preserve"> World Trade Organization </w:t>
      </w:r>
      <w:r w:rsidRPr="00E95FED">
        <w:rPr>
          <w:rFonts w:eastAsiaTheme="majorEastAsia" w:cstheme="majorBidi"/>
          <w:b/>
          <w:sz w:val="32"/>
          <w:szCs w:val="24"/>
          <w:highlight w:val="green"/>
          <w:u w:val="single"/>
        </w:rPr>
        <w:t>(WTO) is the only global international organization dealing with the rules of trade between nations</w:t>
      </w:r>
      <w:r w:rsidRPr="00E95FED">
        <w:rPr>
          <w:rFonts w:eastAsiaTheme="majorEastAsia" w:cstheme="majorBidi"/>
          <w:b/>
          <w:sz w:val="32"/>
          <w:szCs w:val="24"/>
          <w:u w:val="single"/>
        </w:rPr>
        <w:t>. At its heart are the WTO agreements</w:t>
      </w:r>
      <w:r w:rsidRPr="00E95FED">
        <w:t>, negotiated and signed by the bulk of the world’s trading nations and ratified in their parliaments</w:t>
      </w:r>
      <w:r w:rsidRPr="00E95FED">
        <w:rPr>
          <w:rFonts w:eastAsiaTheme="majorEastAsia" w:cstheme="majorBidi"/>
          <w:b/>
          <w:sz w:val="32"/>
          <w:szCs w:val="24"/>
          <w:u w:val="single"/>
        </w:rPr>
        <w:t xml:space="preserve">. </w:t>
      </w:r>
      <w:r w:rsidRPr="00E95FED">
        <w:rPr>
          <w:rFonts w:eastAsiaTheme="majorEastAsia" w:cstheme="majorBidi"/>
          <w:b/>
          <w:sz w:val="32"/>
          <w:szCs w:val="24"/>
          <w:highlight w:val="green"/>
          <w:u w:val="single"/>
        </w:rPr>
        <w:t>The goal is to help</w:t>
      </w:r>
      <w:r w:rsidRPr="00E95FED">
        <w:rPr>
          <w:rFonts w:eastAsiaTheme="majorEastAsia" w:cstheme="majorBidi"/>
          <w:b/>
          <w:sz w:val="32"/>
          <w:szCs w:val="24"/>
          <w:u w:val="single"/>
        </w:rPr>
        <w:t xml:space="preserve"> producers of goods and services, exporters, and importers </w:t>
      </w:r>
      <w:r w:rsidRPr="00E95FED">
        <w:rPr>
          <w:rFonts w:eastAsiaTheme="majorEastAsia" w:cstheme="majorBidi"/>
          <w:b/>
          <w:sz w:val="32"/>
          <w:szCs w:val="24"/>
          <w:highlight w:val="green"/>
          <w:u w:val="single"/>
        </w:rPr>
        <w:t>conduct</w:t>
      </w:r>
      <w:r w:rsidRPr="00E95FED">
        <w:rPr>
          <w:rFonts w:eastAsiaTheme="majorEastAsia" w:cstheme="majorBidi"/>
          <w:b/>
          <w:sz w:val="32"/>
          <w:szCs w:val="24"/>
          <w:u w:val="single"/>
        </w:rPr>
        <w:t xml:space="preserve"> their </w:t>
      </w:r>
      <w:r w:rsidRPr="00E95FED">
        <w:rPr>
          <w:rFonts w:eastAsiaTheme="majorEastAsia" w:cstheme="majorBidi"/>
          <w:b/>
          <w:sz w:val="32"/>
          <w:szCs w:val="24"/>
          <w:highlight w:val="green"/>
          <w:u w:val="single"/>
        </w:rPr>
        <w:t>business</w:t>
      </w:r>
      <w:r w:rsidRPr="00E95FED">
        <w:t xml:space="preserve">. </w:t>
      </w:r>
    </w:p>
    <w:p w14:paraId="70D23E16" w14:textId="77777777" w:rsidR="00DA2CEC" w:rsidRPr="00714CF4" w:rsidRDefault="00DA2CEC" w:rsidP="00DA2CEC">
      <w:pPr>
        <w:pStyle w:val="Heading4"/>
        <w:rPr>
          <w:rFonts w:cs="Calibri"/>
        </w:rPr>
      </w:pPr>
      <w:r>
        <w:rPr>
          <w:rFonts w:cs="Calibri"/>
        </w:rPr>
        <w:t>Reduce requires a net decrease-</w:t>
      </w:r>
    </w:p>
    <w:p w14:paraId="4CA4B6D8" w14:textId="77777777" w:rsidR="00DA2CEC" w:rsidRPr="00714CF4" w:rsidRDefault="00DA2CEC" w:rsidP="00DA2CEC">
      <w:pPr>
        <w:rPr>
          <w:rStyle w:val="Style13ptBold"/>
          <w:bCs w:val="0"/>
        </w:rPr>
      </w:pPr>
      <w:r w:rsidRPr="00714CF4">
        <w:rPr>
          <w:rStyle w:val="Style13ptBold"/>
        </w:rPr>
        <w:t>Public Law 87-253</w:t>
      </w:r>
    </w:p>
    <w:p w14:paraId="66076930" w14:textId="77777777" w:rsidR="00DA2CEC" w:rsidRPr="00714CF4" w:rsidRDefault="00DA2CEC" w:rsidP="00DA2CEC">
      <w:pPr>
        <w:rPr>
          <w:b/>
        </w:rPr>
      </w:pPr>
      <w:r w:rsidRPr="00714CF4">
        <w:rPr>
          <w:b/>
        </w:rPr>
        <w:t>(Omnibus Budget Reconciliation Act of 1982, 97th US Congress, Sept 8, 1982, Lexis)</w:t>
      </w:r>
    </w:p>
    <w:p w14:paraId="455B45C8" w14:textId="26DA9994" w:rsidR="00DA2CEC" w:rsidRDefault="00DA2CEC" w:rsidP="00DA2CEC">
      <w:pPr>
        <w:rPr>
          <w:b/>
          <w:sz w:val="16"/>
        </w:rPr>
      </w:pPr>
      <w:r w:rsidRPr="00714CF4">
        <w:rPr>
          <w:b/>
          <w:sz w:val="16"/>
        </w:rPr>
        <w:t xml:space="preserve">E) Prior to approving any application for a refund, the Secretary shall require evidence that such reduction in </w:t>
      </w:r>
      <w:proofErr w:type="spellStart"/>
      <w:r w:rsidRPr="00714CF4">
        <w:rPr>
          <w:b/>
          <w:sz w:val="16"/>
        </w:rPr>
        <w:t>marketings</w:t>
      </w:r>
      <w:proofErr w:type="spellEnd"/>
      <w:r w:rsidRPr="00714CF4">
        <w:rPr>
          <w:b/>
          <w:sz w:val="16"/>
        </w:rPr>
        <w:t xml:space="preserve"> has taken place and that </w:t>
      </w:r>
      <w:r w:rsidRPr="00714CF4">
        <w:rPr>
          <w:rStyle w:val="StyleUnderline"/>
        </w:rPr>
        <w:t xml:space="preserve">such </w:t>
      </w:r>
      <w:r w:rsidRPr="00714CF4">
        <w:rPr>
          <w:rStyle w:val="StyleUnderline"/>
          <w:highlight w:val="yellow"/>
        </w:rPr>
        <w:t xml:space="preserve">reduction is a </w:t>
      </w:r>
      <w:r w:rsidRPr="00714CF4">
        <w:rPr>
          <w:rStyle w:val="Emphasis"/>
          <w:highlight w:val="yellow"/>
        </w:rPr>
        <w:t>net decrease</w:t>
      </w:r>
      <w:r w:rsidRPr="00714CF4">
        <w:rPr>
          <w:b/>
          <w:sz w:val="16"/>
        </w:rPr>
        <w:t xml:space="preserve"> in </w:t>
      </w:r>
      <w:proofErr w:type="spellStart"/>
      <w:r w:rsidRPr="00714CF4">
        <w:rPr>
          <w:b/>
          <w:sz w:val="16"/>
        </w:rPr>
        <w:t>marketings</w:t>
      </w:r>
      <w:proofErr w:type="spellEnd"/>
      <w:r w:rsidRPr="00714CF4">
        <w:rPr>
          <w:b/>
          <w:sz w:val="16"/>
        </w:rPr>
        <w:t xml:space="preserve"> of milk and has </w:t>
      </w:r>
      <w:r w:rsidRPr="00714CF4">
        <w:rPr>
          <w:rStyle w:val="Emphasis"/>
          <w:highlight w:val="yellow"/>
        </w:rPr>
        <w:t>not</w:t>
      </w:r>
      <w:r w:rsidRPr="00714CF4">
        <w:rPr>
          <w:b/>
          <w:sz w:val="16"/>
        </w:rPr>
        <w:t xml:space="preserve"> been </w:t>
      </w:r>
      <w:r w:rsidRPr="00714CF4">
        <w:rPr>
          <w:rStyle w:val="Emphasis"/>
          <w:highlight w:val="yellow"/>
        </w:rPr>
        <w:t>offset</w:t>
      </w:r>
      <w:r w:rsidRPr="00714CF4">
        <w:rPr>
          <w:rStyle w:val="StyleUnderline"/>
          <w:highlight w:val="yellow"/>
        </w:rPr>
        <w:t xml:space="preserve"> </w:t>
      </w:r>
      <w:r w:rsidRPr="00714CF4">
        <w:rPr>
          <w:rStyle w:val="StyleUnderline"/>
        </w:rPr>
        <w:t xml:space="preserve">by expansion </w:t>
      </w:r>
      <w:r w:rsidRPr="00714CF4">
        <w:rPr>
          <w:b/>
          <w:sz w:val="16"/>
        </w:rPr>
        <w:t xml:space="preserve">of production </w:t>
      </w:r>
      <w:r w:rsidRPr="00714CF4">
        <w:rPr>
          <w:rStyle w:val="StyleUnderline"/>
          <w:highlight w:val="yellow"/>
        </w:rPr>
        <w:t xml:space="preserve">in </w:t>
      </w:r>
      <w:r w:rsidRPr="00714CF4">
        <w:rPr>
          <w:b/>
          <w:sz w:val="16"/>
        </w:rPr>
        <w:t xml:space="preserve">other production facilities in which the person has an interest or by transfer of partial interest in the </w:t>
      </w:r>
      <w:proofErr w:type="spellStart"/>
      <w:r w:rsidRPr="00714CF4">
        <w:rPr>
          <w:b/>
          <w:sz w:val="16"/>
        </w:rPr>
        <w:t>produc</w:t>
      </w:r>
      <w:proofErr w:type="spellEnd"/>
      <w:r w:rsidRPr="00714CF4">
        <w:rPr>
          <w:b/>
          <w:sz w:val="16"/>
        </w:rPr>
        <w:t xml:space="preserve">- </w:t>
      </w:r>
      <w:proofErr w:type="spellStart"/>
      <w:r w:rsidRPr="00714CF4">
        <w:rPr>
          <w:b/>
          <w:sz w:val="16"/>
        </w:rPr>
        <w:t>tion</w:t>
      </w:r>
      <w:proofErr w:type="spellEnd"/>
      <w:r w:rsidRPr="00714CF4">
        <w:rPr>
          <w:b/>
          <w:sz w:val="16"/>
        </w:rPr>
        <w:t xml:space="preserve"> facility or by the taking of </w:t>
      </w:r>
      <w:r w:rsidRPr="00714CF4">
        <w:rPr>
          <w:rStyle w:val="StyleUnderline"/>
          <w:highlight w:val="yellow"/>
        </w:rPr>
        <w:t>any other action</w:t>
      </w:r>
      <w:r w:rsidRPr="00714CF4">
        <w:rPr>
          <w:b/>
          <w:sz w:val="16"/>
        </w:rPr>
        <w:t xml:space="preserve">. which is a scheme or device to qualify for payment. </w:t>
      </w:r>
    </w:p>
    <w:p w14:paraId="3400692F" w14:textId="77777777" w:rsidR="00A20C5B" w:rsidRDefault="00A20C5B" w:rsidP="00A20C5B">
      <w:pPr>
        <w:pStyle w:val="Heading4"/>
      </w:pPr>
      <w:r>
        <w:t xml:space="preserve">There are four types of IP that </w:t>
      </w:r>
      <w:r w:rsidRPr="00393704">
        <w:rPr>
          <w:u w:val="single"/>
        </w:rPr>
        <w:t>are vastly different</w:t>
      </w:r>
      <w:r>
        <w:t>.</w:t>
      </w:r>
    </w:p>
    <w:p w14:paraId="0ECFEE1E" w14:textId="77777777" w:rsidR="00A20C5B" w:rsidRPr="00393704" w:rsidRDefault="00A20C5B" w:rsidP="00A20C5B">
      <w:r w:rsidRPr="00393704">
        <w:rPr>
          <w:rStyle w:val="Style13ptBold"/>
        </w:rPr>
        <w:t>Ackerman 17</w:t>
      </w:r>
      <w:r>
        <w:t xml:space="preserve"> [Peter; </w:t>
      </w:r>
      <w:r w:rsidRPr="00393704">
        <w:t xml:space="preserve">Founder &amp; CEO, Innovation Asset Group, </w:t>
      </w:r>
      <w:proofErr w:type="spellStart"/>
      <w:r w:rsidRPr="00393704">
        <w:t>Inc</w:t>
      </w:r>
      <w:proofErr w:type="spellEnd"/>
      <w:r>
        <w:t>; “</w:t>
      </w:r>
      <w:r w:rsidRPr="00393704">
        <w:t>The 4 Main Types of Intellectual Property and Related Costs</w:t>
      </w:r>
      <w:r>
        <w:t xml:space="preserve">,” Decipher; 1/6/17; </w:t>
      </w:r>
      <w:hyperlink r:id="rId8" w:history="1">
        <w:r w:rsidRPr="007272F2">
          <w:rPr>
            <w:rStyle w:val="Hyperlink"/>
          </w:rPr>
          <w:t>https://www.innovation-asset.com/blog/the-4-main-types-of-intellectual-property-and-related-costs</w:t>
        </w:r>
      </w:hyperlink>
      <w:r>
        <w:t>] Justin</w:t>
      </w:r>
    </w:p>
    <w:p w14:paraId="59EEB7A9" w14:textId="77777777" w:rsidR="00A20C5B" w:rsidRPr="00A608CE" w:rsidRDefault="00A20C5B" w:rsidP="00A20C5B">
      <w:pPr>
        <w:rPr>
          <w:u w:val="single"/>
        </w:rPr>
      </w:pPr>
      <w:r w:rsidRPr="00A608CE">
        <w:rPr>
          <w:sz w:val="16"/>
        </w:rPr>
        <w:t xml:space="preserve">Intellectual property protection isn’t as simple as declaring ownership of a particular product or asset. In most countries, </w:t>
      </w:r>
      <w:r w:rsidRPr="00A608CE">
        <w:rPr>
          <w:rStyle w:val="StyleUnderline"/>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r w:rsidRPr="00A608CE">
        <w:rPr>
          <w:rStyle w:val="Emphasis"/>
          <w:highlight w:val="green"/>
        </w:rPr>
        <w:t>requirements</w:t>
      </w:r>
      <w:r w:rsidRPr="00A608CE">
        <w:rPr>
          <w:highlight w:val="green"/>
          <w:u w:val="single"/>
        </w:rPr>
        <w:t xml:space="preserve"> and </w:t>
      </w:r>
      <w:r w:rsidRPr="00A608CE">
        <w:rPr>
          <w:rStyle w:val="Emphasis"/>
          <w:highlight w:val="green"/>
        </w:rPr>
        <w:t>costs</w:t>
      </w:r>
      <w:r w:rsidRPr="00A608CE">
        <w:rPr>
          <w:u w:val="single"/>
        </w:rPr>
        <w:t>.</w:t>
      </w:r>
    </w:p>
    <w:p w14:paraId="3608A22A" w14:textId="77777777" w:rsidR="00A20C5B" w:rsidRPr="00A608CE" w:rsidRDefault="00A20C5B" w:rsidP="00A20C5B">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044201F3" w14:textId="77777777" w:rsidR="00A20C5B" w:rsidRPr="00A608CE" w:rsidRDefault="00A20C5B" w:rsidP="00A20C5B">
      <w:pPr>
        <w:rPr>
          <w:u w:val="single"/>
        </w:rPr>
      </w:pPr>
      <w:r w:rsidRPr="00A608CE">
        <w:rPr>
          <w:sz w:val="16"/>
        </w:rPr>
        <w:t xml:space="preserve">Used to protect inventive ideas or processes – things that are new, useful and nonobvious -  patents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73516ED6" w14:textId="77777777" w:rsidR="00A20C5B" w:rsidRPr="00A608CE" w:rsidRDefault="00A20C5B" w:rsidP="00A20C5B">
      <w:pPr>
        <w:rPr>
          <w:sz w:val="16"/>
        </w:rPr>
      </w:pPr>
      <w:r w:rsidRPr="00A608CE">
        <w:rPr>
          <w:sz w:val="16"/>
        </w:rPr>
        <w:t xml:space="preserve">Procedure </w:t>
      </w:r>
      <w:proofErr w:type="gramStart"/>
      <w:r w:rsidRPr="00A608CE">
        <w:rPr>
          <w:sz w:val="16"/>
        </w:rPr>
        <w:t>For</w:t>
      </w:r>
      <w:proofErr w:type="gramEnd"/>
      <w:r w:rsidRPr="00A608CE">
        <w:rPr>
          <w:sz w:val="16"/>
        </w:rPr>
        <w:t xml:space="preserve">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w:t>
      </w:r>
      <w:proofErr w:type="gramStart"/>
      <w:r w:rsidRPr="00A608CE">
        <w:rPr>
          <w:sz w:val="16"/>
        </w:rPr>
        <w:t>An</w:t>
      </w:r>
      <w:proofErr w:type="gramEnd"/>
      <w:r w:rsidRPr="00A608CE">
        <w:rPr>
          <w:sz w:val="16"/>
        </w:rPr>
        <w:t xml:space="preserve">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w:t>
      </w:r>
      <w:proofErr w:type="spellStart"/>
      <w:r w:rsidRPr="00A608CE">
        <w:rPr>
          <w:sz w:val="16"/>
        </w:rPr>
        <w:t>nonprovisional</w:t>
      </w:r>
      <w:proofErr w:type="spellEnd"/>
      <w:r w:rsidRPr="00A608CE">
        <w:rPr>
          <w:sz w:val="16"/>
        </w:rPr>
        <w:t xml:space="preserve"> patent applications. Others will farm this stage out. There may be more tweaks as an application is prepared, and then submission to the appropriate patent office and the prosecution stage begins (the back &amp; forth with the government patent office). </w:t>
      </w:r>
      <w:proofErr w:type="gramStart"/>
      <w:r w:rsidRPr="00A608CE">
        <w:rPr>
          <w:sz w:val="16"/>
        </w:rPr>
        <w:t>Typically</w:t>
      </w:r>
      <w:proofErr w:type="gramEnd"/>
      <w:r w:rsidRPr="00A608CE">
        <w:rPr>
          <w:sz w:val="16"/>
        </w:rPr>
        <w:t xml:space="preserve">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A608CE">
        <w:rPr>
          <w:sz w:val="16"/>
        </w:rPr>
        <w:t>offices</w:t>
      </w:r>
      <w:proofErr w:type="spellEnd"/>
      <w:r w:rsidRPr="00A608CE">
        <w:rPr>
          <w:sz w:val="16"/>
        </w:rPr>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w:t>
      </w:r>
      <w:proofErr w:type="spellStart"/>
      <w:r w:rsidRPr="00A608CE">
        <w:rPr>
          <w:sz w:val="16"/>
        </w:rPr>
        <w:t>Costs</w:t>
      </w:r>
      <w:proofErr w:type="spellEnd"/>
      <w:r w:rsidRPr="00A608CE">
        <w:rPr>
          <w:sz w:val="16"/>
        </w:rPr>
        <w:t xml:space="preserve"> will vary depending on the country or countries where you file an application, and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w:t>
      </w:r>
    </w:p>
    <w:p w14:paraId="1616045A" w14:textId="77777777" w:rsidR="00A20C5B" w:rsidRPr="00A608CE" w:rsidRDefault="00A20C5B" w:rsidP="00A20C5B">
      <w:pPr>
        <w:rPr>
          <w:u w:val="single"/>
        </w:rPr>
      </w:pPr>
      <w:r w:rsidRPr="00A608CE">
        <w:rPr>
          <w:rStyle w:val="Emphasis"/>
          <w:highlight w:val="green"/>
        </w:rPr>
        <w:t>Trademark</w:t>
      </w:r>
    </w:p>
    <w:p w14:paraId="65B1A6DE" w14:textId="77777777" w:rsidR="00A20C5B" w:rsidRPr="00A608CE" w:rsidRDefault="00A20C5B" w:rsidP="00A20C5B">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smells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6B5B7900" w14:textId="77777777" w:rsidR="00A20C5B" w:rsidRPr="00A608CE" w:rsidRDefault="00A20C5B" w:rsidP="00A20C5B">
      <w:pPr>
        <w:rPr>
          <w:sz w:val="16"/>
        </w:rPr>
      </w:pPr>
      <w:r w:rsidRPr="00A608CE">
        <w:rPr>
          <w:sz w:val="16"/>
        </w:rPr>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2F3DD37C" w14:textId="77777777" w:rsidR="00A20C5B" w:rsidRPr="00A608CE" w:rsidRDefault="00A20C5B" w:rsidP="00A20C5B">
      <w:pPr>
        <w:rPr>
          <w:sz w:val="16"/>
        </w:rPr>
      </w:pPr>
      <w:r w:rsidRPr="00A608CE">
        <w:rPr>
          <w:rStyle w:val="Emphasis"/>
          <w:highlight w:val="green"/>
        </w:rPr>
        <w:t>Copyrights</w:t>
      </w:r>
      <w:r w:rsidRPr="00A608CE">
        <w:rPr>
          <w:u w:val="single"/>
        </w:rPr>
        <w:t xml:space="preserve"> do not protect ideas, but rather the manner in which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medium, but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system, and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71E717D5" w14:textId="77777777" w:rsidR="00A20C5B" w:rsidRPr="00A608CE" w:rsidRDefault="00A20C5B" w:rsidP="00A20C5B">
      <w:pPr>
        <w:rPr>
          <w:rStyle w:val="Emphasis"/>
        </w:rPr>
      </w:pPr>
      <w:r w:rsidRPr="00A608CE">
        <w:rPr>
          <w:rStyle w:val="Emphasis"/>
          <w:highlight w:val="green"/>
        </w:rPr>
        <w:t>Trade Secret</w:t>
      </w:r>
    </w:p>
    <w:p w14:paraId="498A33C6" w14:textId="77777777" w:rsidR="00A20C5B" w:rsidRPr="000F768A" w:rsidRDefault="00A20C5B" w:rsidP="00A20C5B">
      <w:pPr>
        <w:rPr>
          <w:sz w:val="16"/>
        </w:rPr>
      </w:pPr>
      <w:r w:rsidRPr="00A608CE">
        <w:rPr>
          <w:sz w:val="16"/>
        </w:rPr>
        <w:t>Trade secrets are proprietary procedures, systems, devices, formulas, strategies or other information that is confidential and exclusive to the company using them. They act as competitive advantages for the business. Procedure There actually isn’t a federally-regulated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2B4292A4" w14:textId="77777777" w:rsidR="00A20C5B" w:rsidRPr="00714CF4" w:rsidRDefault="00A20C5B" w:rsidP="00DA2CEC">
      <w:pPr>
        <w:rPr>
          <w:b/>
          <w:sz w:val="16"/>
        </w:rPr>
      </w:pPr>
    </w:p>
    <w:p w14:paraId="0A2D1093" w14:textId="77777777" w:rsidR="00DA2CEC" w:rsidRDefault="00DA2CEC" w:rsidP="00DA2CEC">
      <w:pPr>
        <w:pStyle w:val="Heading4"/>
      </w:pPr>
      <w:r>
        <w:t>Violation – they’re not a policy action that involves the WTO</w:t>
      </w:r>
    </w:p>
    <w:p w14:paraId="7DE1955D" w14:textId="77777777" w:rsidR="00DA2CEC" w:rsidRPr="008B3719" w:rsidRDefault="00DA2CEC" w:rsidP="00DA2CEC">
      <w:pPr>
        <w:pStyle w:val="Heading4"/>
      </w:pPr>
      <w:r>
        <w:t>Limits</w:t>
      </w:r>
      <w:r w:rsidRPr="00D22ADE">
        <w:t>--</w:t>
      </w:r>
      <w:r>
        <w:t xml:space="preserve"> </w:t>
      </w:r>
      <w:r w:rsidRPr="00D22ADE">
        <w:t xml:space="preserve">radical aff choice shifts the grounds for the debate and puts the aff far ahead. </w:t>
      </w:r>
      <w:r>
        <w:t xml:space="preserve">Neg prep is </w:t>
      </w:r>
      <w:r w:rsidRPr="00D22ADE">
        <w:rPr>
          <w:u w:val="single"/>
        </w:rPr>
        <w:t>structured around topical plans</w:t>
      </w:r>
      <w:r w:rsidRPr="00D22ADE">
        <w:t xml:space="preserve"> as points of offense</w:t>
      </w:r>
      <w:r>
        <w:t xml:space="preserve">, proves their aff was read for strategic incentives- consider this a library DA to their interp – they’ll say we get to read cap and generics but that’s </w:t>
      </w:r>
      <w:r>
        <w:rPr>
          <w:u w:val="single"/>
        </w:rPr>
        <w:t>concessionary</w:t>
      </w:r>
      <w:r>
        <w:t xml:space="preserve"> ground that they can pigeonhole us into--– the process of debate outweighs the content – only our interp generates the argumentative skills needed to rigorously defend their affirmative out of round and create engaged citizens who have the self-reflexivity to advocate for positive change</w:t>
      </w:r>
    </w:p>
    <w:p w14:paraId="522C194E" w14:textId="4114A961" w:rsidR="00DA2CEC" w:rsidRDefault="00DA2CEC" w:rsidP="00DA2CEC">
      <w:pPr>
        <w:pStyle w:val="Heading4"/>
      </w:pPr>
      <w:r w:rsidRPr="007D63D5">
        <w:t>Topical version of the aff:</w:t>
      </w:r>
      <w:r>
        <w:t xml:space="preserve"> defend the transgression of IPR through the reduction of IPR for medicine as a policy implementation by the WTO– exposes their theory of abjection in the same way the aff claims to. </w:t>
      </w:r>
      <w:proofErr w:type="spellStart"/>
      <w:r w:rsidRPr="007D63D5">
        <w:t>Disads</w:t>
      </w:r>
      <w:proofErr w:type="spellEnd"/>
      <w:r w:rsidRPr="007D63D5">
        <w:t xml:space="preserve"> to the TVA just prove there is neg ground and that it’s a contestable stasis</w:t>
      </w:r>
    </w:p>
    <w:p w14:paraId="736AF330" w14:textId="77777777" w:rsidR="00CA215A" w:rsidRPr="00733B24" w:rsidRDefault="00CA215A" w:rsidP="00CA215A"/>
    <w:p w14:paraId="690070C5" w14:textId="77777777" w:rsidR="00CA215A" w:rsidRPr="00733B24" w:rsidRDefault="00CA215A" w:rsidP="00CA215A">
      <w:pPr>
        <w:pStyle w:val="Heading4"/>
      </w:pPr>
      <w:r>
        <w:t xml:space="preserve">Second is Testing – topical debate allows in depth analysis of tangible solutions for real world problems. Abstracting to arbitrary advocacies deteriorates from those skills, making debate meaningless. </w:t>
      </w:r>
      <w:r>
        <w:rPr>
          <w:rFonts w:cs="Arial"/>
        </w:rPr>
        <w:t xml:space="preserve">The aff's forecloses productive political dialogue and ensures that we </w:t>
      </w:r>
      <w:proofErr w:type="spellStart"/>
      <w:r>
        <w:rPr>
          <w:rFonts w:cs="Arial"/>
        </w:rPr>
        <w:t>dont</w:t>
      </w:r>
      <w:proofErr w:type="spellEnd"/>
      <w:r>
        <w:rPr>
          <w:rFonts w:cs="Arial"/>
        </w:rPr>
        <w:t xml:space="preserve"> learn the skills to contest hegemonic ideology</w:t>
      </w:r>
    </w:p>
    <w:p w14:paraId="50F32AFA" w14:textId="77777777" w:rsidR="00CA215A" w:rsidRDefault="00CA215A" w:rsidP="00CA215A">
      <w:r w:rsidRPr="00AB1DED">
        <w:t xml:space="preserve">Daniel R. </w:t>
      </w:r>
      <w:r w:rsidRPr="00B66E09">
        <w:rPr>
          <w:rFonts w:cs="Arial"/>
          <w:b/>
          <w:u w:val="single"/>
        </w:rPr>
        <w:t>Schwartz</w:t>
      </w:r>
      <w:r w:rsidRPr="00AB1DED">
        <w:t xml:space="preserve"> is a 5th year PhD student in Russian History at Brandeis University. He also serves as the research assistant and paralegal for frequent Minding the Campus contributor Harvey </w:t>
      </w:r>
      <w:proofErr w:type="spellStart"/>
      <w:r w:rsidRPr="00AB1DED">
        <w:t>Silverglate</w:t>
      </w:r>
      <w:proofErr w:type="spellEnd"/>
      <w:r w:rsidRPr="00AB1DED">
        <w:t>, and as a Program Associate for the Foundation for Individual Rights in Education (FIRE). November 8, 20</w:t>
      </w:r>
      <w:r w:rsidRPr="00B66E09">
        <w:rPr>
          <w:rFonts w:cs="Arial"/>
          <w:b/>
          <w:u w:val="single"/>
        </w:rPr>
        <w:t>11</w:t>
      </w:r>
      <w:r>
        <w:t xml:space="preserve"> "The Harvard Protest: Theatricality Mixed with Incoherence" </w:t>
      </w:r>
      <w:r w:rsidRPr="00AB1DED">
        <w:t>http://www.mindingthecampus.com/forum/2011/11/the_harvard_protest_theatrical.html</w:t>
      </w:r>
    </w:p>
    <w:p w14:paraId="1BC4AADD" w14:textId="77777777" w:rsidR="00CA215A" w:rsidRDefault="00CA215A" w:rsidP="00CA215A"/>
    <w:p w14:paraId="62DBA54B" w14:textId="77777777" w:rsidR="00CA215A" w:rsidRDefault="00CA215A" w:rsidP="00CA215A">
      <w:r>
        <w:t xml:space="preserve">Like their compatriots in Zuccotti square, </w:t>
      </w:r>
      <w:r w:rsidRPr="008046A3">
        <w:rPr>
          <w:rStyle w:val="StyleUnderline"/>
          <w:highlight w:val="yellow"/>
        </w:rPr>
        <w:t>the</w:t>
      </w:r>
      <w:r w:rsidRPr="00AB1DED">
        <w:rPr>
          <w:rStyle w:val="StyleUnderline"/>
        </w:rPr>
        <w:t xml:space="preserve"> 70 Harvard college </w:t>
      </w:r>
      <w:r w:rsidRPr="008046A3">
        <w:rPr>
          <w:rStyle w:val="StyleUnderline"/>
          <w:highlight w:val="yellow"/>
        </w:rPr>
        <w:t>students who walked out</w:t>
      </w:r>
      <w:r w:rsidRPr="00AB1DED">
        <w:rPr>
          <w:rStyle w:val="StyleUnderline"/>
        </w:rPr>
        <w:t xml:space="preserve"> of Greg </w:t>
      </w:r>
      <w:proofErr w:type="spellStart"/>
      <w:r w:rsidRPr="00AB1DED">
        <w:rPr>
          <w:rStyle w:val="StyleUnderline"/>
        </w:rPr>
        <w:t>Mankiw’s</w:t>
      </w:r>
      <w:proofErr w:type="spellEnd"/>
      <w:r w:rsidRPr="00AB1DED">
        <w:rPr>
          <w:rStyle w:val="StyleUnderline"/>
        </w:rPr>
        <w:t xml:space="preserve"> economics class </w:t>
      </w:r>
      <w:r w:rsidRPr="008046A3">
        <w:rPr>
          <w:rStyle w:val="StyleUnderline"/>
          <w:highlight w:val="yellow"/>
        </w:rPr>
        <w:t>were larger on theatrics</w:t>
      </w:r>
      <w:r w:rsidRPr="00AB1DED">
        <w:rPr>
          <w:rStyle w:val="StyleUnderline"/>
        </w:rPr>
        <w:t xml:space="preserve"> than on message</w:t>
      </w:r>
      <w:r>
        <w:t>, and failed to articulate a reasonable, much less coherent, justification for their protest.</w:t>
      </w:r>
    </w:p>
    <w:p w14:paraId="1F611340" w14:textId="77777777" w:rsidR="00CA215A" w:rsidRDefault="00CA215A" w:rsidP="00CA215A">
      <w:r>
        <w:t xml:space="preserve">Gabriel Bayard and Rachel J. </w:t>
      </w:r>
      <w:proofErr w:type="spellStart"/>
      <w:r>
        <w:t>Sandalow</w:t>
      </w:r>
      <w:proofErr w:type="spellEnd"/>
      <w:r>
        <w:t xml:space="preserve">-Ash, the two organizers of the protest, discuss the reasoning behind the walk-out in­­ today’s Harvard Crimson: The walkout should be seen in the context of Occupy Boston and the Occupy Movement nationwide, which seeks to curb the trends of rising income inequality and concentration of wealth and power in the hands of a few over the past thirty years. We believe that Professor N. Gregory </w:t>
      </w:r>
      <w:proofErr w:type="spellStart"/>
      <w:r>
        <w:t>Mankiw</w:t>
      </w:r>
      <w:proofErr w:type="spellEnd"/>
      <w:r>
        <w:t xml:space="preserve">, a former economic advisor to President Bush, played a key role in creating the policies which have exacerbated economic inequality and led to financial instability and collapse. If their argument had ended there, one could maintain that the protest was absolutely reasonable, if a few years late. </w:t>
      </w:r>
      <w:proofErr w:type="spellStart"/>
      <w:r>
        <w:t>Mankiw</w:t>
      </w:r>
      <w:proofErr w:type="spellEnd"/>
      <w:r>
        <w:t xml:space="preserve"> was an advisor to President Bush, and President Bush’s economic policies angered many members of the Harvard Community. Now that </w:t>
      </w:r>
      <w:proofErr w:type="spellStart"/>
      <w:r>
        <w:t>Mankiw</w:t>
      </w:r>
      <w:proofErr w:type="spellEnd"/>
      <w:r>
        <w:t xml:space="preserve"> is back lecturing, it is understandable why some students might want to share with him—and the rest of the Harvard community—their displeasure with his job as Chairman of the Council of Economic Advisors. </w:t>
      </w:r>
      <w:r w:rsidRPr="00AB1DED">
        <w:rPr>
          <w:rStyle w:val="StyleUnderline"/>
        </w:rPr>
        <w:t xml:space="preserve">A peaceful walk-out on </w:t>
      </w:r>
      <w:proofErr w:type="spellStart"/>
      <w:r w:rsidRPr="00AB1DED">
        <w:rPr>
          <w:rStyle w:val="StyleUnderline"/>
        </w:rPr>
        <w:t>Mankiw’s</w:t>
      </w:r>
      <w:proofErr w:type="spellEnd"/>
      <w:r w:rsidRPr="00AB1DED">
        <w:rPr>
          <w:rStyle w:val="StyleUnderline"/>
        </w:rPr>
        <w:t xml:space="preserve"> class—while perhaps inelegant—could be just such a way to spread that message</w:t>
      </w:r>
      <w:r>
        <w:t xml:space="preserve">. But Bayard and </w:t>
      </w:r>
      <w:proofErr w:type="spellStart"/>
      <w:r>
        <w:t>Sandalow</w:t>
      </w:r>
      <w:proofErr w:type="spellEnd"/>
      <w:r>
        <w:t xml:space="preserve">-Ash’s next sentence severely undercuts their credibility: We argue that it is unfair that he teaches this foundational course, which greatly impacts the attitudes of Harvard students, every </w:t>
      </w:r>
      <w:proofErr w:type="spellStart"/>
      <w:proofErr w:type="gramStart"/>
      <w:r>
        <w:t>year.That’s</w:t>
      </w:r>
      <w:proofErr w:type="spellEnd"/>
      <w:proofErr w:type="gramEnd"/>
      <w:r>
        <w:t xml:space="preserve"> just silly. </w:t>
      </w:r>
      <w:r w:rsidRPr="00AB1DED">
        <w:rPr>
          <w:rStyle w:val="StyleUnderline"/>
        </w:rPr>
        <w:t>One skill students are supposed to learn in college is critical thinking;</w:t>
      </w:r>
      <w:r>
        <w:t xml:space="preserve"> the ability to recognize that all speech—whether coming from in front of the classroom, from a novel, or from a textbook—reflects a certain ideology, point-of-view or, yes, bias. </w:t>
      </w:r>
      <w:r w:rsidRPr="00AB1DED">
        <w:rPr>
          <w:rStyle w:val="StyleUnderline"/>
        </w:rPr>
        <w:t xml:space="preserve">It is up to the student to recognize, and then pull apart, the assumptions inherent in any given academic exercise. Then, </w:t>
      </w:r>
      <w:r w:rsidRPr="008046A3">
        <w:rPr>
          <w:rStyle w:val="StyleUnderline"/>
          <w:highlight w:val="yellow"/>
        </w:rPr>
        <w:t>utilizing tools like analysis and evidence, the student should discuss, and perhaps rebut, the material at hand</w:t>
      </w:r>
      <w:r w:rsidRPr="00AB1DED">
        <w:rPr>
          <w:rStyle w:val="StyleUnderline"/>
        </w:rPr>
        <w:t>.</w:t>
      </w:r>
      <w:r>
        <w:t xml:space="preserve"> Any professor who claims pure objectivity is, simply put, lying; </w:t>
      </w:r>
      <w:r w:rsidRPr="008046A3">
        <w:rPr>
          <w:rStyle w:val="StyleUnderline"/>
          <w:highlight w:val="yellow"/>
        </w:rPr>
        <w:t>what professors do is present the material as they view it in as coherent, structured, and pedagogically oriented manner</w:t>
      </w:r>
      <w:r w:rsidRPr="00AB1DED">
        <w:rPr>
          <w:rStyle w:val="StyleUnderline"/>
        </w:rPr>
        <w:t xml:space="preserve"> as they can</w:t>
      </w:r>
      <w:r>
        <w:t xml:space="preserve">. </w:t>
      </w:r>
      <w:proofErr w:type="spellStart"/>
      <w:r>
        <w:t>Mankiw</w:t>
      </w:r>
      <w:proofErr w:type="spellEnd"/>
      <w:r>
        <w:t xml:space="preserve"> may be a conservative, but there is absolutely nothing “unfair” about his teaching an introductory course. The professor teaching introduction to women’s studies may be a liberal feminist; the instructor teaching intro to Judaic Studies might be an anti-Zionist; the professor teaching intro to sociology might be a Marxist: </w:t>
      </w:r>
      <w:r w:rsidRPr="008046A3">
        <w:rPr>
          <w:rStyle w:val="StyleUnderline"/>
          <w:highlight w:val="yellow"/>
        </w:rPr>
        <w:t>what we are supposed to learn in college is to parse through an academic playground</w:t>
      </w:r>
      <w:r>
        <w:t xml:space="preserve"> (or battleground) </w:t>
      </w:r>
      <w:r w:rsidRPr="008046A3">
        <w:rPr>
          <w:rStyle w:val="StyleUnderline"/>
          <w:highlight w:val="yellow"/>
        </w:rPr>
        <w:t>and develop our own ideas</w:t>
      </w:r>
      <w:r w:rsidRPr="00AB1DED">
        <w:rPr>
          <w:rStyle w:val="StyleUnderline"/>
        </w:rPr>
        <w:t xml:space="preserve"> and thoughts, not to complain about fairness when we disagree with the person in the front of the room</w:t>
      </w:r>
      <w:r>
        <w:t xml:space="preserve">! </w:t>
      </w:r>
      <w:r w:rsidRPr="008046A3">
        <w:rPr>
          <w:rStyle w:val="UnderlineBold"/>
          <w:highlight w:val="yellow"/>
        </w:rPr>
        <w:t>We learn in the university not what to think, but how to think</w:t>
      </w:r>
      <w:r w:rsidRPr="008046A3">
        <w:rPr>
          <w:highlight w:val="yellow"/>
        </w:rPr>
        <w:t>.</w:t>
      </w:r>
      <w:r>
        <w:t xml:space="preserve"> </w:t>
      </w:r>
      <w:r w:rsidRPr="008046A3">
        <w:rPr>
          <w:rStyle w:val="StyleUnderline"/>
          <w:highlight w:val="yellow"/>
        </w:rPr>
        <w:t>Disagreement is part of that</w:t>
      </w:r>
      <w:r w:rsidRPr="00AB1DED">
        <w:rPr>
          <w:rStyle w:val="StyleUnderline"/>
        </w:rPr>
        <w:t>, and diversity of opinion—and the occasional bias with which it is disseminated—is the beauty of the university, not the academy’s undoing</w:t>
      </w:r>
      <w:r>
        <w:t xml:space="preserve">. Bayard and </w:t>
      </w:r>
      <w:proofErr w:type="spellStart"/>
      <w:r>
        <w:t>Sandalow</w:t>
      </w:r>
      <w:proofErr w:type="spellEnd"/>
      <w:r>
        <w:t xml:space="preserve">-Ash’s editorial goes on to disagree with </w:t>
      </w:r>
      <w:proofErr w:type="spellStart"/>
      <w:r>
        <w:t>Mankiw’s</w:t>
      </w:r>
      <w:proofErr w:type="spellEnd"/>
      <w:r>
        <w:t xml:space="preserve"> views on the minimum wage, his “uncritically supportive position on free trade,” and, most strangely, his assertion that “equity and efficiency in the economy are ‘two goals [which] often conflict.’” In each case, Bayard and </w:t>
      </w:r>
      <w:proofErr w:type="spellStart"/>
      <w:r>
        <w:t>Sandalow</w:t>
      </w:r>
      <w:proofErr w:type="spellEnd"/>
      <w:r>
        <w:t xml:space="preserve">-Ash present a different economist who disagrees with </w:t>
      </w:r>
      <w:proofErr w:type="spellStart"/>
      <w:r>
        <w:t>Mankiw’s</w:t>
      </w:r>
      <w:proofErr w:type="spellEnd"/>
      <w:r>
        <w:t xml:space="preserve"> ideas. Rather than proving </w:t>
      </w:r>
      <w:proofErr w:type="spellStart"/>
      <w:r>
        <w:t>Mankiw</w:t>
      </w:r>
      <w:proofErr w:type="spellEnd"/>
      <w:r>
        <w:t xml:space="preserve"> unfit for introductory courses, all Bayard and </w:t>
      </w:r>
      <w:proofErr w:type="spellStart"/>
      <w:r>
        <w:t>Sandalow</w:t>
      </w:r>
      <w:proofErr w:type="spellEnd"/>
      <w:r>
        <w:t xml:space="preserve">-Ash show is that they care deeply about the material and have been inspired by their professor; what better endorsement for </w:t>
      </w:r>
      <w:proofErr w:type="spellStart"/>
      <w:r>
        <w:t>Mankiw’s</w:t>
      </w:r>
      <w:proofErr w:type="spellEnd"/>
      <w:r>
        <w:t xml:space="preserve"> teaching capabilities than that? </w:t>
      </w:r>
      <w:r w:rsidRPr="00AB1DED">
        <w:rPr>
          <w:rStyle w:val="UnderlineBold"/>
        </w:rPr>
        <w:t xml:space="preserve">The </w:t>
      </w:r>
      <w:r w:rsidRPr="008046A3">
        <w:rPr>
          <w:rStyle w:val="UnderlineBold"/>
          <w:highlight w:val="yellow"/>
        </w:rPr>
        <w:t>students</w:t>
      </w:r>
      <w:r w:rsidRPr="00AB1DED">
        <w:rPr>
          <w:rStyle w:val="UnderlineBold"/>
        </w:rPr>
        <w:t xml:space="preserve"> are angry; they </w:t>
      </w:r>
      <w:r w:rsidRPr="008046A3">
        <w:rPr>
          <w:rStyle w:val="UnderlineBold"/>
          <w:highlight w:val="yellow"/>
        </w:rPr>
        <w:t>see</w:t>
      </w:r>
      <w:r w:rsidRPr="00AB1DED">
        <w:rPr>
          <w:rStyle w:val="UnderlineBold"/>
        </w:rPr>
        <w:t xml:space="preserve"> the United States’ </w:t>
      </w:r>
      <w:r w:rsidRPr="008046A3">
        <w:rPr>
          <w:rStyle w:val="UnderlineBold"/>
          <w:highlight w:val="yellow"/>
        </w:rPr>
        <w:t>income inequality, and they desire to foster a dialogue</w:t>
      </w:r>
      <w:r w:rsidRPr="00AB1DED">
        <w:rPr>
          <w:rStyle w:val="UnderlineBold"/>
        </w:rPr>
        <w:t xml:space="preserve"> about how to stop it. Such an urge is laudable. But for a protest to be effective, it should have a clear, well-defended point, and the </w:t>
      </w:r>
      <w:r>
        <w:t xml:space="preserve">Econ 10 </w:t>
      </w:r>
      <w:r w:rsidRPr="00AB1DED">
        <w:rPr>
          <w:rStyle w:val="UnderlineBold"/>
        </w:rPr>
        <w:t>walkout clearly does not</w:t>
      </w:r>
      <w:r>
        <w:t xml:space="preserve">. So what was the Econ 10 walkout actually about? Was it a protest of the state of the macro-economy? Or, more likely, was it merely a theatrical complaint about a professor some students do not like? From Bayard and </w:t>
      </w:r>
      <w:proofErr w:type="spellStart"/>
      <w:r>
        <w:t>Sandalow</w:t>
      </w:r>
      <w:proofErr w:type="spellEnd"/>
      <w:r>
        <w:t xml:space="preserve">-Ash’s column, I would argue the latter. There may be plenty of reasons to walk out of Greg </w:t>
      </w:r>
      <w:proofErr w:type="spellStart"/>
      <w:r>
        <w:t>Mankiw’s</w:t>
      </w:r>
      <w:proofErr w:type="spellEnd"/>
      <w:r>
        <w:t xml:space="preserve"> </w:t>
      </w:r>
      <w:proofErr w:type="gramStart"/>
      <w:r>
        <w:t>700 person</w:t>
      </w:r>
      <w:proofErr w:type="gramEnd"/>
      <w:r>
        <w:t xml:space="preserve"> class, first and foremost the notion that a student is paying fifty thousand dollars a year to be 1 out of 700 individuals in a class. But to protest </w:t>
      </w:r>
      <w:proofErr w:type="spellStart"/>
      <w:r>
        <w:t>Mankiw’s</w:t>
      </w:r>
      <w:proofErr w:type="spellEnd"/>
      <w:r>
        <w:t xml:space="preserve"> teaching of Introductory Economics because he’s a conservative? That’s ridiculous, and in an academic community, counter-productive.</w:t>
      </w:r>
    </w:p>
    <w:p w14:paraId="50B2B8DE" w14:textId="77777777" w:rsidR="00CA215A" w:rsidRPr="00CA215A" w:rsidRDefault="00CA215A" w:rsidP="00CA215A"/>
    <w:p w14:paraId="00D39D62" w14:textId="77777777" w:rsidR="00DA2CEC" w:rsidRDefault="00DA2CEC" w:rsidP="00DA2CEC">
      <w:pPr>
        <w:pStyle w:val="Heading4"/>
      </w:pPr>
      <w:r>
        <w:t>Paradigms:</w:t>
      </w:r>
    </w:p>
    <w:p w14:paraId="422A1CA4" w14:textId="77777777" w:rsidR="00CA215A" w:rsidRDefault="00CA215A" w:rsidP="00CA215A">
      <w:pPr>
        <w:pStyle w:val="Heading4"/>
      </w:pPr>
      <w:r w:rsidRPr="0082588D">
        <w:t>Drop the debater</w:t>
      </w:r>
      <w:r>
        <w:t>.</w:t>
      </w:r>
      <w:r w:rsidRPr="0082588D">
        <w:t xml:space="preserve"> Drop the arg is severance since you jump </w:t>
      </w:r>
      <w:r>
        <w:t>ship</w:t>
      </w:r>
      <w:r w:rsidRPr="0082588D">
        <w:t xml:space="preserve"> from your advocacy which perpetuates abuse since it allows you to restart the round. </w:t>
      </w:r>
    </w:p>
    <w:p w14:paraId="64998A6E" w14:textId="77777777" w:rsidR="00CA215A" w:rsidRDefault="00CA215A" w:rsidP="00CA215A">
      <w:pPr>
        <w:pStyle w:val="Heading4"/>
      </w:pPr>
      <w:r w:rsidRPr="0082588D">
        <w:t xml:space="preserve">Competing interps: 1. Reasonability causes a race to the bottom where we read increasingly unfair practices that minimally fit the </w:t>
      </w:r>
      <w:proofErr w:type="spellStart"/>
      <w:r w:rsidRPr="0082588D">
        <w:t>brightline</w:t>
      </w:r>
      <w:proofErr w:type="spellEnd"/>
      <w:r w:rsidRPr="0082588D">
        <w:t xml:space="preserve"> 2. Collapses- you use offense-defense to determine reasonability being good which concedes the authority of competing interps </w:t>
      </w:r>
    </w:p>
    <w:p w14:paraId="71608968" w14:textId="77777777" w:rsidR="00CA215A" w:rsidRDefault="00CA215A" w:rsidP="00CA215A">
      <w:pPr>
        <w:pStyle w:val="Heading4"/>
      </w:pPr>
      <w:r w:rsidRPr="0082588D">
        <w:t>No RVIs: 1. Illogical- being topical doesn’t mean you should win, it’s just a burden. 2. Chilling effect- debaters will be scared to read theory for fear of losing to a prepped out counter interp, proliferating abuse</w:t>
      </w:r>
    </w:p>
    <w:p w14:paraId="08E7F8CC" w14:textId="77777777" w:rsidR="00DA2CEC" w:rsidRPr="001E3485" w:rsidRDefault="00DA2CEC" w:rsidP="00DA2CEC">
      <w:pPr>
        <w:pStyle w:val="Heading4"/>
      </w:pPr>
      <w:r>
        <w:t>Fairness first:</w:t>
      </w:r>
    </w:p>
    <w:p w14:paraId="4640612E" w14:textId="77777777" w:rsidR="00DA2CEC" w:rsidRPr="001E3485" w:rsidRDefault="00DA2CEC" w:rsidP="00DA2CEC">
      <w:pPr>
        <w:pStyle w:val="Heading4"/>
        <w:rPr>
          <w:u w:val="single"/>
        </w:rPr>
      </w:pPr>
      <w:r>
        <w:t xml:space="preserve">1] It’s a </w:t>
      </w:r>
      <w:r w:rsidRPr="001E3485">
        <w:rPr>
          <w:u w:val="single"/>
        </w:rPr>
        <w:t>constitutive</w:t>
      </w:r>
      <w:r>
        <w:t xml:space="preserve"> process of debate since debate is a game with a winner and loser, speech times, and flipping 30 min before the round – Constitutive Rules means any DA to our interpretation are </w:t>
      </w:r>
      <w:r w:rsidRPr="001E3485">
        <w:rPr>
          <w:u w:val="single"/>
        </w:rPr>
        <w:t>inevitable</w:t>
      </w:r>
      <w:r>
        <w:t xml:space="preserve"> and </w:t>
      </w:r>
      <w:r w:rsidRPr="001E3485">
        <w:rPr>
          <w:u w:val="single"/>
        </w:rPr>
        <w:t>terminally non-unique</w:t>
      </w:r>
    </w:p>
    <w:p w14:paraId="2EDD0EF5" w14:textId="77777777" w:rsidR="00DA2CEC" w:rsidRDefault="00DA2CEC" w:rsidP="00DA2CEC">
      <w:pPr>
        <w:pStyle w:val="Heading4"/>
      </w:pPr>
      <w:r>
        <w:t xml:space="preserve">2] </w:t>
      </w:r>
      <w:r w:rsidRPr="001E3485">
        <w:rPr>
          <w:u w:val="single"/>
        </w:rPr>
        <w:t>Self Defeating</w:t>
      </w:r>
      <w:r>
        <w:t xml:space="preserve">- All the 1ar's arguments assume that the judge will evaluate them fairly which concedes </w:t>
      </w:r>
      <w:proofErr w:type="gramStart"/>
      <w:r>
        <w:t>it's</w:t>
      </w:r>
      <w:proofErr w:type="gramEnd"/>
      <w:r>
        <w:t xml:space="preserve"> authority – actively hack against them</w:t>
      </w:r>
    </w:p>
    <w:p w14:paraId="7193A065" w14:textId="77777777" w:rsidR="00DA2CEC" w:rsidRDefault="00DA2CEC" w:rsidP="00DA2CEC">
      <w:pPr>
        <w:pStyle w:val="Heading4"/>
      </w:pPr>
      <w:r>
        <w:t xml:space="preserve">3] </w:t>
      </w:r>
      <w:r w:rsidRPr="001E3485">
        <w:rPr>
          <w:u w:val="single"/>
        </w:rPr>
        <w:t>Ballot proximity</w:t>
      </w:r>
      <w:r>
        <w:t xml:space="preserve"> – the ballot can’t solve their offense or actualize their method since </w:t>
      </w:r>
      <w:r w:rsidRPr="007F7E65">
        <w:t>arguments we read have no effect on our subjectivity,</w:t>
      </w:r>
      <w:r>
        <w:t xml:space="preserve"> but voting negative can set good norms.</w:t>
      </w:r>
    </w:p>
    <w:p w14:paraId="477D4943" w14:textId="77777777" w:rsidR="00DA2CEC" w:rsidRDefault="00DA2CEC" w:rsidP="00DA2CEC">
      <w:pPr>
        <w:pStyle w:val="Heading4"/>
      </w:pPr>
      <w:r>
        <w:t xml:space="preserve">4] </w:t>
      </w:r>
      <w:r w:rsidRPr="001E3485">
        <w:rPr>
          <w:u w:val="single"/>
        </w:rPr>
        <w:t>Deliberation</w:t>
      </w:r>
      <w:r>
        <w:t xml:space="preserve"> – Every discussion of </w:t>
      </w:r>
      <w:proofErr w:type="gramStart"/>
      <w:r>
        <w:t>an</w:t>
      </w:r>
      <w:proofErr w:type="gramEnd"/>
      <w:r>
        <w:t xml:space="preserve"> liberation strategy assumes an level playing field with the ability to contribute to the discussion </w:t>
      </w:r>
    </w:p>
    <w:p w14:paraId="2C7071DF" w14:textId="77777777" w:rsidR="00DA2CEC" w:rsidRDefault="00DA2CEC" w:rsidP="00DA2CEC">
      <w:pPr>
        <w:pStyle w:val="Heading4"/>
      </w:pPr>
      <w:r>
        <w:t xml:space="preserve">5] </w:t>
      </w:r>
      <w:r w:rsidRPr="001E3485">
        <w:rPr>
          <w:u w:val="single"/>
        </w:rPr>
        <w:t>Misses the boat</w:t>
      </w:r>
      <w:r>
        <w:t xml:space="preserve"> – Their impact turns </w:t>
      </w:r>
      <w:proofErr w:type="gramStart"/>
      <w:r>
        <w:t>shows</w:t>
      </w:r>
      <w:proofErr w:type="gramEnd"/>
      <w:r>
        <w:t xml:space="preserve"> a </w:t>
      </w:r>
      <w:r w:rsidRPr="001E3485">
        <w:rPr>
          <w:u w:val="single"/>
        </w:rPr>
        <w:t>misapplication</w:t>
      </w:r>
      <w:r>
        <w:t xml:space="preserve"> of fairness not a reason why the very structure of it is bad. </w:t>
      </w:r>
    </w:p>
    <w:p w14:paraId="70CD4C61" w14:textId="74371E78" w:rsidR="00DA2CEC" w:rsidRDefault="00DA2CEC" w:rsidP="00DA2CEC">
      <w:pPr>
        <w:pStyle w:val="Heading4"/>
        <w:rPr>
          <w:lang w:eastAsia="zh-CN"/>
        </w:rPr>
      </w:pPr>
      <w:r>
        <w:t xml:space="preserve">6] </w:t>
      </w:r>
      <w:r w:rsidRPr="001E3485">
        <w:rPr>
          <w:u w:val="single"/>
          <w:lang w:eastAsia="zh-CN"/>
        </w:rPr>
        <w:t>Fair Testing</w:t>
      </w:r>
      <w:r>
        <w:rPr>
          <w:lang w:eastAsia="zh-CN"/>
        </w:rPr>
        <w:t xml:space="preserve"> – since I can’t answer the aff you should assume their arguments are presumptively false – we can only come to conclusions about the world via rigorous testing of them</w:t>
      </w:r>
    </w:p>
    <w:p w14:paraId="6F38A659" w14:textId="77777777" w:rsidR="00C76911" w:rsidRPr="00C76911" w:rsidRDefault="00C76911" w:rsidP="00C76911">
      <w:bookmarkStart w:id="0" w:name="_GoBack"/>
      <w:bookmarkEnd w:id="0"/>
    </w:p>
    <w:sectPr w:rsidR="00C76911" w:rsidRPr="00C769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8C37F8"/>
    <w:multiLevelType w:val="hybridMultilevel"/>
    <w:tmpl w:val="517C9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3424F2"/>
    <w:multiLevelType w:val="multilevel"/>
    <w:tmpl w:val="0B3C6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EAD405C"/>
    <w:multiLevelType w:val="hybridMultilevel"/>
    <w:tmpl w:val="1E10B756"/>
    <w:lvl w:ilvl="0" w:tplc="7C0E9F34">
      <w:start w:val="1"/>
      <w:numFmt w:val="upperLetter"/>
      <w:lvlText w:val="%1."/>
      <w:lvlJc w:val="left"/>
      <w:pPr>
        <w:ind w:left="44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049131221072"/>
    <w:docVar w:name="VerbatimVersion" w:val="5.1"/>
  </w:docVars>
  <w:rsids>
    <w:rsidRoot w:val="00DA2CEC"/>
    <w:rsid w:val="000139A3"/>
    <w:rsid w:val="00080239"/>
    <w:rsid w:val="000F768A"/>
    <w:rsid w:val="00100833"/>
    <w:rsid w:val="00104529"/>
    <w:rsid w:val="00105942"/>
    <w:rsid w:val="00107396"/>
    <w:rsid w:val="00144A4C"/>
    <w:rsid w:val="00171426"/>
    <w:rsid w:val="00176AB0"/>
    <w:rsid w:val="00177B7D"/>
    <w:rsid w:val="0018322D"/>
    <w:rsid w:val="001B5776"/>
    <w:rsid w:val="001E527A"/>
    <w:rsid w:val="001F78CE"/>
    <w:rsid w:val="00251FC7"/>
    <w:rsid w:val="002855A7"/>
    <w:rsid w:val="002B146A"/>
    <w:rsid w:val="002B5E17"/>
    <w:rsid w:val="002B7832"/>
    <w:rsid w:val="00315690"/>
    <w:rsid w:val="00316B75"/>
    <w:rsid w:val="00325646"/>
    <w:rsid w:val="003460F2"/>
    <w:rsid w:val="0038158C"/>
    <w:rsid w:val="003902BA"/>
    <w:rsid w:val="003A09E2"/>
    <w:rsid w:val="00407037"/>
    <w:rsid w:val="004605D6"/>
    <w:rsid w:val="004C39B3"/>
    <w:rsid w:val="004C60E8"/>
    <w:rsid w:val="004E3579"/>
    <w:rsid w:val="004E728B"/>
    <w:rsid w:val="004F39E0"/>
    <w:rsid w:val="00537BD5"/>
    <w:rsid w:val="0057268A"/>
    <w:rsid w:val="005D2912"/>
    <w:rsid w:val="006065BD"/>
    <w:rsid w:val="00645FA9"/>
    <w:rsid w:val="00647866"/>
    <w:rsid w:val="00665003"/>
    <w:rsid w:val="006A2AD0"/>
    <w:rsid w:val="006B0B9A"/>
    <w:rsid w:val="006B7739"/>
    <w:rsid w:val="006C2375"/>
    <w:rsid w:val="006D4ECC"/>
    <w:rsid w:val="00722258"/>
    <w:rsid w:val="007243E5"/>
    <w:rsid w:val="00766EA0"/>
    <w:rsid w:val="007A2226"/>
    <w:rsid w:val="007E0BFE"/>
    <w:rsid w:val="007F5B66"/>
    <w:rsid w:val="00823A1C"/>
    <w:rsid w:val="00845B9D"/>
    <w:rsid w:val="00860984"/>
    <w:rsid w:val="008B3ECB"/>
    <w:rsid w:val="008B4E85"/>
    <w:rsid w:val="008C1B2E"/>
    <w:rsid w:val="008F7C3E"/>
    <w:rsid w:val="0091627E"/>
    <w:rsid w:val="0097032B"/>
    <w:rsid w:val="009D2EAD"/>
    <w:rsid w:val="009D54B2"/>
    <w:rsid w:val="009E1922"/>
    <w:rsid w:val="009E7B37"/>
    <w:rsid w:val="009F7ED2"/>
    <w:rsid w:val="00A20C5B"/>
    <w:rsid w:val="00A37037"/>
    <w:rsid w:val="00A93661"/>
    <w:rsid w:val="00A95652"/>
    <w:rsid w:val="00AC0AB8"/>
    <w:rsid w:val="00B33C6D"/>
    <w:rsid w:val="00B4508F"/>
    <w:rsid w:val="00B55AD5"/>
    <w:rsid w:val="00B8057C"/>
    <w:rsid w:val="00BD6238"/>
    <w:rsid w:val="00BF593B"/>
    <w:rsid w:val="00BF773A"/>
    <w:rsid w:val="00BF7E81"/>
    <w:rsid w:val="00C13773"/>
    <w:rsid w:val="00C17CC8"/>
    <w:rsid w:val="00C76911"/>
    <w:rsid w:val="00C83417"/>
    <w:rsid w:val="00C9604F"/>
    <w:rsid w:val="00CA19AA"/>
    <w:rsid w:val="00CA215A"/>
    <w:rsid w:val="00CC5298"/>
    <w:rsid w:val="00CD736E"/>
    <w:rsid w:val="00CD798D"/>
    <w:rsid w:val="00CE161E"/>
    <w:rsid w:val="00CF59A8"/>
    <w:rsid w:val="00D325A9"/>
    <w:rsid w:val="00D36A8A"/>
    <w:rsid w:val="00D61409"/>
    <w:rsid w:val="00D6691E"/>
    <w:rsid w:val="00D71170"/>
    <w:rsid w:val="00DA1C92"/>
    <w:rsid w:val="00DA25D4"/>
    <w:rsid w:val="00DA2CEC"/>
    <w:rsid w:val="00DA6538"/>
    <w:rsid w:val="00DF42BD"/>
    <w:rsid w:val="00E15E75"/>
    <w:rsid w:val="00E2042E"/>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CB18A"/>
  <w15:chartTrackingRefBased/>
  <w15:docId w15:val="{BBB94EB0-78B3-4BA0-B0B7-713BFAAF1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B7739"/>
    <w:rPr>
      <w:rFonts w:ascii="Calibri" w:hAnsi="Calibri"/>
    </w:rPr>
  </w:style>
  <w:style w:type="paragraph" w:styleId="Heading1">
    <w:name w:val="heading 1"/>
    <w:aliases w:val="Pocket"/>
    <w:basedOn w:val="Normal"/>
    <w:next w:val="Normal"/>
    <w:link w:val="Heading1Char"/>
    <w:qFormat/>
    <w:rsid w:val="006B77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B773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B773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6B773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B77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7739"/>
  </w:style>
  <w:style w:type="character" w:customStyle="1" w:styleId="Heading1Char">
    <w:name w:val="Heading 1 Char"/>
    <w:aliases w:val="Pocket Char"/>
    <w:basedOn w:val="DefaultParagraphFont"/>
    <w:link w:val="Heading1"/>
    <w:rsid w:val="006B773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B773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B773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No Spacing211 Char,No Spacing12 Char,No Spacing2111 Char"/>
    <w:basedOn w:val="DefaultParagraphFont"/>
    <w:link w:val="Heading4"/>
    <w:uiPriority w:val="3"/>
    <w:rsid w:val="006B7739"/>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6B773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B7739"/>
    <w:rPr>
      <w:b/>
      <w:bCs/>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Bold Cite Char,Citation Char Char Char,Underline Char,Style,ci,c"/>
    <w:basedOn w:val="DefaultParagraphFont"/>
    <w:uiPriority w:val="6"/>
    <w:qFormat/>
    <w:rsid w:val="006B7739"/>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B7739"/>
    <w:rPr>
      <w:color w:val="auto"/>
      <w:u w:val="none"/>
    </w:rPr>
  </w:style>
  <w:style w:type="character" w:styleId="FollowedHyperlink">
    <w:name w:val="FollowedHyperlink"/>
    <w:basedOn w:val="DefaultParagraphFont"/>
    <w:uiPriority w:val="99"/>
    <w:semiHidden/>
    <w:unhideWhenUsed/>
    <w:rsid w:val="006B7739"/>
    <w:rPr>
      <w:color w:val="auto"/>
      <w:u w:val="none"/>
    </w:rPr>
  </w:style>
  <w:style w:type="paragraph" w:customStyle="1" w:styleId="textbold">
    <w:name w:val="text bold"/>
    <w:basedOn w:val="Normal"/>
    <w:link w:val="Emphasis"/>
    <w:uiPriority w:val="7"/>
    <w:qFormat/>
    <w:rsid w:val="00DA2CEC"/>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
    <w:basedOn w:val="Heading1"/>
    <w:link w:val="Hyperlink"/>
    <w:autoRedefine/>
    <w:uiPriority w:val="99"/>
    <w:qFormat/>
    <w:rsid w:val="00DA2CE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UnderlineBold">
    <w:name w:val="Underline + Bold"/>
    <w:uiPriority w:val="1"/>
    <w:qFormat/>
    <w:rsid w:val="00CA215A"/>
    <w:rPr>
      <w:b/>
      <w:bCs w:val="0"/>
      <w:sz w:val="20"/>
      <w:u w:val="single"/>
    </w:rPr>
  </w:style>
  <w:style w:type="paragraph" w:styleId="ListParagraph">
    <w:name w:val="List Paragraph"/>
    <w:basedOn w:val="Normal"/>
    <w:uiPriority w:val="34"/>
    <w:qFormat/>
    <w:rsid w:val="009E7B37"/>
    <w:pPr>
      <w:ind w:left="720"/>
      <w:contextualSpacing/>
    </w:pPr>
  </w:style>
  <w:style w:type="character" w:customStyle="1" w:styleId="StyleThickunderline1">
    <w:name w:val="Style Thick underline1"/>
    <w:basedOn w:val="DefaultParagraphFont"/>
    <w:rsid w:val="00C76911"/>
    <w:rPr>
      <w:u w:val="single"/>
    </w:rPr>
  </w:style>
  <w:style w:type="character" w:customStyle="1" w:styleId="underline">
    <w:name w:val="underline"/>
    <w:qFormat/>
    <w:rsid w:val="00C76911"/>
    <w:rPr>
      <w:b/>
      <w:u w:val="single"/>
    </w:rPr>
  </w:style>
  <w:style w:type="character" w:customStyle="1" w:styleId="m5577519854659992616gmail-styleunderline">
    <w:name w:val="m_5577519854659992616gmail-styleunderline"/>
    <w:basedOn w:val="DefaultParagraphFont"/>
    <w:rsid w:val="00C76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novation-asset.com/blog/the-4-main-types-of-intellectual-property-and-related-costs" TargetMode="External"/><Relationship Id="rId3" Type="http://schemas.openxmlformats.org/officeDocument/2006/relationships/styles" Target="styles.xml"/><Relationship Id="rId7" Type="http://schemas.openxmlformats.org/officeDocument/2006/relationships/hyperlink" Target="https://www.barrons.com/articles/big-pharma-is-not-the-tobacco-industry-5162031569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bo.goc/publication/57126"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E2C36-66B5-4799-8B1E-204F73F8A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5779</Words>
  <Characters>32944</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Harvey Zhu</cp:lastModifiedBy>
  <cp:revision>2</cp:revision>
  <dcterms:created xsi:type="dcterms:W3CDTF">2021-09-25T20:58:00Z</dcterms:created>
  <dcterms:modified xsi:type="dcterms:W3CDTF">2021-09-25T20:58:00Z</dcterms:modified>
</cp:coreProperties>
</file>