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C0C33D" w14:textId="77777777" w:rsidR="00700D41" w:rsidRPr="00421998" w:rsidRDefault="00700D41" w:rsidP="00700D41">
      <w:pPr>
        <w:pStyle w:val="Heading3"/>
      </w:pPr>
      <w:r w:rsidRPr="00421998">
        <w:t>Fram</w:t>
      </w:r>
      <w:r>
        <w:t>ework</w:t>
      </w:r>
    </w:p>
    <w:p w14:paraId="670EF883" w14:textId="77777777" w:rsidR="00700D41" w:rsidRPr="002677ED" w:rsidRDefault="00700D41" w:rsidP="00700D41">
      <w:pPr>
        <w:pStyle w:val="Heading4"/>
        <w:rPr>
          <w:i/>
          <w:iCs w:val="0"/>
        </w:rPr>
      </w:pPr>
      <w:r w:rsidRPr="002677ED">
        <w:rPr>
          <w:i/>
        </w:rPr>
        <w:t>Ethics must begin a priori</w:t>
      </w:r>
    </w:p>
    <w:p w14:paraId="4460B572" w14:textId="77777777" w:rsidR="00700D41" w:rsidRPr="003E4733" w:rsidRDefault="00700D41" w:rsidP="00700D41">
      <w:pPr>
        <w:pStyle w:val="Heading4"/>
      </w:pPr>
      <w:r w:rsidRPr="00A22B8C">
        <w:rPr>
          <w:u w:val="single"/>
        </w:rPr>
        <w:t>[</w:t>
      </w:r>
      <w:r>
        <w:rPr>
          <w:u w:val="single"/>
        </w:rPr>
        <w:t>A</w:t>
      </w:r>
      <w:r w:rsidRPr="00A22B8C">
        <w:rPr>
          <w:u w:val="single"/>
        </w:rPr>
        <w:t xml:space="preserve">] </w:t>
      </w:r>
      <w:r>
        <w:rPr>
          <w:u w:val="single"/>
        </w:rPr>
        <w:t>Empirical Uncertainty</w:t>
      </w:r>
      <w:r w:rsidRPr="00F73615">
        <w:t xml:space="preserve"> – evil demon could deceive us and inability to know other</w:t>
      </w:r>
      <w:r>
        <w:t>s</w:t>
      </w:r>
      <w:r w:rsidRPr="00F73615">
        <w:t xml:space="preserve"> experience make empiricism an unreliable basis for universal ethics.  Outweighs since it would be escapable since people could say they don’t experience the same. </w:t>
      </w:r>
    </w:p>
    <w:p w14:paraId="4D1DB9EB" w14:textId="77777777" w:rsidR="00700D41" w:rsidRPr="00D05AEA" w:rsidRDefault="00700D41" w:rsidP="00700D41">
      <w:pPr>
        <w:pStyle w:val="Heading4"/>
        <w:rPr>
          <w:u w:val="single"/>
        </w:rPr>
      </w:pPr>
      <w:r w:rsidRPr="00A22B8C">
        <w:rPr>
          <w:u w:val="single"/>
        </w:rPr>
        <w:t>[</w:t>
      </w:r>
      <w:r>
        <w:rPr>
          <w:u w:val="single"/>
        </w:rPr>
        <w:t>B</w:t>
      </w:r>
      <w:r w:rsidRPr="00A22B8C">
        <w:rPr>
          <w:u w:val="single"/>
        </w:rPr>
        <w:t>] Constitutive Authority</w:t>
      </w:r>
      <w:r w:rsidRPr="00F73615">
        <w:t xml:space="preserve"> – The meta-ethic is</w:t>
      </w:r>
      <w:r>
        <w:t xml:space="preserve"> </w:t>
      </w:r>
      <w:proofErr w:type="spellStart"/>
      <w:r>
        <w:t>bindingness</w:t>
      </w:r>
      <w:proofErr w:type="spellEnd"/>
      <w:r w:rsidRPr="00F73615">
        <w:t xml:space="preserve">. Practical reason is the only unescapable authority because to ask why I should be a </w:t>
      </w:r>
      <w:proofErr w:type="spellStart"/>
      <w:r w:rsidRPr="00F73615">
        <w:t>reasoner</w:t>
      </w:r>
      <w:proofErr w:type="spellEnd"/>
      <w:r w:rsidRPr="00F73615">
        <w:t xml:space="preserve"> concedes </w:t>
      </w:r>
      <w:proofErr w:type="gramStart"/>
      <w:r>
        <w:t>it’s</w:t>
      </w:r>
      <w:proofErr w:type="gramEnd"/>
      <w:r w:rsidRPr="00F73615">
        <w:t xml:space="preserve"> authority </w:t>
      </w:r>
      <w:r>
        <w:t>since</w:t>
      </w:r>
      <w:r w:rsidRPr="00F73615">
        <w:t xml:space="preserve"> you’re actively reasoning</w:t>
      </w:r>
      <w:r>
        <w:t>.</w:t>
      </w:r>
    </w:p>
    <w:p w14:paraId="08724E9B" w14:textId="77777777" w:rsidR="00700D41" w:rsidRDefault="00700D41" w:rsidP="00700D41">
      <w:pPr>
        <w:pStyle w:val="Heading4"/>
      </w:pPr>
      <w:r w:rsidRPr="00F279F1">
        <w:rPr>
          <w:u w:val="single"/>
        </w:rPr>
        <w:t>That justifies universality</w:t>
      </w:r>
      <w:r>
        <w:t xml:space="preserve"> </w:t>
      </w:r>
      <w:r w:rsidRPr="00CE11B7">
        <w:t xml:space="preserve">– </w:t>
      </w:r>
      <w:r>
        <w:t>a]</w:t>
      </w:r>
      <w:r w:rsidRPr="00CE11B7">
        <w:t xml:space="preserve"> a priori principles like reason apply to everyone since they are independent of human experience and </w:t>
      </w:r>
      <w:r>
        <w:t>b]</w:t>
      </w:r>
      <w:r w:rsidRPr="00CE11B7">
        <w:t xml:space="preserve"> any non-</w:t>
      </w:r>
      <w:proofErr w:type="spellStart"/>
      <w:r w:rsidRPr="00CE11B7">
        <w:t>universalizable</w:t>
      </w:r>
      <w:proofErr w:type="spellEnd"/>
      <w:r w:rsidRPr="00CE11B7">
        <w:t xml:space="preserve"> norm justifies someone’s ability to impede on your ends i.e. if I want to eat ice cream, I must recognize that others may affect my pursuit of that end</w:t>
      </w:r>
      <w:r>
        <w:t>.</w:t>
      </w:r>
    </w:p>
    <w:p w14:paraId="243E48CE" w14:textId="77777777" w:rsidR="00700D41" w:rsidRDefault="00700D41" w:rsidP="00700D41">
      <w:pPr>
        <w:pStyle w:val="Heading4"/>
      </w:pPr>
      <w:r>
        <w:t>Additionally</w:t>
      </w:r>
      <w:r w:rsidRPr="0088077D">
        <w:t>:</w:t>
      </w:r>
    </w:p>
    <w:p w14:paraId="047BDF08" w14:textId="77777777" w:rsidR="00700D41" w:rsidRDefault="00700D41" w:rsidP="00700D41">
      <w:pPr>
        <w:pStyle w:val="Heading4"/>
      </w:pPr>
      <w:r>
        <w:t xml:space="preserve">[A] </w:t>
      </w:r>
      <w:r w:rsidRPr="00F73615">
        <w:t xml:space="preserve">Ethical frameworks </w:t>
      </w:r>
      <w:r>
        <w:t xml:space="preserve">are </w:t>
      </w:r>
      <w:r w:rsidRPr="00F73615">
        <w:t>topicality interpretations of the word ought so they must be theoretically justified</w:t>
      </w:r>
      <w:r>
        <w:t>. P</w:t>
      </w:r>
      <w:r w:rsidRPr="00F73615">
        <w:t>refer on resource disparities—</w:t>
      </w:r>
      <w:r>
        <w:t>focusing</w:t>
      </w:r>
      <w:r w:rsidRPr="00F73615">
        <w:t xml:space="preserve"> on evidence and statistics privileges debaters with the most </w:t>
      </w:r>
      <w:proofErr w:type="spellStart"/>
      <w:r w:rsidRPr="00F73615">
        <w:t>preround</w:t>
      </w:r>
      <w:proofErr w:type="spellEnd"/>
      <w:r w:rsidRPr="00F73615">
        <w:t xml:space="preserve"> prep </w:t>
      </w:r>
      <w:r>
        <w:t>excluding</w:t>
      </w:r>
      <w:r w:rsidRPr="00F73615">
        <w:t xml:space="preserve"> lone-wolfs who lack huge evidence files. A debate</w:t>
      </w:r>
      <w:r>
        <w:t>r</w:t>
      </w:r>
      <w:r w:rsidRPr="00F73615">
        <w:t xml:space="preserve"> under my framework can easily be won without any prep since minimal evidence </w:t>
      </w:r>
      <w:r>
        <w:t>is</w:t>
      </w:r>
      <w:r w:rsidRPr="00F73615">
        <w:t xml:space="preserve"> required. That controls the internal link to other voters because a pre-</w:t>
      </w:r>
      <w:proofErr w:type="spellStart"/>
      <w:r w:rsidRPr="00F73615">
        <w:t>req</w:t>
      </w:r>
      <w:proofErr w:type="spellEnd"/>
      <w:r w:rsidRPr="00F73615">
        <w:t xml:space="preserve"> to debating is access to the activity.</w:t>
      </w:r>
    </w:p>
    <w:p w14:paraId="1F27E15E" w14:textId="77777777" w:rsidR="00700D41" w:rsidRPr="00CE11B7" w:rsidRDefault="00700D41" w:rsidP="00700D41">
      <w:pPr>
        <w:pStyle w:val="Heading4"/>
      </w:pPr>
      <w:r>
        <w:t xml:space="preserve">[B] </w:t>
      </w:r>
      <w:r w:rsidRPr="00CE11B7">
        <w:t xml:space="preserve">Only </w:t>
      </w:r>
      <w:proofErr w:type="spellStart"/>
      <w:r w:rsidRPr="00CE11B7">
        <w:t>universalizable</w:t>
      </w:r>
      <w:proofErr w:type="spellEnd"/>
      <w:r w:rsidRPr="00CE11B7">
        <w:t xml:space="preserve"> reason can effectively explain the perspectives of agents – that’s the best method for combatting oppression</w:t>
      </w:r>
      <w:r>
        <w:t>.</w:t>
      </w:r>
    </w:p>
    <w:p w14:paraId="57FD941C" w14:textId="77777777" w:rsidR="00700D41" w:rsidRPr="00426666" w:rsidRDefault="00700D41" w:rsidP="00700D41">
      <w:pPr>
        <w:rPr>
          <w:rFonts w:asciiTheme="majorHAnsi" w:hAnsiTheme="majorHAnsi" w:cstheme="majorHAnsi"/>
          <w:sz w:val="16"/>
          <w:szCs w:val="16"/>
        </w:rPr>
      </w:pPr>
      <w:r w:rsidRPr="006803F4">
        <w:rPr>
          <w:rStyle w:val="Style13ptBold"/>
          <w:rFonts w:asciiTheme="majorHAnsi" w:hAnsiTheme="majorHAnsi" w:cstheme="majorHAnsi"/>
          <w:sz w:val="28"/>
          <w:szCs w:val="28"/>
        </w:rPr>
        <w:t>Farr 02</w:t>
      </w:r>
      <w:r w:rsidRPr="00CE11B7">
        <w:rPr>
          <w:rFonts w:asciiTheme="majorHAnsi" w:hAnsiTheme="majorHAnsi" w:cstheme="majorHAnsi"/>
          <w:sz w:val="16"/>
        </w:rPr>
        <w:t xml:space="preserve"> </w:t>
      </w:r>
      <w:r w:rsidRPr="00426666">
        <w:rPr>
          <w:rFonts w:asciiTheme="majorHAnsi" w:hAnsiTheme="majorHAnsi" w:cstheme="majorHAnsi"/>
          <w:sz w:val="16"/>
          <w:szCs w:val="16"/>
        </w:rPr>
        <w:t xml:space="preserve">Arnold Farr (prof of phil @ </w:t>
      </w:r>
      <w:proofErr w:type="spellStart"/>
      <w:r w:rsidRPr="00426666">
        <w:rPr>
          <w:rFonts w:asciiTheme="majorHAnsi" w:hAnsiTheme="majorHAnsi" w:cstheme="majorHAnsi"/>
          <w:sz w:val="16"/>
          <w:szCs w:val="16"/>
        </w:rPr>
        <w:t>UKentucky</w:t>
      </w:r>
      <w:proofErr w:type="spellEnd"/>
      <w:r w:rsidRPr="00426666">
        <w:rPr>
          <w:rFonts w:asciiTheme="majorHAnsi" w:hAnsiTheme="majorHAnsi" w:cstheme="majorHAnsi"/>
          <w:sz w:val="16"/>
          <w:szCs w:val="16"/>
        </w:rPr>
        <w:t>, focusing on German idealism, philosophy of race, postmodernism, psychoanalysis, and liberation philosophy). “Can a Philosophy of Race Afford to Abandon the Kantian Categorical Imperative?” JOURNAL of SOCIAL PHILOSOPHY, Vol. 33 No. 1, Spring 2002, 17–32.</w:t>
      </w:r>
    </w:p>
    <w:p w14:paraId="3627E285" w14:textId="77777777" w:rsidR="00700D41" w:rsidRPr="00753A4F" w:rsidRDefault="00700D41" w:rsidP="00700D41">
      <w:pPr>
        <w:rPr>
          <w:rFonts w:asciiTheme="majorHAnsi" w:hAnsiTheme="majorHAnsi" w:cstheme="majorHAnsi"/>
          <w:b/>
          <w:u w:val="single"/>
        </w:rPr>
      </w:pPr>
      <w:r w:rsidRPr="00CE11B7">
        <w:rPr>
          <w:rFonts w:asciiTheme="majorHAnsi" w:hAnsiTheme="majorHAnsi" w:cstheme="majorHAnsi"/>
          <w:b/>
          <w:u w:val="single"/>
        </w:rPr>
        <w:t>One</w:t>
      </w:r>
      <w:r w:rsidRPr="00CE11B7">
        <w:rPr>
          <w:rFonts w:asciiTheme="majorHAnsi" w:hAnsiTheme="majorHAnsi" w:cstheme="majorHAnsi"/>
          <w:sz w:val="16"/>
        </w:rPr>
        <w:t xml:space="preserve"> of the most popular </w:t>
      </w:r>
      <w:r w:rsidRPr="00CE11B7">
        <w:rPr>
          <w:rFonts w:asciiTheme="majorHAnsi" w:hAnsiTheme="majorHAnsi" w:cstheme="majorHAnsi"/>
          <w:b/>
          <w:u w:val="single"/>
        </w:rPr>
        <w:t>criticism</w:t>
      </w:r>
      <w:r w:rsidRPr="00CE11B7">
        <w:rPr>
          <w:rFonts w:asciiTheme="majorHAnsi" w:hAnsiTheme="majorHAnsi" w:cstheme="majorHAnsi"/>
          <w:sz w:val="16"/>
        </w:rPr>
        <w:t xml:space="preserve">s </w:t>
      </w:r>
      <w:r w:rsidRPr="00CE11B7">
        <w:rPr>
          <w:rFonts w:asciiTheme="majorHAnsi" w:hAnsiTheme="majorHAnsi" w:cstheme="majorHAnsi"/>
          <w:b/>
          <w:u w:val="single"/>
        </w:rPr>
        <w:t>of Kant’s moral philosophy is that it is too formalistic.</w:t>
      </w:r>
      <w:r w:rsidRPr="00CE11B7">
        <w:rPr>
          <w:rFonts w:asciiTheme="majorHAnsi" w:hAnsiTheme="majorHAnsi" w:cstheme="majorHAnsi"/>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CE11B7">
        <w:rPr>
          <w:rFonts w:asciiTheme="majorHAnsi" w:hAnsiTheme="majorHAnsi" w:cstheme="majorHAnsi"/>
          <w:b/>
          <w:u w:val="single"/>
        </w:rPr>
        <w:t>although a distinction between the universal and the concrete is</w:t>
      </w:r>
      <w:r w:rsidRPr="00CE11B7">
        <w:rPr>
          <w:rFonts w:asciiTheme="majorHAnsi" w:hAnsiTheme="majorHAnsi" w:cstheme="majorHAnsi"/>
          <w:sz w:val="16"/>
        </w:rPr>
        <w:t xml:space="preserve"> a </w:t>
      </w:r>
      <w:r w:rsidRPr="00CE11B7">
        <w:rPr>
          <w:rFonts w:asciiTheme="majorHAnsi" w:hAnsiTheme="majorHAnsi" w:cstheme="majorHAnsi"/>
          <w:b/>
          <w:u w:val="single"/>
        </w:rPr>
        <w:t>valid</w:t>
      </w:r>
      <w:r w:rsidRPr="00CE11B7">
        <w:rPr>
          <w:rFonts w:asciiTheme="majorHAnsi" w:hAnsiTheme="majorHAnsi" w:cstheme="majorHAnsi"/>
          <w:sz w:val="16"/>
        </w:rPr>
        <w:t xml:space="preserve"> distinction, </w:t>
      </w:r>
      <w:r w:rsidRPr="00CE11B7">
        <w:rPr>
          <w:rFonts w:asciiTheme="majorHAnsi" w:hAnsiTheme="majorHAnsi" w:cstheme="majorHAnsi"/>
          <w:b/>
          <w:u w:val="single"/>
        </w:rPr>
        <w:t>the unity of the two is required for</w:t>
      </w:r>
      <w:r w:rsidRPr="00CE11B7">
        <w:rPr>
          <w:rFonts w:asciiTheme="majorHAnsi" w:hAnsiTheme="majorHAnsi" w:cstheme="majorHAnsi"/>
          <w:sz w:val="16"/>
        </w:rPr>
        <w:t xml:space="preserve"> an understanding of human </w:t>
      </w:r>
      <w:r w:rsidRPr="00CE11B7">
        <w:rPr>
          <w:rFonts w:asciiTheme="majorHAnsi" w:hAnsiTheme="majorHAnsi" w:cstheme="majorHAnsi"/>
          <w:b/>
          <w:u w:val="single"/>
        </w:rPr>
        <w:t>agency.</w:t>
      </w:r>
      <w:r w:rsidRPr="00CE11B7">
        <w:rPr>
          <w:rFonts w:asciiTheme="majorHAnsi" w:hAnsiTheme="majorHAnsi" w:cstheme="majorHAnsi"/>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CE11B7">
        <w:rPr>
          <w:rFonts w:asciiTheme="majorHAnsi" w:hAnsiTheme="majorHAnsi" w:cstheme="majorHAnsi"/>
          <w:b/>
          <w:u w:val="single"/>
        </w:rPr>
        <w:t>Kant is</w:t>
      </w:r>
      <w:r w:rsidRPr="00CE11B7">
        <w:rPr>
          <w:rFonts w:asciiTheme="majorHAnsi" w:hAnsiTheme="majorHAnsi" w:cstheme="majorHAnsi"/>
          <w:sz w:val="16"/>
        </w:rPr>
        <w:t xml:space="preserve"> often </w:t>
      </w:r>
      <w:r w:rsidRPr="00CE11B7">
        <w:rPr>
          <w:rFonts w:asciiTheme="majorHAnsi" w:hAnsiTheme="majorHAnsi" w:cstheme="majorHAnsi"/>
          <w:b/>
          <w:u w:val="single"/>
        </w:rPr>
        <w:t>accused of making the moral agent an abstract, empty</w:t>
      </w:r>
      <w:r w:rsidRPr="00CE11B7">
        <w:rPr>
          <w:rFonts w:asciiTheme="majorHAnsi" w:hAnsiTheme="majorHAnsi" w:cstheme="majorHAnsi"/>
          <w:sz w:val="16"/>
        </w:rPr>
        <w:t xml:space="preserve">, </w:t>
      </w:r>
      <w:proofErr w:type="spellStart"/>
      <w:r w:rsidRPr="00CE11B7">
        <w:rPr>
          <w:rFonts w:asciiTheme="majorHAnsi" w:hAnsiTheme="majorHAnsi" w:cstheme="majorHAnsi"/>
          <w:sz w:val="16"/>
        </w:rPr>
        <w:t>noumenal</w:t>
      </w:r>
      <w:proofErr w:type="spellEnd"/>
      <w:r w:rsidRPr="00CE11B7">
        <w:rPr>
          <w:rFonts w:asciiTheme="majorHAnsi" w:hAnsiTheme="majorHAnsi" w:cstheme="majorHAnsi"/>
          <w:sz w:val="16"/>
        </w:rPr>
        <w:t xml:space="preserve"> </w:t>
      </w:r>
      <w:r w:rsidRPr="00CE11B7">
        <w:rPr>
          <w:rFonts w:asciiTheme="majorHAnsi" w:hAnsiTheme="majorHAnsi" w:cstheme="majorHAnsi"/>
          <w:b/>
          <w:u w:val="single"/>
        </w:rPr>
        <w:t>subject. Nothing could be further from the truth. The Kantian subject is</w:t>
      </w:r>
      <w:r w:rsidRPr="00CE11B7">
        <w:rPr>
          <w:rFonts w:asciiTheme="majorHAnsi" w:hAnsiTheme="majorHAnsi" w:cstheme="majorHAnsi"/>
          <w:sz w:val="16"/>
        </w:rPr>
        <w:t xml:space="preserve"> an </w:t>
      </w:r>
      <w:r w:rsidRPr="00CE11B7">
        <w:rPr>
          <w:rStyle w:val="Emphasis"/>
          <w:rFonts w:asciiTheme="majorHAnsi" w:hAnsiTheme="majorHAnsi" w:cstheme="majorHAnsi"/>
        </w:rPr>
        <w:t>embodied</w:t>
      </w:r>
      <w:r w:rsidRPr="00CE11B7">
        <w:rPr>
          <w:rFonts w:asciiTheme="majorHAnsi" w:hAnsiTheme="majorHAnsi" w:cstheme="majorHAnsi"/>
          <w:sz w:val="16"/>
        </w:rPr>
        <w:t xml:space="preserve">,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w:t>
      </w:r>
      <w:r w:rsidRPr="00292F5B">
        <w:rPr>
          <w:rFonts w:asciiTheme="majorHAnsi" w:hAnsiTheme="majorHAnsi" w:cstheme="majorHAnsi"/>
          <w:sz w:val="16"/>
        </w:rPr>
        <w:t xml:space="preserve">physical drives or desires. </w:t>
      </w:r>
      <w:r w:rsidRPr="00292F5B">
        <w:rPr>
          <w:rFonts w:asciiTheme="majorHAnsi" w:hAnsiTheme="majorHAnsi" w:cstheme="majorHAnsi"/>
          <w:b/>
          <w:u w:val="single"/>
        </w:rPr>
        <w:t>The</w:t>
      </w:r>
      <w:r w:rsidRPr="00292F5B">
        <w:rPr>
          <w:rFonts w:asciiTheme="majorHAnsi" w:hAnsiTheme="majorHAnsi" w:cstheme="majorHAnsi"/>
          <w:sz w:val="16"/>
        </w:rPr>
        <w:t xml:space="preserve"> very </w:t>
      </w:r>
      <w:r w:rsidRPr="00292F5B">
        <w:rPr>
          <w:rFonts w:asciiTheme="majorHAnsi" w:hAnsiTheme="majorHAnsi" w:cstheme="majorHAnsi"/>
          <w:b/>
          <w:u w:val="single"/>
        </w:rPr>
        <w:t xml:space="preserve">fact that </w:t>
      </w:r>
      <w:r w:rsidRPr="00E542DA">
        <w:rPr>
          <w:rFonts w:asciiTheme="majorHAnsi" w:hAnsiTheme="majorHAnsi" w:cstheme="majorHAnsi"/>
          <w:b/>
          <w:highlight w:val="green"/>
          <w:u w:val="single"/>
        </w:rPr>
        <w:t>I cannot</w:t>
      </w:r>
      <w:r w:rsidRPr="00CE11B7">
        <w:rPr>
          <w:rFonts w:asciiTheme="majorHAnsi" w:hAnsiTheme="majorHAnsi" w:cstheme="majorHAnsi"/>
          <w:b/>
          <w:u w:val="single"/>
        </w:rPr>
        <w:t xml:space="preserve"> simply </w:t>
      </w:r>
      <w:r w:rsidRPr="00E542DA">
        <w:rPr>
          <w:rFonts w:asciiTheme="majorHAnsi" w:hAnsiTheme="majorHAnsi" w:cstheme="majorHAnsi"/>
          <w:b/>
          <w:highlight w:val="green"/>
          <w:u w:val="single"/>
        </w:rPr>
        <w:t>satisfy</w:t>
      </w:r>
      <w:r w:rsidRPr="00292F5B">
        <w:rPr>
          <w:rFonts w:asciiTheme="majorHAnsi" w:hAnsiTheme="majorHAnsi" w:cstheme="majorHAnsi"/>
          <w:b/>
          <w:u w:val="single"/>
        </w:rPr>
        <w:t xml:space="preserve"> my </w:t>
      </w:r>
      <w:r w:rsidRPr="00E542DA">
        <w:rPr>
          <w:rFonts w:asciiTheme="majorHAnsi" w:hAnsiTheme="majorHAnsi" w:cstheme="majorHAnsi"/>
          <w:b/>
          <w:highlight w:val="green"/>
          <w:u w:val="single"/>
        </w:rPr>
        <w:t>desires without considering</w:t>
      </w:r>
      <w:r w:rsidRPr="00292F5B">
        <w:rPr>
          <w:rFonts w:asciiTheme="majorHAnsi" w:hAnsiTheme="majorHAnsi" w:cstheme="majorHAnsi"/>
          <w:b/>
          <w:u w:val="single"/>
        </w:rPr>
        <w:t xml:space="preserve"> the </w:t>
      </w:r>
      <w:r w:rsidRPr="00E542DA">
        <w:rPr>
          <w:rFonts w:asciiTheme="majorHAnsi" w:hAnsiTheme="majorHAnsi" w:cstheme="majorHAnsi"/>
          <w:b/>
          <w:highlight w:val="green"/>
          <w:u w:val="single"/>
        </w:rPr>
        <w:t>rightness</w:t>
      </w:r>
      <w:r w:rsidRPr="00CE11B7">
        <w:rPr>
          <w:rFonts w:asciiTheme="majorHAnsi" w:hAnsiTheme="majorHAnsi" w:cstheme="majorHAnsi"/>
          <w:sz w:val="16"/>
        </w:rPr>
        <w:t xml:space="preserve"> or wrongness </w:t>
      </w:r>
      <w:r w:rsidRPr="00E542DA">
        <w:rPr>
          <w:rFonts w:asciiTheme="majorHAnsi" w:hAnsiTheme="majorHAnsi" w:cstheme="majorHAnsi"/>
          <w:b/>
          <w:highlight w:val="green"/>
          <w:u w:val="single"/>
        </w:rPr>
        <w:t>of my actions</w:t>
      </w:r>
      <w:r w:rsidRPr="00292F5B">
        <w:rPr>
          <w:rFonts w:asciiTheme="majorHAnsi" w:hAnsiTheme="majorHAnsi" w:cstheme="majorHAnsi"/>
          <w:b/>
          <w:u w:val="single"/>
        </w:rPr>
        <w:t xml:space="preserve"> suggests that </w:t>
      </w:r>
      <w:r w:rsidRPr="00E542DA">
        <w:rPr>
          <w:rFonts w:asciiTheme="majorHAnsi" w:hAnsiTheme="majorHAnsi" w:cstheme="majorHAnsi"/>
          <w:b/>
          <w:highlight w:val="green"/>
          <w:u w:val="single"/>
        </w:rPr>
        <w:t>my empirical character must be held in check</w:t>
      </w:r>
      <w:r w:rsidRPr="00CE11B7">
        <w:rPr>
          <w:rFonts w:asciiTheme="majorHAnsi" w:hAnsiTheme="majorHAnsi" w:cstheme="majorHAnsi"/>
          <w:sz w:val="16"/>
        </w:rPr>
        <w:t xml:space="preserve"> by something, or else I behave like a Freudian id. My </w:t>
      </w:r>
      <w:proofErr w:type="spellStart"/>
      <w:r w:rsidRPr="00CE11B7">
        <w:rPr>
          <w:rFonts w:asciiTheme="majorHAnsi" w:hAnsiTheme="majorHAnsi" w:cstheme="majorHAnsi"/>
          <w:sz w:val="16"/>
        </w:rPr>
        <w:t>empiri</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cal</w:t>
      </w:r>
      <w:proofErr w:type="spellEnd"/>
      <w:r w:rsidRPr="00CE11B7">
        <w:rPr>
          <w:rFonts w:asciiTheme="majorHAnsi" w:hAnsiTheme="majorHAnsi" w:cstheme="majorHAnsi"/>
          <w:sz w:val="16"/>
        </w:rPr>
        <w:t xml:space="preserve"> character must be held in check </w:t>
      </w:r>
      <w:r w:rsidRPr="00CE11B7">
        <w:rPr>
          <w:rFonts w:asciiTheme="majorHAnsi" w:hAnsiTheme="majorHAnsi" w:cstheme="majorHAnsi"/>
          <w:b/>
          <w:u w:val="single"/>
        </w:rPr>
        <w:t>by my intelligible character</w:t>
      </w:r>
      <w:r w:rsidRPr="00CE11B7">
        <w:rPr>
          <w:rFonts w:asciiTheme="majorHAnsi" w:hAnsiTheme="majorHAnsi" w:cstheme="majorHAnsi"/>
          <w:sz w:val="16"/>
        </w:rPr>
        <w:t xml:space="preserve">, which is the legislative activity of practical reason. It is through our intelligible character that </w:t>
      </w:r>
      <w:r w:rsidRPr="00CE11B7">
        <w:rPr>
          <w:rFonts w:asciiTheme="majorHAnsi" w:hAnsiTheme="majorHAnsi" w:cstheme="majorHAnsi"/>
          <w:b/>
          <w:u w:val="single"/>
        </w:rPr>
        <w:t>we formulate principles that keep our</w:t>
      </w:r>
      <w:r w:rsidRPr="00CE11B7">
        <w:rPr>
          <w:rFonts w:asciiTheme="majorHAnsi" w:hAnsiTheme="majorHAnsi" w:cstheme="majorHAnsi"/>
          <w:sz w:val="16"/>
        </w:rPr>
        <w:t xml:space="preserve"> empirical </w:t>
      </w:r>
      <w:r w:rsidRPr="00CE11B7">
        <w:rPr>
          <w:rFonts w:asciiTheme="majorHAnsi" w:hAnsiTheme="majorHAnsi" w:cstheme="majorHAnsi"/>
          <w:b/>
          <w:u w:val="single"/>
        </w:rPr>
        <w:t>impulses in check.</w:t>
      </w:r>
      <w:r w:rsidRPr="00CE11B7">
        <w:rPr>
          <w:rFonts w:asciiTheme="majorHAnsi" w:hAnsiTheme="majorHAnsi" w:cstheme="majorHAnsi"/>
          <w:sz w:val="16"/>
        </w:rPr>
        <w:t xml:space="preserve"> The categorical imperative is the supreme principle of morality that is constructed by the moral agent in his/her moment of self-transcendence. What I have called self-transcendence may be best explained in the following passage by </w:t>
      </w:r>
      <w:proofErr w:type="spellStart"/>
      <w:r w:rsidRPr="00CE11B7">
        <w:rPr>
          <w:rFonts w:asciiTheme="majorHAnsi" w:hAnsiTheme="majorHAnsi" w:cstheme="majorHAnsi"/>
          <w:sz w:val="16"/>
        </w:rPr>
        <w:t>Onora</w:t>
      </w:r>
      <w:proofErr w:type="spellEnd"/>
      <w:r w:rsidRPr="00CE11B7">
        <w:rPr>
          <w:rFonts w:asciiTheme="majorHAnsi" w:hAnsiTheme="majorHAnsi" w:cstheme="majorHAnsi"/>
          <w:sz w:val="16"/>
        </w:rPr>
        <w:t xml:space="preserve"> O’Neill: In restricting our maxims to those that meet the test of the categorical imperative we refuse to base our lives on maxims that necessarily make our own case an exception. The reason why a </w:t>
      </w:r>
      <w:proofErr w:type="spellStart"/>
      <w:r w:rsidRPr="00CE11B7">
        <w:rPr>
          <w:rFonts w:asciiTheme="majorHAnsi" w:hAnsiTheme="majorHAnsi" w:cstheme="majorHAnsi"/>
          <w:sz w:val="16"/>
        </w:rPr>
        <w:t>universilizability</w:t>
      </w:r>
      <w:proofErr w:type="spellEnd"/>
      <w:r w:rsidRPr="00CE11B7">
        <w:rPr>
          <w:rFonts w:asciiTheme="majorHAnsi" w:hAnsiTheme="majorHAnsi" w:cstheme="majorHAnsi"/>
          <w:sz w:val="16"/>
        </w:rPr>
        <w:t xml:space="preserve"> criterion is morally signiﬁcant is that it makes our own case no special exception (G, IV, 404). In accepting the Categorical </w:t>
      </w:r>
      <w:proofErr w:type="gramStart"/>
      <w:r w:rsidRPr="00CE11B7">
        <w:rPr>
          <w:rFonts w:asciiTheme="majorHAnsi" w:hAnsiTheme="majorHAnsi" w:cstheme="majorHAnsi"/>
          <w:sz w:val="16"/>
        </w:rPr>
        <w:t>Imperative</w:t>
      </w:r>
      <w:proofErr w:type="gramEnd"/>
      <w:r w:rsidRPr="00CE11B7">
        <w:rPr>
          <w:rFonts w:asciiTheme="majorHAnsi" w:hAnsiTheme="majorHAnsi" w:cstheme="majorHAnsi"/>
          <w:sz w:val="16"/>
        </w:rPr>
        <w:t xml:space="preserve"> we accept the moral reality of other selves, and hence the possibility (not, note, the reality) of a moral </w:t>
      </w:r>
      <w:r w:rsidRPr="00292F5B">
        <w:rPr>
          <w:rFonts w:asciiTheme="majorHAnsi" w:hAnsiTheme="majorHAnsi" w:cstheme="majorHAnsi"/>
          <w:sz w:val="16"/>
        </w:rPr>
        <w:t xml:space="preserve">community. </w:t>
      </w:r>
      <w:r w:rsidRPr="00292F5B">
        <w:rPr>
          <w:rFonts w:asciiTheme="majorHAnsi" w:hAnsiTheme="majorHAnsi" w:cstheme="majorHAnsi"/>
          <w:b/>
          <w:u w:val="single"/>
        </w:rPr>
        <w:t xml:space="preserve">The Formula of </w:t>
      </w:r>
      <w:r w:rsidRPr="00E542DA">
        <w:rPr>
          <w:rFonts w:asciiTheme="majorHAnsi" w:hAnsiTheme="majorHAnsi" w:cstheme="majorHAnsi"/>
          <w:b/>
          <w:highlight w:val="green"/>
          <w:u w:val="single"/>
        </w:rPr>
        <w:t>Universal Law enjoins</w:t>
      </w:r>
      <w:r w:rsidRPr="00292F5B">
        <w:rPr>
          <w:rFonts w:asciiTheme="majorHAnsi" w:hAnsiTheme="majorHAnsi" w:cstheme="majorHAnsi"/>
          <w:b/>
          <w:u w:val="single"/>
        </w:rPr>
        <w:t xml:space="preserve"> no more than that </w:t>
      </w:r>
      <w:r w:rsidRPr="00E542DA">
        <w:rPr>
          <w:rFonts w:asciiTheme="majorHAnsi" w:hAnsiTheme="majorHAnsi" w:cstheme="majorHAnsi"/>
          <w:b/>
          <w:highlight w:val="green"/>
          <w:u w:val="single"/>
        </w:rPr>
        <w:t>we act only on maxims</w:t>
      </w:r>
      <w:r w:rsidRPr="00292F5B">
        <w:rPr>
          <w:rFonts w:asciiTheme="majorHAnsi" w:hAnsiTheme="majorHAnsi" w:cstheme="majorHAnsi"/>
          <w:b/>
          <w:u w:val="single"/>
        </w:rPr>
        <w:t xml:space="preserve"> that are </w:t>
      </w:r>
      <w:r w:rsidRPr="00E542DA">
        <w:rPr>
          <w:rFonts w:asciiTheme="majorHAnsi" w:hAnsiTheme="majorHAnsi" w:cstheme="majorHAnsi"/>
          <w:b/>
          <w:highlight w:val="green"/>
          <w:u w:val="single"/>
        </w:rPr>
        <w:t>open to others also</w:t>
      </w:r>
      <w:r w:rsidRPr="00CE11B7">
        <w:rPr>
          <w:rFonts w:asciiTheme="majorHAnsi" w:hAnsiTheme="majorHAnsi" w:cstheme="majorHAnsi"/>
          <w:b/>
          <w:u w:val="single"/>
        </w:rPr>
        <w:t>.</w:t>
      </w:r>
      <w:r w:rsidRPr="00CE11B7">
        <w:rPr>
          <w:rFonts w:asciiTheme="majorHAnsi" w:hAnsiTheme="majorHAnsi" w:cstheme="majorHAnsi"/>
          <w:sz w:val="16"/>
        </w:rPr>
        <w:t xml:space="preserve">16 O’Neill’s description of the universalizability criterion includes the notion of self-transcendence that I am working to explicate here to the extent that like self-transcendence, </w:t>
      </w:r>
      <w:proofErr w:type="spellStart"/>
      <w:r w:rsidRPr="00CE11B7">
        <w:rPr>
          <w:rFonts w:asciiTheme="majorHAnsi" w:hAnsiTheme="majorHAnsi" w:cstheme="majorHAnsi"/>
          <w:sz w:val="16"/>
        </w:rPr>
        <w:t>universalizable</w:t>
      </w:r>
      <w:proofErr w:type="spellEnd"/>
      <w:r w:rsidRPr="00CE11B7">
        <w:rPr>
          <w:rFonts w:asciiTheme="majorHAnsi" w:hAnsiTheme="majorHAnsi" w:cstheme="majorHAnsi"/>
          <w:sz w:val="16"/>
        </w:rPr>
        <w:t xml:space="preserve"> moral principles require that the </w:t>
      </w:r>
      <w:proofErr w:type="spellStart"/>
      <w:r w:rsidRPr="00CE11B7">
        <w:rPr>
          <w:rFonts w:asciiTheme="majorHAnsi" w:hAnsiTheme="majorHAnsi" w:cstheme="majorHAnsi"/>
          <w:sz w:val="16"/>
        </w:rPr>
        <w:t>individ</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ual</w:t>
      </w:r>
      <w:proofErr w:type="spellEnd"/>
      <w:r w:rsidRPr="00CE11B7">
        <w:rPr>
          <w:rFonts w:asciiTheme="majorHAnsi" w:hAnsiTheme="majorHAnsi" w:cstheme="majorHAnsi"/>
          <w:sz w:val="16"/>
        </w:rPr>
        <w:t xml:space="preserve"> think beyond his or her own </w:t>
      </w:r>
      <w:r w:rsidRPr="00292F5B">
        <w:rPr>
          <w:rFonts w:asciiTheme="majorHAnsi" w:hAnsiTheme="majorHAnsi" w:cstheme="majorHAnsi"/>
          <w:sz w:val="16"/>
        </w:rPr>
        <w:t xml:space="preserve">particular desires. </w:t>
      </w:r>
      <w:r w:rsidRPr="00292F5B">
        <w:rPr>
          <w:rStyle w:val="Emphasis"/>
          <w:rFonts w:asciiTheme="majorHAnsi" w:hAnsiTheme="majorHAnsi" w:cstheme="majorHAnsi"/>
        </w:rPr>
        <w:t xml:space="preserve">The </w:t>
      </w:r>
      <w:r w:rsidRPr="00E542DA">
        <w:rPr>
          <w:rStyle w:val="Emphasis"/>
          <w:rFonts w:asciiTheme="majorHAnsi" w:hAnsiTheme="majorHAnsi" w:cstheme="majorHAnsi"/>
          <w:highlight w:val="green"/>
        </w:rPr>
        <w:t>individual is not allowed to exclude others</w:t>
      </w:r>
      <w:r w:rsidRPr="00E542DA">
        <w:rPr>
          <w:rFonts w:asciiTheme="majorHAnsi" w:hAnsiTheme="majorHAnsi" w:cstheme="majorHAnsi"/>
          <w:b/>
          <w:highlight w:val="green"/>
          <w:u w:val="single"/>
        </w:rPr>
        <w:t xml:space="preserve"> as</w:t>
      </w:r>
      <w:r w:rsidRPr="00CE11B7">
        <w:rPr>
          <w:rFonts w:asciiTheme="majorHAnsi" w:hAnsiTheme="majorHAnsi" w:cstheme="majorHAnsi"/>
          <w:sz w:val="16"/>
        </w:rPr>
        <w:t xml:space="preserve"> rational </w:t>
      </w:r>
      <w:r w:rsidRPr="00E542DA">
        <w:rPr>
          <w:rFonts w:asciiTheme="majorHAnsi" w:hAnsiTheme="majorHAnsi" w:cstheme="majorHAnsi"/>
          <w:b/>
          <w:highlight w:val="green"/>
          <w:u w:val="single"/>
        </w:rPr>
        <w:t>moral agents</w:t>
      </w:r>
      <w:r w:rsidRPr="00CE11B7">
        <w:rPr>
          <w:rFonts w:asciiTheme="majorHAnsi" w:hAnsiTheme="majorHAnsi" w:cstheme="majorHAnsi"/>
          <w:sz w:val="16"/>
        </w:rPr>
        <w:t xml:space="preserve"> who have the right to act as he acts in a given situation. For example, if I decide to use another person merely as a means for my own end I must recognize the other person’s right to do the same to me. I cannot consistently will that I use another as a means only and will that I not be used in the same manner by </w:t>
      </w:r>
      <w:r w:rsidRPr="00292F5B">
        <w:rPr>
          <w:rFonts w:asciiTheme="majorHAnsi" w:hAnsiTheme="majorHAnsi" w:cstheme="majorHAnsi"/>
          <w:sz w:val="16"/>
        </w:rPr>
        <w:t xml:space="preserve">another. </w:t>
      </w:r>
      <w:r w:rsidRPr="00292F5B">
        <w:rPr>
          <w:rFonts w:asciiTheme="majorHAnsi" w:hAnsiTheme="majorHAnsi" w:cstheme="majorHAnsi"/>
          <w:b/>
          <w:u w:val="single"/>
        </w:rPr>
        <w:t>Hence,</w:t>
      </w:r>
      <w:r w:rsidRPr="00292F5B">
        <w:rPr>
          <w:rFonts w:asciiTheme="majorHAnsi" w:hAnsiTheme="majorHAnsi" w:cstheme="majorHAnsi"/>
          <w:sz w:val="16"/>
        </w:rPr>
        <w:t xml:space="preserve"> the </w:t>
      </w:r>
      <w:r w:rsidRPr="00E542DA">
        <w:rPr>
          <w:rFonts w:asciiTheme="majorHAnsi" w:hAnsiTheme="majorHAnsi" w:cstheme="majorHAnsi"/>
          <w:b/>
          <w:highlight w:val="green"/>
          <w:u w:val="single"/>
        </w:rPr>
        <w:t>universalizability</w:t>
      </w:r>
      <w:r w:rsidRPr="00CE11B7">
        <w:rPr>
          <w:rFonts w:asciiTheme="majorHAnsi" w:hAnsiTheme="majorHAnsi" w:cstheme="majorHAnsi"/>
          <w:sz w:val="16"/>
        </w:rPr>
        <w:t xml:space="preserve"> criterion </w:t>
      </w:r>
      <w:r w:rsidRPr="00E542DA">
        <w:rPr>
          <w:rFonts w:asciiTheme="majorHAnsi" w:hAnsiTheme="majorHAnsi" w:cstheme="majorHAnsi"/>
          <w:b/>
          <w:highlight w:val="green"/>
          <w:u w:val="single"/>
        </w:rPr>
        <w:t>is a principle of consistency and</w:t>
      </w:r>
      <w:r w:rsidRPr="00CE11B7">
        <w:rPr>
          <w:rFonts w:asciiTheme="majorHAnsi" w:hAnsiTheme="majorHAnsi" w:cstheme="majorHAnsi"/>
          <w:sz w:val="16"/>
        </w:rPr>
        <w:t xml:space="preserve"> a princ</w:t>
      </w:r>
      <w:r w:rsidRPr="00292F5B">
        <w:rPr>
          <w:rFonts w:asciiTheme="majorHAnsi" w:hAnsiTheme="majorHAnsi" w:cstheme="majorHAnsi"/>
          <w:sz w:val="16"/>
        </w:rPr>
        <w:t xml:space="preserve">iple of </w:t>
      </w:r>
      <w:r w:rsidRPr="00E542DA">
        <w:rPr>
          <w:rFonts w:asciiTheme="majorHAnsi" w:hAnsiTheme="majorHAnsi" w:cstheme="majorHAnsi"/>
          <w:b/>
          <w:highlight w:val="green"/>
          <w:u w:val="single"/>
        </w:rPr>
        <w:t>inclusion</w:t>
      </w:r>
      <w:r w:rsidRPr="00CE11B7">
        <w:rPr>
          <w:rFonts w:asciiTheme="majorHAnsi" w:hAnsiTheme="majorHAnsi" w:cstheme="majorHAnsi"/>
          <w:b/>
          <w:u w:val="single"/>
        </w:rPr>
        <w:t>.</w:t>
      </w:r>
      <w:r w:rsidRPr="00CE11B7">
        <w:rPr>
          <w:rFonts w:asciiTheme="majorHAnsi" w:hAnsiTheme="majorHAnsi" w:cstheme="majorHAnsi"/>
          <w:sz w:val="16"/>
        </w:rPr>
        <w:t xml:space="preserve"> That is, in choosing my maxims </w:t>
      </w:r>
      <w:r w:rsidRPr="00CE11B7">
        <w:rPr>
          <w:rFonts w:asciiTheme="majorHAnsi" w:hAnsiTheme="majorHAnsi" w:cstheme="majorHAnsi"/>
          <w:b/>
          <w:u w:val="single"/>
        </w:rPr>
        <w:t>I</w:t>
      </w:r>
      <w:r w:rsidRPr="00CE11B7">
        <w:rPr>
          <w:rFonts w:asciiTheme="majorHAnsi" w:hAnsiTheme="majorHAnsi" w:cstheme="majorHAnsi"/>
          <w:sz w:val="16"/>
        </w:rPr>
        <w:t xml:space="preserve"> attempt to </w:t>
      </w:r>
      <w:r w:rsidRPr="00E542DA">
        <w:rPr>
          <w:rFonts w:asciiTheme="majorHAnsi" w:hAnsiTheme="majorHAnsi" w:cstheme="majorHAnsi"/>
          <w:b/>
          <w:highlight w:val="green"/>
          <w:u w:val="single"/>
        </w:rPr>
        <w:t>include the perspective of other moral agents</w:t>
      </w:r>
      <w:r w:rsidRPr="00CE11B7">
        <w:rPr>
          <w:rFonts w:asciiTheme="majorHAnsi" w:hAnsiTheme="majorHAnsi" w:cstheme="majorHAnsi"/>
          <w:b/>
          <w:u w:val="single"/>
        </w:rPr>
        <w:t>.</w:t>
      </w:r>
    </w:p>
    <w:p w14:paraId="3329D4D2" w14:textId="77777777" w:rsidR="00700D41" w:rsidRPr="00E80998" w:rsidRDefault="00700D41" w:rsidP="00700D41">
      <w:pPr>
        <w:pStyle w:val="Heading4"/>
      </w:pPr>
      <w:r w:rsidRPr="00E80998">
        <w:t xml:space="preserve">Thus, the standard is consistency with the categorical imperative. </w:t>
      </w:r>
    </w:p>
    <w:p w14:paraId="66D64139" w14:textId="77777777" w:rsidR="00700D41" w:rsidRDefault="00700D41" w:rsidP="00700D41">
      <w:pPr>
        <w:pStyle w:val="Heading4"/>
      </w:pPr>
      <w:r w:rsidRPr="00F279F1">
        <w:rPr>
          <w:u w:val="single"/>
        </w:rPr>
        <w:t xml:space="preserve">[1] Presumption and </w:t>
      </w:r>
      <w:r>
        <w:rPr>
          <w:u w:val="single"/>
        </w:rPr>
        <w:t>P</w:t>
      </w:r>
      <w:r w:rsidRPr="00F279F1">
        <w:rPr>
          <w:u w:val="single"/>
        </w:rPr>
        <w:t>ermissibility affirm:</w:t>
      </w:r>
      <w:r w:rsidRPr="0088077D">
        <w:t xml:space="preserve"> a] Statements are true before false since if I told you my name, you’d believe me. b] If anything is permissible, then so is the aff since there is nothing </w:t>
      </w:r>
      <w:r>
        <w:t>prohibiting us.</w:t>
      </w:r>
      <w:r w:rsidRPr="0088077D">
        <w:t xml:space="preserve"> </w:t>
      </w:r>
    </w:p>
    <w:p w14:paraId="449105BE" w14:textId="77777777" w:rsidR="00700D41" w:rsidRDefault="00700D41" w:rsidP="00700D41">
      <w:pPr>
        <w:pStyle w:val="Heading4"/>
      </w:pPr>
      <w:r w:rsidRPr="00C423B9">
        <w:rPr>
          <w:u w:val="single"/>
        </w:rPr>
        <w:t>[2] Consequences Fail:</w:t>
      </w:r>
      <w:r w:rsidRPr="00C423B9">
        <w:t xml:space="preserve"> a] Every action has infinite stemming consequences, because every consequence can cause another consequence so we can’t predict. b] Induction is circular because it relies on the assumption that nature will hold uniform and we could only reach that conclusion through inductive reasoning based on observation of past events. c] Every action is infinitely divisible, only intents unify because we </w:t>
      </w:r>
      <w:r>
        <w:t>commit</w:t>
      </w:r>
      <w:r w:rsidRPr="00C423B9">
        <w:t xml:space="preserve"> the end point of an action – but consequences cannot determine what step of action is moral d] </w:t>
      </w:r>
      <w:r>
        <w:t>Yes act/omission distinction – t</w:t>
      </w:r>
      <w:r w:rsidRPr="00C423B9">
        <w:t xml:space="preserve">here are infinite events occurring over which you have no control, so you can never be moral </w:t>
      </w:r>
    </w:p>
    <w:p w14:paraId="0A96224B" w14:textId="77777777" w:rsidR="00700D41" w:rsidRPr="008D4D35" w:rsidRDefault="00700D41" w:rsidP="00700D41">
      <w:pPr>
        <w:pStyle w:val="Heading4"/>
        <w:rPr>
          <w:u w:val="single"/>
        </w:rPr>
      </w:pPr>
      <w:bookmarkStart w:id="0" w:name="_GoBack"/>
      <w:bookmarkEnd w:id="0"/>
      <w:r w:rsidRPr="00331296">
        <w:rPr>
          <w:u w:val="single"/>
        </w:rPr>
        <w:t>[3] Contesting offense under the Aff framework is a voting issue</w:t>
      </w:r>
      <w:r>
        <w:rPr>
          <w:u w:val="single"/>
        </w:rPr>
        <w:t>.</w:t>
      </w:r>
      <w:r w:rsidRPr="005923AB">
        <w:t xml:space="preserve"> </w:t>
      </w:r>
      <w:r>
        <w:t>R</w:t>
      </w:r>
      <w:r w:rsidRPr="009841F6">
        <w:t xml:space="preserve">eciprocity – I have to win </w:t>
      </w:r>
      <w:r>
        <w:t>my</w:t>
      </w:r>
      <w:r w:rsidRPr="009841F6">
        <w:t xml:space="preserve"> framework and beat the NC before I can </w:t>
      </w:r>
      <w:r>
        <w:t>access case</w:t>
      </w:r>
      <w:r w:rsidRPr="009841F6">
        <w:t>, whereas you can collapse to either layer</w:t>
      </w:r>
      <w:r>
        <w:t xml:space="preserve"> or dump on offense for 7 minutes </w:t>
      </w:r>
      <w:r w:rsidRPr="009841F6">
        <w:t xml:space="preserve">as a no-risk issue so there’s </w:t>
      </w:r>
      <w:r>
        <w:t xml:space="preserve">a </w:t>
      </w:r>
      <w:r w:rsidRPr="009841F6">
        <w:t>skew</w:t>
      </w:r>
      <w:r>
        <w:t>. K</w:t>
      </w:r>
      <w:r w:rsidRPr="009841F6">
        <w:t>ey to fairness because it’s definitionally equal access to the ballot</w:t>
      </w:r>
      <w:r>
        <w:t>.</w:t>
      </w:r>
    </w:p>
    <w:p w14:paraId="4443D660" w14:textId="77777777" w:rsidR="00700D41" w:rsidRDefault="00700D41" w:rsidP="00700D41">
      <w:pPr>
        <w:pStyle w:val="Heading3"/>
      </w:pPr>
      <w:r>
        <w:t>Advocacy</w:t>
      </w:r>
    </w:p>
    <w:p w14:paraId="7983F7B7" w14:textId="77777777" w:rsidR="00700D41" w:rsidRPr="00C05CBA" w:rsidRDefault="00700D41" w:rsidP="00700D41">
      <w:pPr>
        <w:pStyle w:val="Heading4"/>
        <w:spacing w:before="0" w:after="40" w:line="276" w:lineRule="auto"/>
        <w:rPr>
          <w:rFonts w:cs="Calibri"/>
        </w:rPr>
      </w:pPr>
      <w:r>
        <w:rPr>
          <w:rFonts w:cs="Calibri"/>
        </w:rPr>
        <w:t xml:space="preserve">Thus the plan, </w:t>
      </w:r>
      <w:proofErr w:type="gramStart"/>
      <w:r>
        <w:rPr>
          <w:rFonts w:cs="Calibri"/>
        </w:rPr>
        <w:t>Resolved</w:t>
      </w:r>
      <w:proofErr w:type="gramEnd"/>
      <w:r w:rsidRPr="00C05CBA">
        <w:rPr>
          <w:rFonts w:cs="Calibri"/>
        </w:rPr>
        <w:t>: The member nations of the World Trade Organization ought to reduce intellectual property protections for medicines during pandemics.</w:t>
      </w:r>
    </w:p>
    <w:p w14:paraId="56C31553" w14:textId="77777777" w:rsidR="00700D41" w:rsidRPr="00C05CBA" w:rsidRDefault="00700D41" w:rsidP="00700D41">
      <w:pPr>
        <w:spacing w:after="40" w:line="276" w:lineRule="auto"/>
        <w:rPr>
          <w:rFonts w:cs="Calibri"/>
        </w:rPr>
      </w:pPr>
    </w:p>
    <w:p w14:paraId="1515F615" w14:textId="77777777" w:rsidR="00700D41" w:rsidRPr="00C05CBA" w:rsidRDefault="00700D41" w:rsidP="00700D41">
      <w:pPr>
        <w:pStyle w:val="Heading4"/>
        <w:spacing w:before="0" w:after="40" w:line="276" w:lineRule="auto"/>
        <w:rPr>
          <w:rFonts w:cs="Calibri"/>
        </w:rPr>
      </w:pPr>
      <w:r w:rsidRPr="00C05CBA">
        <w:rPr>
          <w:rFonts w:cs="Calibri"/>
        </w:rPr>
        <w:t xml:space="preserve">Here’s spec – enforcement through </w:t>
      </w:r>
      <w:r w:rsidRPr="00C05CBA">
        <w:rPr>
          <w:rFonts w:cs="Calibri"/>
          <w:u w:val="single"/>
        </w:rPr>
        <w:t>limited IP waivers solve</w:t>
      </w:r>
      <w:r w:rsidRPr="00C05CBA">
        <w:rPr>
          <w:rFonts w:cs="Calibri"/>
        </w:rPr>
        <w:t xml:space="preserve"> – patent term extensions are normal means and solves </w:t>
      </w:r>
      <w:r w:rsidRPr="00C05CBA">
        <w:rPr>
          <w:rFonts w:cs="Calibri"/>
          <w:u w:val="single"/>
        </w:rPr>
        <w:t>innovation</w:t>
      </w:r>
      <w:r w:rsidRPr="00C05CBA">
        <w:rPr>
          <w:rFonts w:cs="Calibri"/>
        </w:rPr>
        <w:t xml:space="preserve"> and </w:t>
      </w:r>
      <w:r w:rsidRPr="00C05CBA">
        <w:rPr>
          <w:rFonts w:cs="Calibri"/>
          <w:u w:val="single"/>
        </w:rPr>
        <w:t>scale-up</w:t>
      </w:r>
      <w:r w:rsidRPr="00C05CBA">
        <w:rPr>
          <w:rFonts w:cs="Calibri"/>
        </w:rPr>
        <w:t>.</w:t>
      </w:r>
    </w:p>
    <w:p w14:paraId="068E50CF" w14:textId="77777777" w:rsidR="00700D41" w:rsidRPr="00C05CBA" w:rsidRDefault="00700D41" w:rsidP="00700D41">
      <w:pPr>
        <w:spacing w:after="40" w:line="276" w:lineRule="auto"/>
        <w:rPr>
          <w:rFonts w:cs="Calibri"/>
        </w:rPr>
      </w:pPr>
      <w:r w:rsidRPr="00C05CBA">
        <w:rPr>
          <w:rStyle w:val="Style13ptBold"/>
          <w:rFonts w:cs="Calibri"/>
        </w:rPr>
        <w:t>Young and Potts-</w:t>
      </w:r>
      <w:proofErr w:type="spellStart"/>
      <w:r w:rsidRPr="00C05CBA">
        <w:rPr>
          <w:rStyle w:val="Style13ptBold"/>
          <w:rFonts w:cs="Calibri"/>
        </w:rPr>
        <w:t>Szeliga</w:t>
      </w:r>
      <w:proofErr w:type="spellEnd"/>
      <w:r w:rsidRPr="00C05CBA">
        <w:rPr>
          <w:rStyle w:val="Style13ptBold"/>
          <w:rFonts w:cs="Calibri"/>
        </w:rPr>
        <w:t xml:space="preserve"> 21</w:t>
      </w:r>
      <w:r w:rsidRPr="00C05CBA">
        <w:rPr>
          <w:rFonts w:cs="Calibri"/>
        </w:rPr>
        <w:t xml:space="preserve"> [Roberta; Counsel in </w:t>
      </w:r>
      <w:proofErr w:type="spellStart"/>
      <w:r w:rsidRPr="00C05CBA">
        <w:rPr>
          <w:rFonts w:cs="Calibri"/>
        </w:rPr>
        <w:t>Seyfarth’s</w:t>
      </w:r>
      <w:proofErr w:type="spellEnd"/>
      <w:r w:rsidRPr="00C05CBA">
        <w:rPr>
          <w:rFonts w:cs="Calibri"/>
        </w:rPr>
        <w:t xml:space="preserve"> Litigation department and Intellectual Property and Patent Litigation practice groups in Los Angeles; Jamaica Potts-</w:t>
      </w:r>
      <w:proofErr w:type="spellStart"/>
      <w:r w:rsidRPr="00C05CBA">
        <w:rPr>
          <w:rFonts w:cs="Calibri"/>
        </w:rPr>
        <w:t>Szeliga</w:t>
      </w:r>
      <w:proofErr w:type="spellEnd"/>
      <w:r w:rsidRPr="00C05CBA">
        <w:rPr>
          <w:rFonts w:cs="Calibri"/>
        </w:rPr>
        <w:t xml:space="preserve">; Partner in </w:t>
      </w:r>
      <w:proofErr w:type="spellStart"/>
      <w:r w:rsidRPr="00C05CBA">
        <w:rPr>
          <w:rFonts w:cs="Calibri"/>
        </w:rPr>
        <w:t>Seyfarth’s</w:t>
      </w:r>
      <w:proofErr w:type="spellEnd"/>
      <w:r w:rsidRPr="00C05CBA">
        <w:rPr>
          <w:rFonts w:cs="Calibri"/>
        </w:rPr>
        <w:t xml:space="preserve"> Litigation department and Intellectual Property and Patent Litigation practice groups in Washington, DC. She also provides advice on FDA regulatory issues and is part of the firm’s Health Care, Life Sciences, and Pharmaceuticals team; “A Third Option: Limited IP Waiver Could Solve Our Pandemic Vaccine Problems,” IP Watch Dog; 7/21/21; </w:t>
      </w:r>
      <w:hyperlink r:id="rId9" w:history="1">
        <w:r w:rsidRPr="00C05CBA">
          <w:rPr>
            <w:rStyle w:val="Hyperlink"/>
            <w:rFonts w:cs="Calibri"/>
          </w:rPr>
          <w:t>https://www.ipwatchdog.com/2021/07/21/third-option-limited-ip-waiver-solve-pandemic-vaccine-problems/id=135732/</w:t>
        </w:r>
      </w:hyperlink>
      <w:r w:rsidRPr="00C05CBA">
        <w:rPr>
          <w:rFonts w:cs="Calibri"/>
        </w:rPr>
        <w:t>] Justin</w:t>
      </w:r>
    </w:p>
    <w:p w14:paraId="1CBECC20" w14:textId="77777777" w:rsidR="00700D41" w:rsidRPr="00C05CBA" w:rsidRDefault="00700D41" w:rsidP="00700D41">
      <w:pPr>
        <w:spacing w:after="40" w:line="276" w:lineRule="auto"/>
        <w:rPr>
          <w:rFonts w:cs="Calibri"/>
          <w:u w:val="single"/>
        </w:rPr>
      </w:pPr>
      <w:r w:rsidRPr="00C05CBA">
        <w:rPr>
          <w:rFonts w:cs="Calibri"/>
          <w:highlight w:val="green"/>
          <w:u w:val="single"/>
        </w:rPr>
        <w:t>Limited Waiver</w:t>
      </w:r>
      <w:r w:rsidRPr="00C05CBA">
        <w:rPr>
          <w:rFonts w:cs="Calibri"/>
          <w:u w:val="single"/>
        </w:rPr>
        <w:t xml:space="preserve"> Approach</w:t>
      </w:r>
    </w:p>
    <w:p w14:paraId="5EA9A092" w14:textId="77777777" w:rsidR="00700D41" w:rsidRPr="00C05CBA" w:rsidRDefault="00700D41" w:rsidP="00700D41">
      <w:pPr>
        <w:spacing w:after="40" w:line="276" w:lineRule="auto"/>
        <w:rPr>
          <w:rStyle w:val="Emphasis"/>
          <w:rFonts w:cs="Calibri"/>
        </w:rPr>
      </w:pPr>
      <w:r w:rsidRPr="00C05CBA">
        <w:rPr>
          <w:rFonts w:cs="Calibri"/>
          <w:sz w:val="16"/>
        </w:rPr>
        <w:t xml:space="preserve">This article suggests a third option, between voluntary vaccine donation and the full IP waiver proposal, that may offer a way forward. </w:t>
      </w:r>
      <w:r w:rsidRPr="00C05CBA">
        <w:rPr>
          <w:rFonts w:cs="Calibri"/>
          <w:u w:val="single"/>
        </w:rPr>
        <w:t xml:space="preserve">The third proposed solution is incentivized </w:t>
      </w:r>
      <w:r w:rsidRPr="00C05CBA">
        <w:rPr>
          <w:rStyle w:val="Emphasis"/>
          <w:rFonts w:cs="Calibri"/>
        </w:rPr>
        <w:t>limited IP waivers that could encourage</w:t>
      </w:r>
      <w:r w:rsidRPr="00C05CBA">
        <w:rPr>
          <w:rFonts w:cs="Calibri"/>
          <w:sz w:val="16"/>
        </w:rPr>
        <w:t xml:space="preserve"> (or require) </w:t>
      </w:r>
      <w:r w:rsidRPr="00C05CBA">
        <w:rPr>
          <w:rFonts w:cs="Calibri"/>
          <w:u w:val="single"/>
        </w:rPr>
        <w:t xml:space="preserve">private companies to engage in </w:t>
      </w:r>
      <w:r w:rsidRPr="00C05CBA">
        <w:rPr>
          <w:rStyle w:val="Emphasis"/>
          <w:rFonts w:cs="Calibri"/>
        </w:rPr>
        <w:t xml:space="preserve">licensing agreements with nations to </w:t>
      </w:r>
      <w:r w:rsidRPr="00C05CBA">
        <w:rPr>
          <w:rStyle w:val="Emphasis"/>
          <w:rFonts w:cs="Calibri"/>
          <w:highlight w:val="green"/>
        </w:rPr>
        <w:t xml:space="preserve">share </w:t>
      </w:r>
      <w:r w:rsidRPr="00C05CBA">
        <w:rPr>
          <w:rStyle w:val="Emphasis"/>
          <w:rFonts w:cs="Calibri"/>
        </w:rPr>
        <w:t>some</w:t>
      </w:r>
      <w:r w:rsidRPr="00C05CBA">
        <w:rPr>
          <w:rFonts w:cs="Calibri"/>
          <w:u w:val="single"/>
        </w:rPr>
        <w:t xml:space="preserve">, </w:t>
      </w:r>
      <w:r w:rsidRPr="00C05CBA">
        <w:rPr>
          <w:rStyle w:val="Emphasis"/>
          <w:rFonts w:cs="Calibri"/>
        </w:rPr>
        <w:t>but not all, of the knowledge and designs covering the COVID-19 vaccines</w:t>
      </w:r>
      <w:r w:rsidRPr="00C05CBA">
        <w:rPr>
          <w:rFonts w:cs="Calibri"/>
          <w:sz w:val="16"/>
        </w:rPr>
        <w:t xml:space="preserve"> to the developing world. </w:t>
      </w:r>
      <w:r w:rsidRPr="00C05CBA">
        <w:rPr>
          <w:rFonts w:cs="Calibri"/>
          <w:u w:val="single"/>
        </w:rPr>
        <w:t xml:space="preserve">The limited IP waivers could cover the </w:t>
      </w:r>
      <w:r w:rsidRPr="00C05CBA">
        <w:rPr>
          <w:rFonts w:cs="Calibri"/>
          <w:highlight w:val="green"/>
          <w:u w:val="single"/>
        </w:rPr>
        <w:t>minimum</w:t>
      </w:r>
      <w:r w:rsidRPr="00C05CBA">
        <w:rPr>
          <w:rFonts w:cs="Calibri"/>
          <w:u w:val="single"/>
        </w:rPr>
        <w:t xml:space="preserve"> necessary </w:t>
      </w:r>
      <w:r w:rsidRPr="00C05CBA">
        <w:rPr>
          <w:rFonts w:cs="Calibri"/>
          <w:highlight w:val="green"/>
          <w:u w:val="single"/>
        </w:rPr>
        <w:t>portions of</w:t>
      </w:r>
      <w:r w:rsidRPr="00C05CBA">
        <w:rPr>
          <w:rFonts w:cs="Calibri"/>
          <w:u w:val="single"/>
        </w:rPr>
        <w:t xml:space="preserve"> the </w:t>
      </w:r>
      <w:r w:rsidRPr="00C05CBA">
        <w:rPr>
          <w:rFonts w:cs="Calibri"/>
          <w:highlight w:val="green"/>
          <w:u w:val="single"/>
        </w:rPr>
        <w:t>tech</w:t>
      </w:r>
      <w:r w:rsidRPr="00C05CBA">
        <w:rPr>
          <w:rFonts w:cs="Calibri"/>
          <w:u w:val="single"/>
        </w:rPr>
        <w:t xml:space="preserve">nology </w:t>
      </w:r>
      <w:r w:rsidRPr="00C05CBA">
        <w:rPr>
          <w:rFonts w:cs="Calibri"/>
          <w:highlight w:val="green"/>
          <w:u w:val="single"/>
        </w:rPr>
        <w:t xml:space="preserve">to produce </w:t>
      </w:r>
      <w:r w:rsidRPr="00C05CBA">
        <w:rPr>
          <w:rStyle w:val="Emphasis"/>
          <w:rFonts w:cs="Calibri"/>
          <w:highlight w:val="green"/>
        </w:rPr>
        <w:t>basic</w:t>
      </w:r>
      <w:r w:rsidRPr="00C05CBA">
        <w:rPr>
          <w:rFonts w:cs="Calibri"/>
          <w:u w:val="single"/>
        </w:rPr>
        <w:t xml:space="preserve"> COVID-19 </w:t>
      </w:r>
      <w:r w:rsidRPr="00C05CBA">
        <w:rPr>
          <w:rStyle w:val="Emphasis"/>
          <w:rFonts w:cs="Calibri"/>
          <w:highlight w:val="green"/>
        </w:rPr>
        <w:t>vaccines</w:t>
      </w:r>
      <w:r w:rsidRPr="00C05CBA">
        <w:rPr>
          <w:rFonts w:cs="Calibri"/>
          <w:sz w:val="16"/>
        </w:rPr>
        <w:t xml:space="preserve">. The waivers could be </w:t>
      </w:r>
      <w:r w:rsidRPr="00C05CBA">
        <w:rPr>
          <w:rFonts w:cs="Calibri"/>
          <w:highlight w:val="green"/>
          <w:u w:val="single"/>
        </w:rPr>
        <w:t xml:space="preserve">limited </w:t>
      </w:r>
      <w:r w:rsidRPr="00C05CBA">
        <w:rPr>
          <w:rFonts w:cs="Calibri"/>
          <w:u w:val="single"/>
        </w:rPr>
        <w:t xml:space="preserve">in time </w:t>
      </w:r>
      <w:r w:rsidRPr="00C05CBA">
        <w:rPr>
          <w:rFonts w:cs="Calibri"/>
          <w:highlight w:val="green"/>
          <w:u w:val="single"/>
        </w:rPr>
        <w:t>to</w:t>
      </w:r>
      <w:r w:rsidRPr="00C05CBA">
        <w:rPr>
          <w:rFonts w:cs="Calibri"/>
          <w:u w:val="single"/>
        </w:rPr>
        <w:t xml:space="preserve"> the </w:t>
      </w:r>
      <w:r w:rsidRPr="00C05CBA">
        <w:rPr>
          <w:rStyle w:val="Emphasis"/>
          <w:rFonts w:cs="Calibri"/>
        </w:rPr>
        <w:t xml:space="preserve">duration of </w:t>
      </w:r>
      <w:r w:rsidRPr="00C05CBA">
        <w:rPr>
          <w:rStyle w:val="Emphasis"/>
          <w:rFonts w:cs="Calibri"/>
          <w:highlight w:val="green"/>
        </w:rPr>
        <w:t>the pandemic</w:t>
      </w:r>
      <w:r w:rsidRPr="00C05CBA">
        <w:rPr>
          <w:rFonts w:cs="Calibri"/>
          <w:u w:val="single"/>
        </w:rPr>
        <w:t>, or another term agreed to by the WTO</w:t>
      </w:r>
      <w:r w:rsidRPr="00C05CBA">
        <w:rPr>
          <w:rFonts w:cs="Calibri"/>
          <w:sz w:val="16"/>
        </w:rPr>
        <w:t xml:space="preserve">. The term could also be defined as </w:t>
      </w:r>
      <w:r w:rsidRPr="00C05CBA">
        <w:rPr>
          <w:rFonts w:cs="Calibri"/>
          <w:highlight w:val="green"/>
          <w:u w:val="single"/>
        </w:rPr>
        <w:t>ending when</w:t>
      </w:r>
      <w:r w:rsidRPr="00C05CBA">
        <w:rPr>
          <w:rFonts w:cs="Calibri"/>
          <w:u w:val="single"/>
        </w:rPr>
        <w:t xml:space="preserve"> widespread </w:t>
      </w:r>
      <w:r w:rsidRPr="00C05CBA">
        <w:rPr>
          <w:rFonts w:cs="Calibri"/>
          <w:highlight w:val="green"/>
          <w:u w:val="single"/>
        </w:rPr>
        <w:t xml:space="preserve">vaccination and immunity </w:t>
      </w:r>
      <w:r w:rsidRPr="00C05CBA">
        <w:rPr>
          <w:rFonts w:cs="Calibri"/>
          <w:u w:val="single"/>
        </w:rPr>
        <w:t xml:space="preserve">goals are </w:t>
      </w:r>
      <w:r w:rsidRPr="00C05CBA">
        <w:rPr>
          <w:rFonts w:cs="Calibri"/>
          <w:highlight w:val="green"/>
          <w:u w:val="single"/>
        </w:rPr>
        <w:t>achieved</w:t>
      </w:r>
      <w:r w:rsidRPr="00C05CBA">
        <w:rPr>
          <w:rFonts w:cs="Calibri"/>
          <w:u w:val="single"/>
        </w:rPr>
        <w:t xml:space="preserve">. The incentive for pharmaceutical companies to support such limited IP waivers could be provided in the </w:t>
      </w:r>
      <w:r w:rsidRPr="00C05CBA">
        <w:rPr>
          <w:rStyle w:val="Emphasis"/>
          <w:rFonts w:cs="Calibri"/>
        </w:rPr>
        <w:t xml:space="preserve">form of </w:t>
      </w:r>
      <w:r w:rsidRPr="00C05CBA">
        <w:rPr>
          <w:rStyle w:val="Emphasis"/>
          <w:rFonts w:cs="Calibri"/>
          <w:highlight w:val="green"/>
        </w:rPr>
        <w:t>patent term extensio</w:t>
      </w:r>
      <w:r w:rsidRPr="00C05CBA">
        <w:rPr>
          <w:rStyle w:val="Emphasis"/>
          <w:rFonts w:cs="Calibri"/>
        </w:rPr>
        <w:t>ns for the technology covered by the limited IP waivers.</w:t>
      </w:r>
    </w:p>
    <w:p w14:paraId="2C81DCAE" w14:textId="77777777" w:rsidR="00700D41" w:rsidRPr="00C05CBA" w:rsidRDefault="00700D41" w:rsidP="00700D41">
      <w:pPr>
        <w:spacing w:after="40" w:line="276" w:lineRule="auto"/>
        <w:rPr>
          <w:rFonts w:cs="Calibri"/>
          <w:sz w:val="16"/>
        </w:rPr>
      </w:pPr>
      <w:r w:rsidRPr="00C05CBA">
        <w:rPr>
          <w:rFonts w:cs="Calibri"/>
          <w:sz w:val="16"/>
        </w:rPr>
        <w:t xml:space="preserve">Extensions of patent term are already known and widely used. In the U.S., </w:t>
      </w:r>
      <w:r w:rsidRPr="00C05CBA">
        <w:rPr>
          <w:rFonts w:cs="Calibri"/>
          <w:u w:val="single"/>
        </w:rPr>
        <w:t xml:space="preserve">patent term adjustments are </w:t>
      </w:r>
      <w:r w:rsidRPr="00C05CBA">
        <w:rPr>
          <w:rStyle w:val="Emphasis"/>
          <w:rFonts w:cs="Calibri"/>
        </w:rPr>
        <w:t xml:space="preserve">automatically </w:t>
      </w:r>
      <w:r w:rsidRPr="00C05CBA">
        <w:rPr>
          <w:rStyle w:val="Emphasis"/>
          <w:rFonts w:cs="Calibri"/>
          <w:highlight w:val="green"/>
        </w:rPr>
        <w:t>added</w:t>
      </w:r>
      <w:r w:rsidRPr="00C05CBA">
        <w:rPr>
          <w:rStyle w:val="Emphasis"/>
          <w:rFonts w:cs="Calibri"/>
        </w:rPr>
        <w:t xml:space="preserve"> on </w:t>
      </w:r>
      <w:r w:rsidRPr="00C05CBA">
        <w:rPr>
          <w:rStyle w:val="Emphasis"/>
          <w:rFonts w:cs="Calibri"/>
          <w:highlight w:val="green"/>
        </w:rPr>
        <w:t xml:space="preserve">to </w:t>
      </w:r>
      <w:r w:rsidRPr="00C05CBA">
        <w:rPr>
          <w:rStyle w:val="Emphasis"/>
          <w:rFonts w:cs="Calibri"/>
        </w:rPr>
        <w:t xml:space="preserve">the </w:t>
      </w:r>
      <w:r w:rsidRPr="00C05CBA">
        <w:rPr>
          <w:rStyle w:val="Emphasis"/>
          <w:rFonts w:cs="Calibri"/>
          <w:highlight w:val="green"/>
        </w:rPr>
        <w:t>patent lifespan</w:t>
      </w:r>
      <w:r w:rsidRPr="00C05CBA">
        <w:rPr>
          <w:rFonts w:cs="Calibri"/>
          <w:highlight w:val="green"/>
          <w:u w:val="single"/>
        </w:rPr>
        <w:t xml:space="preserve"> </w:t>
      </w:r>
      <w:r w:rsidRPr="00C05CBA">
        <w:rPr>
          <w:rFonts w:cs="Calibri"/>
          <w:u w:val="single"/>
        </w:rPr>
        <w:t>to account for any delays by the USPTO in the patent prosecution process</w:t>
      </w:r>
      <w:r w:rsidRPr="00C05CBA">
        <w:rPr>
          <w:rFonts w:cs="Calibri"/>
          <w:sz w:val="16"/>
        </w:rPr>
        <w:t xml:space="preserve">. In some cases, these mechanisms may extend the patent term for years. Patent term extensions also are available for regulatory delays (35 U.S.C. § 156). In particular, </w:t>
      </w:r>
      <w:r w:rsidRPr="00C05CBA">
        <w:rPr>
          <w:rFonts w:cs="Calibri"/>
          <w:u w:val="single"/>
        </w:rPr>
        <w:t xml:space="preserve">patents covering, </w:t>
      </w:r>
      <w:r w:rsidRPr="00C05CBA">
        <w:rPr>
          <w:rStyle w:val="Emphasis"/>
          <w:rFonts w:cs="Calibri"/>
        </w:rPr>
        <w:t>inter alia, drug products approved by the United States Food &amp; Drug Administration may be eligible for up to five years</w:t>
      </w:r>
      <w:r w:rsidRPr="00C05CBA">
        <w:rPr>
          <w:rFonts w:cs="Calibri"/>
          <w:u w:val="single"/>
        </w:rPr>
        <w:t xml:space="preserve"> of additional patent term to give back time</w:t>
      </w:r>
      <w:r w:rsidRPr="00C05CBA">
        <w:rPr>
          <w:rFonts w:cs="Calibri"/>
          <w:sz w:val="16"/>
        </w:rPr>
        <w:t xml:space="preserve"> required to complete the regulatory review process. Both </w:t>
      </w:r>
      <w:r w:rsidRPr="00C05CBA">
        <w:rPr>
          <w:rFonts w:cs="Calibri"/>
          <w:u w:val="single"/>
        </w:rPr>
        <w:t xml:space="preserve">patent term adjustments and patent term extensions arise from activities beyond the control of the pharmaceutical companies. A pandemic patent term extension fashioned after such known extensions could be made </w:t>
      </w:r>
      <w:r w:rsidRPr="00C05CBA">
        <w:rPr>
          <w:rStyle w:val="Emphasis"/>
          <w:rFonts w:cs="Calibri"/>
        </w:rPr>
        <w:t xml:space="preserve">used to </w:t>
      </w:r>
      <w:r w:rsidRPr="00C05CBA">
        <w:rPr>
          <w:rStyle w:val="Emphasis"/>
          <w:rFonts w:cs="Calibri"/>
          <w:highlight w:val="green"/>
        </w:rPr>
        <w:t>compensate</w:t>
      </w:r>
      <w:r w:rsidRPr="00C05CBA">
        <w:rPr>
          <w:rFonts w:cs="Calibri"/>
          <w:sz w:val="16"/>
        </w:rPr>
        <w:t xml:space="preserve"> for the current pressing global health needs.</w:t>
      </w:r>
    </w:p>
    <w:p w14:paraId="0CFBB84F" w14:textId="77777777" w:rsidR="00700D41" w:rsidRPr="00C05CBA" w:rsidRDefault="00700D41" w:rsidP="00700D41">
      <w:pPr>
        <w:spacing w:after="40" w:line="276" w:lineRule="auto"/>
        <w:rPr>
          <w:rFonts w:cs="Calibri"/>
          <w:sz w:val="16"/>
        </w:rPr>
      </w:pPr>
      <w:r w:rsidRPr="00C05CBA">
        <w:rPr>
          <w:rFonts w:cs="Calibri"/>
          <w:sz w:val="16"/>
        </w:rPr>
        <w:t xml:space="preserve">This </w:t>
      </w:r>
      <w:r w:rsidRPr="00C05CBA">
        <w:rPr>
          <w:rFonts w:cs="Calibri"/>
          <w:u w:val="single"/>
        </w:rPr>
        <w:t xml:space="preserve">third proposal </w:t>
      </w:r>
      <w:r w:rsidRPr="00C05CBA">
        <w:rPr>
          <w:rStyle w:val="Emphasis"/>
          <w:rFonts w:cs="Calibri"/>
        </w:rPr>
        <w:t xml:space="preserve">may be </w:t>
      </w:r>
      <w:r w:rsidRPr="00C05CBA">
        <w:rPr>
          <w:rStyle w:val="Emphasis"/>
          <w:rFonts w:cs="Calibri"/>
          <w:highlight w:val="green"/>
        </w:rPr>
        <w:t>achievable at the WTO</w:t>
      </w:r>
      <w:r w:rsidRPr="00C05CBA">
        <w:rPr>
          <w:rFonts w:cs="Calibri"/>
          <w:u w:val="single"/>
        </w:rPr>
        <w:t>.</w:t>
      </w:r>
      <w:r w:rsidRPr="00C05CBA">
        <w:rPr>
          <w:rFonts w:cs="Calibri"/>
          <w:sz w:val="16"/>
        </w:rPr>
        <w:t xml:space="preserve"> Hurdles remain and it could be months or years before the WTO reaches an agreement on any waiver of IP protections, and years before countries build factories, gather materials, and gain the expertise to produce the vaccines. </w:t>
      </w:r>
      <w:r w:rsidRPr="00C05CBA">
        <w:rPr>
          <w:rFonts w:cs="Calibri"/>
          <w:u w:val="single"/>
        </w:rPr>
        <w:t xml:space="preserve">A </w:t>
      </w:r>
      <w:r w:rsidRPr="00C05CBA">
        <w:rPr>
          <w:rStyle w:val="Emphasis"/>
          <w:rFonts w:cs="Calibri"/>
        </w:rPr>
        <w:t>steep hurdle</w:t>
      </w:r>
      <w:r w:rsidRPr="00C05CBA">
        <w:rPr>
          <w:rFonts w:cs="Calibri"/>
          <w:u w:val="single"/>
        </w:rPr>
        <w:t xml:space="preserve"> is that </w:t>
      </w:r>
      <w:r w:rsidRPr="00C05CBA">
        <w:rPr>
          <w:rStyle w:val="Emphasis"/>
          <w:rFonts w:cs="Calibri"/>
        </w:rPr>
        <w:t>mRNA is a new technology</w:t>
      </w:r>
      <w:r w:rsidRPr="00C05CBA">
        <w:rPr>
          <w:rFonts w:cs="Calibri"/>
          <w:u w:val="single"/>
        </w:rPr>
        <w:t xml:space="preserve">, with </w:t>
      </w:r>
      <w:r w:rsidRPr="00C05CBA">
        <w:rPr>
          <w:rStyle w:val="Emphasis"/>
          <w:rFonts w:cs="Calibri"/>
        </w:rPr>
        <w:t>no machines or experts</w:t>
      </w:r>
      <w:r w:rsidRPr="00C05CBA">
        <w:rPr>
          <w:rFonts w:cs="Calibri"/>
          <w:u w:val="single"/>
        </w:rPr>
        <w:t xml:space="preserve"> for hire. Nonetheless, </w:t>
      </w:r>
      <w:r w:rsidRPr="00C05CBA">
        <w:rPr>
          <w:rStyle w:val="Emphasis"/>
          <w:rFonts w:cs="Calibri"/>
        </w:rPr>
        <w:t>the third solution offers hope</w:t>
      </w:r>
      <w:r w:rsidRPr="00C05CBA">
        <w:rPr>
          <w:rFonts w:cs="Calibri"/>
          <w:u w:val="single"/>
        </w:rPr>
        <w:t xml:space="preserve"> to find a middle ground that may begin to be implemented before the end of the current pandemic</w:t>
      </w:r>
      <w:r w:rsidRPr="00C05CBA">
        <w:rPr>
          <w:rFonts w:cs="Calibri"/>
          <w:sz w:val="16"/>
        </w:rPr>
        <w:t xml:space="preserve"> and be in place for the future.</w:t>
      </w:r>
    </w:p>
    <w:p w14:paraId="2FDA71E9" w14:textId="77777777" w:rsidR="00700D41" w:rsidRPr="00C05CBA" w:rsidRDefault="00700D41" w:rsidP="00700D41">
      <w:pPr>
        <w:spacing w:after="40" w:line="276" w:lineRule="auto"/>
        <w:rPr>
          <w:rFonts w:cs="Calibri"/>
          <w:sz w:val="16"/>
        </w:rPr>
      </w:pPr>
      <w:r w:rsidRPr="00C05CBA">
        <w:rPr>
          <w:rFonts w:cs="Calibri"/>
          <w:u w:val="single"/>
        </w:rPr>
        <w:t>The patent term extension could be provided for countries with patent offices and could be adapted based on laws and conditions in each country. Pandemic-related patent term extensions</w:t>
      </w:r>
      <w:r w:rsidRPr="00C05CBA">
        <w:rPr>
          <w:rFonts w:cs="Calibri"/>
          <w:sz w:val="16"/>
        </w:rPr>
        <w:t xml:space="preserve"> could be given for a period of time that the compulsory license is in force. With </w:t>
      </w:r>
      <w:r w:rsidRPr="00C05CBA">
        <w:rPr>
          <w:rStyle w:val="Emphasis"/>
          <w:rFonts w:cs="Calibri"/>
        </w:rPr>
        <w:t>current pandemic projections of six months to two years</w:t>
      </w:r>
      <w:r w:rsidRPr="00C05CBA">
        <w:rPr>
          <w:rFonts w:cs="Calibri"/>
          <w:u w:val="single"/>
        </w:rPr>
        <w:t xml:space="preserve"> for sufficient distribution, providing a </w:t>
      </w:r>
      <w:r w:rsidRPr="00C05CBA">
        <w:rPr>
          <w:rStyle w:val="Emphasis"/>
          <w:rFonts w:cs="Calibri"/>
        </w:rPr>
        <w:t>patent term extension is reasonable</w:t>
      </w:r>
      <w:r w:rsidRPr="00C05CBA">
        <w:rPr>
          <w:rFonts w:cs="Calibri"/>
          <w:u w:val="single"/>
        </w:rPr>
        <w:t xml:space="preserve"> and </w:t>
      </w:r>
      <w:r w:rsidRPr="00C05CBA">
        <w:rPr>
          <w:rStyle w:val="Emphasis"/>
          <w:rFonts w:cs="Calibri"/>
        </w:rPr>
        <w:t>in line</w:t>
      </w:r>
      <w:r w:rsidRPr="00C05CBA">
        <w:rPr>
          <w:rFonts w:cs="Calibri"/>
          <w:u w:val="single"/>
        </w:rPr>
        <w:t xml:space="preserve"> with the time period of many patent term extensions</w:t>
      </w:r>
      <w:r w:rsidRPr="00C05CBA">
        <w:rPr>
          <w:rFonts w:cs="Calibri"/>
          <w:sz w:val="16"/>
        </w:rPr>
        <w:t>. Given that most pharmaceutical patents are prosecuted in multiple countries, this provides an incentive to participate in a limited waiver program.</w:t>
      </w:r>
    </w:p>
    <w:p w14:paraId="6A50CEDC" w14:textId="77777777" w:rsidR="00700D41" w:rsidRPr="00C05CBA" w:rsidRDefault="00700D41" w:rsidP="00700D41">
      <w:pPr>
        <w:spacing w:after="40" w:line="276" w:lineRule="auto"/>
        <w:rPr>
          <w:rFonts w:cs="Calibri"/>
          <w:sz w:val="16"/>
        </w:rPr>
      </w:pPr>
      <w:r w:rsidRPr="00C05CBA">
        <w:rPr>
          <w:rFonts w:cs="Calibri"/>
          <w:sz w:val="16"/>
        </w:rPr>
        <w:t>Let’s Not Repeat Past Mistakes</w:t>
      </w:r>
    </w:p>
    <w:p w14:paraId="391CB83F" w14:textId="77777777" w:rsidR="00700D41" w:rsidRPr="00C05CBA" w:rsidRDefault="00700D41" w:rsidP="00700D41">
      <w:pPr>
        <w:spacing w:after="40" w:line="276" w:lineRule="auto"/>
        <w:rPr>
          <w:rFonts w:cs="Calibri"/>
          <w:sz w:val="16"/>
        </w:rPr>
      </w:pPr>
      <w:r w:rsidRPr="00C05CBA">
        <w:rPr>
          <w:rFonts w:cs="Calibri"/>
          <w:sz w:val="16"/>
        </w:rPr>
        <w:t xml:space="preserve">It’s been a century since the last pandemic devastated the globe and the only certainty is that this will not be the last pandemic. </w:t>
      </w:r>
      <w:r w:rsidRPr="00C05CBA">
        <w:rPr>
          <w:rFonts w:cs="Calibri"/>
          <w:highlight w:val="green"/>
          <w:u w:val="single"/>
        </w:rPr>
        <w:t>Solutions</w:t>
      </w:r>
      <w:r w:rsidRPr="00C05CBA">
        <w:rPr>
          <w:rFonts w:cs="Calibri"/>
          <w:u w:val="single"/>
        </w:rPr>
        <w:t xml:space="preserve"> created today lay a </w:t>
      </w:r>
      <w:r w:rsidRPr="00C05CBA">
        <w:rPr>
          <w:rStyle w:val="Emphasis"/>
          <w:rFonts w:cs="Calibri"/>
        </w:rPr>
        <w:t xml:space="preserve">foundation for </w:t>
      </w:r>
      <w:r w:rsidRPr="00C05CBA">
        <w:rPr>
          <w:rStyle w:val="Emphasis"/>
          <w:rFonts w:cs="Calibri"/>
          <w:highlight w:val="green"/>
        </w:rPr>
        <w:t>mitigation of</w:t>
      </w:r>
      <w:r w:rsidRPr="00C05CBA">
        <w:rPr>
          <w:rStyle w:val="Emphasis"/>
          <w:rFonts w:cs="Calibri"/>
        </w:rPr>
        <w:t xml:space="preserve"> the </w:t>
      </w:r>
      <w:r w:rsidRPr="00C05CBA">
        <w:rPr>
          <w:rStyle w:val="Emphasis"/>
          <w:rFonts w:cs="Calibri"/>
          <w:highlight w:val="green"/>
        </w:rPr>
        <w:t>next pandemic</w:t>
      </w:r>
      <w:r w:rsidRPr="00C05CBA">
        <w:rPr>
          <w:rFonts w:cs="Calibri"/>
          <w:sz w:val="16"/>
        </w:rPr>
        <w:t xml:space="preserve">. It’s been said that those who refuse to learn from history are doomed to repeat it, a thought too painful to contemplate with a pandemic. </w:t>
      </w:r>
      <w:r w:rsidRPr="00C05CBA">
        <w:rPr>
          <w:rFonts w:cs="Calibri"/>
          <w:u w:val="single"/>
        </w:rPr>
        <w:t xml:space="preserve">The </w:t>
      </w:r>
      <w:r w:rsidRPr="00C05CBA">
        <w:rPr>
          <w:rStyle w:val="Emphasis"/>
          <w:rFonts w:cs="Calibri"/>
        </w:rPr>
        <w:t>industrial</w:t>
      </w:r>
      <w:r w:rsidRPr="00C05CBA">
        <w:rPr>
          <w:rFonts w:cs="Calibri"/>
          <w:u w:val="single"/>
        </w:rPr>
        <w:t xml:space="preserve"> </w:t>
      </w:r>
      <w:r w:rsidRPr="00C05CBA">
        <w:rPr>
          <w:rStyle w:val="Emphasis"/>
          <w:rFonts w:cs="Calibri"/>
        </w:rPr>
        <w:t>nations</w:t>
      </w:r>
      <w:r w:rsidRPr="00C05CBA">
        <w:rPr>
          <w:rFonts w:cs="Calibri"/>
          <w:u w:val="single"/>
        </w:rPr>
        <w:t xml:space="preserve"> of the world have technology that others are literally </w:t>
      </w:r>
      <w:r w:rsidRPr="00C05CBA">
        <w:rPr>
          <w:rStyle w:val="Emphasis"/>
          <w:rFonts w:cs="Calibri"/>
        </w:rPr>
        <w:t>dying</w:t>
      </w:r>
      <w:r w:rsidRPr="00C05CBA">
        <w:rPr>
          <w:rFonts w:cs="Calibri"/>
          <w:u w:val="single"/>
        </w:rPr>
        <w:t xml:space="preserve"> to obtain—a high price to pay. Incentivized </w:t>
      </w:r>
      <w:r w:rsidRPr="00C05CBA">
        <w:rPr>
          <w:rFonts w:cs="Calibri"/>
          <w:highlight w:val="green"/>
          <w:u w:val="single"/>
        </w:rPr>
        <w:t>limited IP waivers</w:t>
      </w:r>
      <w:r w:rsidRPr="00C05CBA">
        <w:rPr>
          <w:rFonts w:cs="Calibri"/>
          <w:u w:val="single"/>
        </w:rPr>
        <w:t xml:space="preserve"> may offer a compromise to </w:t>
      </w:r>
      <w:r w:rsidRPr="00C05CBA">
        <w:rPr>
          <w:rStyle w:val="Emphasis"/>
          <w:rFonts w:cs="Calibri"/>
          <w:highlight w:val="green"/>
        </w:rPr>
        <w:t>bridge the gap</w:t>
      </w:r>
      <w:r w:rsidRPr="00C05CBA">
        <w:rPr>
          <w:rStyle w:val="Emphasis"/>
          <w:rFonts w:cs="Calibri"/>
        </w:rPr>
        <w:t xml:space="preserve"> between maintaining IP rights</w:t>
      </w:r>
      <w:r w:rsidRPr="00C05CBA">
        <w:rPr>
          <w:rFonts w:cs="Calibri"/>
          <w:sz w:val="16"/>
        </w:rPr>
        <w:t xml:space="preserve"> (and thus relying on charity alone) and arbitrary compulsory licensing that could deter the technological investment to create life-saving solutions in the future.</w:t>
      </w:r>
    </w:p>
    <w:p w14:paraId="1DD51910" w14:textId="77777777" w:rsidR="00700D41" w:rsidRPr="00C05CBA" w:rsidRDefault="00700D41" w:rsidP="00700D41">
      <w:pPr>
        <w:pStyle w:val="Heading3"/>
        <w:spacing w:before="0" w:after="40" w:line="276" w:lineRule="auto"/>
        <w:rPr>
          <w:rFonts w:cs="Calibri"/>
        </w:rPr>
      </w:pPr>
      <w:r w:rsidRPr="00C05CBA">
        <w:rPr>
          <w:rFonts w:cs="Calibri"/>
        </w:rPr>
        <w:t>Offense</w:t>
      </w:r>
    </w:p>
    <w:p w14:paraId="132F3BEE" w14:textId="77777777" w:rsidR="00700D41" w:rsidRPr="00C05CBA" w:rsidRDefault="00700D41" w:rsidP="00700D41">
      <w:pPr>
        <w:pStyle w:val="Heading4"/>
        <w:spacing w:before="0" w:after="40" w:line="276" w:lineRule="auto"/>
        <w:rPr>
          <w:rFonts w:cs="Calibri"/>
        </w:rPr>
      </w:pPr>
      <w:r w:rsidRPr="00C05CBA">
        <w:rPr>
          <w:rFonts w:cs="Calibri"/>
        </w:rPr>
        <w:t>[1] IPP unjustifiably restricts agents from setting and pursuing ends in healthcare because patents prevent people from taking part in scientific advancements in medicine – that violates freedom in multiple ways</w:t>
      </w:r>
    </w:p>
    <w:p w14:paraId="161AC705" w14:textId="77777777" w:rsidR="00700D41" w:rsidRPr="00C05CBA" w:rsidRDefault="00700D41" w:rsidP="00700D41">
      <w:pPr>
        <w:spacing w:after="40" w:line="276" w:lineRule="auto"/>
        <w:rPr>
          <w:rFonts w:eastAsia="Times New Roman" w:cs="Calibri"/>
          <w:sz w:val="24"/>
        </w:rPr>
      </w:pPr>
      <w:r w:rsidRPr="00C05CBA">
        <w:rPr>
          <w:rFonts w:eastAsia="Times New Roman" w:cs="Calibri"/>
          <w:b/>
          <w:bCs/>
          <w:sz w:val="26"/>
          <w:szCs w:val="26"/>
        </w:rPr>
        <w:t>Hale 18</w:t>
      </w:r>
      <w:r w:rsidRPr="00C05CBA">
        <w:rPr>
          <w:rFonts w:eastAsia="Times New Roman" w:cs="Calibri"/>
        </w:rPr>
        <w:t> </w:t>
      </w:r>
      <w:r w:rsidRPr="00407F4B">
        <w:rPr>
          <w:rFonts w:eastAsia="Times New Roman" w:cs="Calibri"/>
          <w:sz w:val="16"/>
          <w:szCs w:val="16"/>
        </w:rPr>
        <w:t xml:space="preserve">(Zachary Hale, 4-4-2018, accessed on 8-22-2021, The Arkansas Journal of Social Change and Public Service, "Patently Unfair: The Tensions Between Human Rights and Intellectual Property Protection - The Arkansas Journal of Social Change and Public Service", </w:t>
      </w:r>
      <w:hyperlink r:id="rId10" w:history="1">
        <w:r w:rsidRPr="00407F4B">
          <w:rPr>
            <w:rStyle w:val="Hyperlink"/>
            <w:rFonts w:eastAsia="Times New Roman" w:cs="Calibri"/>
            <w:sz w:val="16"/>
            <w:szCs w:val="16"/>
          </w:rPr>
          <w:t>https://ualr.edu/socialchange/2018/04/04/patently-unfair/</w:t>
        </w:r>
      </w:hyperlink>
      <w:r w:rsidRPr="00407F4B">
        <w:rPr>
          <w:rFonts w:eastAsia="Times New Roman" w:cs="Calibri"/>
          <w:sz w:val="16"/>
          <w:szCs w:val="16"/>
        </w:rPr>
        <w:t>) BHHS AK</w:t>
      </w:r>
    </w:p>
    <w:p w14:paraId="1C51CF14" w14:textId="77777777" w:rsidR="00700D41" w:rsidRPr="00C05CBA" w:rsidRDefault="00700D41" w:rsidP="00700D41">
      <w:pPr>
        <w:spacing w:after="40" w:line="276" w:lineRule="auto"/>
        <w:rPr>
          <w:rFonts w:cs="Calibri"/>
        </w:rPr>
      </w:pPr>
      <w:r w:rsidRPr="00C05CBA">
        <w:rPr>
          <w:rFonts w:cs="Calibri"/>
        </w:rPr>
        <w:t>Although the right to the protection of “moral and material interests resulting from any scientific, literary, or artistic production</w:t>
      </w:r>
      <w:proofErr w:type="gramStart"/>
      <w:r w:rsidRPr="00C05CBA">
        <w:rPr>
          <w:rFonts w:cs="Calibri"/>
        </w:rPr>
        <w:t>,”[</w:t>
      </w:r>
      <w:proofErr w:type="gramEnd"/>
      <w:r w:rsidRPr="00C05CBA">
        <w:rPr>
          <w:rFonts w:cs="Calibri"/>
        </w:rPr>
        <w:t xml:space="preserve">32] is a human right as defined in the UDHR and the ICESCR, </w:t>
      </w:r>
      <w:r w:rsidRPr="00C05CBA">
        <w:rPr>
          <w:rFonts w:cs="Calibri"/>
          <w:u w:val="single"/>
        </w:rPr>
        <w:t xml:space="preserve">the current system of </w:t>
      </w:r>
      <w:r w:rsidRPr="00C05CBA">
        <w:rPr>
          <w:rFonts w:cs="Calibri"/>
          <w:highlight w:val="green"/>
          <w:u w:val="single"/>
        </w:rPr>
        <w:t>intellectual property protection</w:t>
      </w:r>
      <w:r w:rsidRPr="00C05CBA">
        <w:rPr>
          <w:rFonts w:cs="Calibri"/>
          <w:u w:val="single"/>
        </w:rPr>
        <w:t xml:space="preserve"> conflicts with and even </w:t>
      </w:r>
      <w:r w:rsidRPr="00C05CBA">
        <w:rPr>
          <w:rFonts w:cs="Calibri"/>
          <w:highlight w:val="green"/>
          <w:u w:val="single"/>
        </w:rPr>
        <w:t>violates</w:t>
      </w:r>
      <w:r w:rsidRPr="00C05CBA">
        <w:rPr>
          <w:rFonts w:cs="Calibri"/>
          <w:u w:val="single"/>
        </w:rPr>
        <w:t xml:space="preserve"> rights that are considered to be fundamental to human life. Although intellectual property instruments are certainly used to violate essential </w:t>
      </w:r>
      <w:r w:rsidRPr="00C05CBA">
        <w:rPr>
          <w:rFonts w:cs="Calibri"/>
          <w:highlight w:val="green"/>
          <w:u w:val="single"/>
        </w:rPr>
        <w:t>civil and political freedom</w:t>
      </w:r>
      <w:r w:rsidRPr="00C05CBA">
        <w:rPr>
          <w:rFonts w:cs="Calibri"/>
          <w:u w:val="single"/>
        </w:rPr>
        <w:t xml:space="preserve">s like the freedom </w:t>
      </w:r>
      <w:r w:rsidRPr="00C05CBA">
        <w:rPr>
          <w:rFonts w:cs="Calibri"/>
          <w:highlight w:val="green"/>
          <w:u w:val="single"/>
        </w:rPr>
        <w:t>of expression</w:t>
      </w:r>
      <w:r w:rsidRPr="00C05CBA">
        <w:rPr>
          <w:rFonts w:cs="Calibri"/>
          <w:u w:val="single"/>
        </w:rPr>
        <w:t xml:space="preserve">, and </w:t>
      </w:r>
      <w:r w:rsidRPr="00C05CBA">
        <w:rPr>
          <w:rFonts w:cs="Calibri"/>
          <w:highlight w:val="green"/>
          <w:u w:val="single"/>
        </w:rPr>
        <w:t>economic</w:t>
      </w:r>
      <w:r w:rsidRPr="00C05CBA">
        <w:rPr>
          <w:rFonts w:cs="Calibri"/>
          <w:u w:val="single"/>
        </w:rPr>
        <w:t xml:space="preserve"> and social </w:t>
      </w:r>
      <w:r w:rsidRPr="00C05CBA">
        <w:rPr>
          <w:rFonts w:cs="Calibri"/>
          <w:highlight w:val="green"/>
          <w:u w:val="single"/>
        </w:rPr>
        <w:t>freedom</w:t>
      </w:r>
      <w:r w:rsidRPr="00C05CBA">
        <w:rPr>
          <w:rFonts w:cs="Calibri"/>
          <w:u w:val="single"/>
        </w:rPr>
        <w:t xml:space="preserve">s like the </w:t>
      </w:r>
      <w:r w:rsidRPr="00C05CBA">
        <w:rPr>
          <w:rFonts w:cs="Calibri"/>
          <w:highlight w:val="green"/>
          <w:u w:val="single"/>
        </w:rPr>
        <w:t>freedom to share in the scientific advancements</w:t>
      </w:r>
      <w:r w:rsidRPr="00C05CBA">
        <w:rPr>
          <w:rFonts w:cs="Calibri"/>
          <w:u w:val="single"/>
        </w:rPr>
        <w:t xml:space="preserve"> of society, </w:t>
      </w:r>
      <w:r w:rsidRPr="00C05CBA">
        <w:rPr>
          <w:rFonts w:cs="Calibri"/>
          <w:highlight w:val="green"/>
          <w:u w:val="single"/>
        </w:rPr>
        <w:t>the most blatant violations</w:t>
      </w:r>
      <w:r w:rsidRPr="00C05CBA">
        <w:rPr>
          <w:rFonts w:cs="Calibri"/>
          <w:u w:val="single"/>
        </w:rPr>
        <w:t xml:space="preserve"> of human rights caused </w:t>
      </w:r>
      <w:r w:rsidRPr="00C05CBA">
        <w:rPr>
          <w:rFonts w:cs="Calibri"/>
          <w:highlight w:val="green"/>
          <w:u w:val="single"/>
        </w:rPr>
        <w:t>by intellectual property protection occur in</w:t>
      </w:r>
      <w:r w:rsidRPr="00C05CBA">
        <w:rPr>
          <w:rFonts w:cs="Calibri"/>
          <w:u w:val="single"/>
        </w:rPr>
        <w:t xml:space="preserve"> the fields of nutrition, </w:t>
      </w:r>
      <w:r w:rsidRPr="00C05CBA">
        <w:rPr>
          <w:rFonts w:cs="Calibri"/>
          <w:highlight w:val="green"/>
          <w:u w:val="single"/>
        </w:rPr>
        <w:t>healthcare</w:t>
      </w:r>
      <w:r w:rsidRPr="00C05CBA">
        <w:rPr>
          <w:rFonts w:cs="Calibri"/>
          <w:u w:val="single"/>
        </w:rPr>
        <w:t>, a</w:t>
      </w:r>
      <w:r w:rsidRPr="00C05CBA">
        <w:rPr>
          <w:rStyle w:val="StyleUnderline"/>
          <w:rFonts w:cs="Calibri"/>
        </w:rPr>
        <w:t>nd culture.[33] Of these essential entitlements, the rights to food and health are made even more significant by their relationship to the most fundamental of all human rights: the right to life.</w:t>
      </w:r>
    </w:p>
    <w:p w14:paraId="0981F7F4" w14:textId="77777777" w:rsidR="00700D41" w:rsidRPr="00C05CBA" w:rsidRDefault="00700D41" w:rsidP="00700D41">
      <w:pPr>
        <w:spacing w:after="40" w:line="276" w:lineRule="auto"/>
        <w:rPr>
          <w:rFonts w:cs="Calibri"/>
        </w:rPr>
      </w:pPr>
    </w:p>
    <w:p w14:paraId="5A11FC45" w14:textId="77777777" w:rsidR="00700D41" w:rsidRPr="00C05CBA" w:rsidRDefault="00700D41" w:rsidP="00700D41">
      <w:pPr>
        <w:pStyle w:val="Heading4"/>
        <w:spacing w:before="0" w:after="40" w:line="276" w:lineRule="auto"/>
        <w:rPr>
          <w:rFonts w:cs="Calibri"/>
          <w:sz w:val="24"/>
        </w:rPr>
      </w:pPr>
      <w:r w:rsidRPr="00C05CBA">
        <w:rPr>
          <w:rFonts w:cs="Calibri"/>
        </w:rPr>
        <w:t>[2] IPP is inconsistent with free market principles</w:t>
      </w:r>
    </w:p>
    <w:p w14:paraId="7F07B87B" w14:textId="77777777" w:rsidR="00700D41" w:rsidRPr="00C05CBA" w:rsidRDefault="00700D41" w:rsidP="00700D41">
      <w:pPr>
        <w:pStyle w:val="NormalWeb"/>
        <w:spacing w:before="0" w:beforeAutospacing="0" w:after="40" w:afterAutospacing="0" w:line="276" w:lineRule="auto"/>
        <w:rPr>
          <w:rFonts w:cs="Calibri"/>
        </w:rPr>
      </w:pPr>
      <w:r w:rsidRPr="00C05CBA">
        <w:rPr>
          <w:rFonts w:cs="Calibri"/>
          <w:b/>
          <w:bCs/>
          <w:sz w:val="26"/>
          <w:szCs w:val="26"/>
        </w:rPr>
        <w:t>Kinsella 11</w:t>
      </w:r>
      <w:r w:rsidRPr="00407F4B">
        <w:rPr>
          <w:rFonts w:cs="Calibri"/>
          <w:sz w:val="16"/>
          <w:szCs w:val="16"/>
        </w:rPr>
        <w:t xml:space="preserve"> (Stephan Kinsella, 5-25-2011, accessed on 8-23-2021, Foundation for Economic Education, "How Intellectual Property Hampers the Free Market | N. Stephan Kinsella", </w:t>
      </w:r>
      <w:hyperlink r:id="rId11" w:history="1">
        <w:r w:rsidRPr="00407F4B">
          <w:rPr>
            <w:rStyle w:val="Hyperlink"/>
            <w:rFonts w:cs="Calibri"/>
            <w:sz w:val="16"/>
            <w:szCs w:val="16"/>
          </w:rPr>
          <w:t>https://fee.org/articles/how-intellectual-property-hampers-the-free-market/</w:t>
        </w:r>
      </w:hyperlink>
      <w:r w:rsidRPr="00407F4B">
        <w:rPr>
          <w:rFonts w:cs="Calibri"/>
          <w:sz w:val="16"/>
          <w:szCs w:val="16"/>
        </w:rPr>
        <w:t>) BHHS AK</w:t>
      </w:r>
    </w:p>
    <w:p w14:paraId="663D4995" w14:textId="77777777" w:rsidR="00700D41" w:rsidRPr="0090548D" w:rsidRDefault="00700D41" w:rsidP="00700D41">
      <w:pPr>
        <w:spacing w:after="40" w:line="276" w:lineRule="auto"/>
        <w:rPr>
          <w:rFonts w:asciiTheme="majorHAnsi" w:hAnsiTheme="majorHAnsi" w:cs="Calibri"/>
          <w:b/>
          <w:u w:val="single"/>
        </w:rPr>
      </w:pPr>
      <w:r w:rsidRPr="00C05CBA">
        <w:rPr>
          <w:rFonts w:cs="Calibri"/>
          <w:sz w:val="16"/>
        </w:rPr>
        <w:t xml:space="preserve">But are they? </w:t>
      </w:r>
      <w:r w:rsidRPr="00C05CBA">
        <w:rPr>
          <w:rStyle w:val="StyleUnderline"/>
          <w:rFonts w:cs="Calibri"/>
        </w:rPr>
        <w:t xml:space="preserve">There are good reasons to think that </w:t>
      </w:r>
      <w:r w:rsidRPr="00C05CBA">
        <w:rPr>
          <w:rStyle w:val="StyleUnderline"/>
          <w:rFonts w:cs="Calibri"/>
          <w:highlight w:val="green"/>
        </w:rPr>
        <w:t>IP is not</w:t>
      </w:r>
      <w:r w:rsidRPr="00C05CBA">
        <w:rPr>
          <w:rStyle w:val="StyleUnderline"/>
          <w:rFonts w:cs="Calibri"/>
        </w:rPr>
        <w:t xml:space="preserve"> actually </w:t>
      </w:r>
      <w:r w:rsidRPr="00C05CBA">
        <w:rPr>
          <w:rStyle w:val="StyleUnderline"/>
          <w:rFonts w:cs="Calibri"/>
          <w:highlight w:val="green"/>
        </w:rPr>
        <w:t>property</w:t>
      </w:r>
      <w:r w:rsidRPr="00C05CBA">
        <w:rPr>
          <w:rStyle w:val="StyleUnderline"/>
          <w:rFonts w:cs="Calibri"/>
        </w:rPr>
        <w:t xml:space="preserve">—that </w:t>
      </w:r>
      <w:r w:rsidRPr="00C05CBA">
        <w:rPr>
          <w:rStyle w:val="StyleUnderline"/>
          <w:rFonts w:cs="Calibri"/>
          <w:highlight w:val="green"/>
        </w:rPr>
        <w:t>it is</w:t>
      </w:r>
      <w:r w:rsidRPr="00C05CBA">
        <w:rPr>
          <w:rStyle w:val="StyleUnderline"/>
          <w:rFonts w:cs="Calibri"/>
        </w:rPr>
        <w:t xml:space="preserve"> actually </w:t>
      </w:r>
      <w:r w:rsidRPr="00C05CBA">
        <w:rPr>
          <w:rStyle w:val="StyleUnderline"/>
          <w:rFonts w:cs="Calibri"/>
          <w:highlight w:val="green"/>
        </w:rPr>
        <w:t>antithetical</w:t>
      </w:r>
      <w:r w:rsidRPr="00C05CBA">
        <w:rPr>
          <w:rStyle w:val="StyleUnderline"/>
          <w:rFonts w:cs="Calibri"/>
        </w:rPr>
        <w:t xml:space="preserve"> </w:t>
      </w:r>
      <w:r w:rsidRPr="00C05CBA">
        <w:rPr>
          <w:rStyle w:val="StyleUnderline"/>
          <w:rFonts w:cs="Calibri"/>
          <w:highlight w:val="green"/>
        </w:rPr>
        <w:t>to a</w:t>
      </w:r>
      <w:r w:rsidRPr="00C05CBA">
        <w:rPr>
          <w:rStyle w:val="StyleUnderline"/>
          <w:rFonts w:cs="Calibri"/>
        </w:rPr>
        <w:t xml:space="preserve"> private-property, </w:t>
      </w:r>
      <w:r w:rsidRPr="00C05CBA">
        <w:rPr>
          <w:rStyle w:val="StyleUnderline"/>
          <w:rFonts w:cs="Calibri"/>
          <w:highlight w:val="green"/>
        </w:rPr>
        <w:t>free-market</w:t>
      </w:r>
      <w:r w:rsidRPr="00C05CBA">
        <w:rPr>
          <w:rStyle w:val="StyleUnderline"/>
          <w:rFonts w:cs="Calibri"/>
        </w:rPr>
        <w:t xml:space="preserve"> order.</w:t>
      </w:r>
      <w:r w:rsidRPr="00C05CBA">
        <w:rPr>
          <w:rFonts w:cs="Calibri"/>
          <w:sz w:val="16"/>
        </w:rPr>
        <w:t xml:space="preserve"> </w:t>
      </w:r>
      <w:r w:rsidRPr="00C05CBA">
        <w:rPr>
          <w:rFonts w:cs="Calibri"/>
          <w:sz w:val="8"/>
          <w:szCs w:val="8"/>
        </w:rPr>
        <w:t xml:space="preserve">By intellectual property, I mean primarily patent and copyright. It’s important to understand the origins of these concepts. As law professor Eric E. Johnson notes, “The monopolies now understood as copyrights and patents were originally created by royal decree, bestowed as a form of favoritism and control. As the power of the monarchy dwindled, these chartered monopolies were reformed, and essentially by default, they wound up in the hands of authors and inventors.” Patents were exclusive monopolies to sell various goods and services for a limited time. The word patent, historian Patricia Seed explains, comes from the Latin </w:t>
      </w:r>
      <w:proofErr w:type="spellStart"/>
      <w:r w:rsidRPr="00C05CBA">
        <w:rPr>
          <w:rFonts w:cs="Calibri"/>
          <w:sz w:val="8"/>
          <w:szCs w:val="8"/>
        </w:rPr>
        <w:t>patente</w:t>
      </w:r>
      <w:proofErr w:type="spellEnd"/>
      <w:r w:rsidRPr="00C05CBA">
        <w:rPr>
          <w:rFonts w:cs="Calibri"/>
          <w:sz w:val="8"/>
          <w:szCs w:val="8"/>
        </w:rPr>
        <w:t>, signifying open letters. Patents were “open letters” granted by the monarch authorizing someone to do something—to be, say, the only person to sell a certain good in a certain area, to homestead land in the New World on behalf of the crown, and so on. It’s interesting that many defenders of IP—such as patent lawyers and even some libertarians—get indignant if you call patents or copyright a monopoly. “It’s not a monopoly; it’s a property right,” they say. “If it’s a monopoly then your use of your car is a monopoly.” But patents are State grants of monopoly privilege. One of the first patent statutes was England’s Statute of Monopolies of 1624, a good example of truth in labeling. Granting patents was a way for the State to raise money without having to impose a tax. Dispensing them also helped secure the loyalty of favorites. The patentee in return received protection from competition. This was great for the State and the patentee but not for competition or the consumer. In today’s system we’ve democratized and institutionalized intellectual property. Now anyone can apply. You don’t have to go to the king or be his buddy. You can just go to the patent office. But the same thing happens. Some companies apply for patents just to keep the wolves at bay. After all, if you don’t have patents someone might sue you or reinvent and patent the same ideas you are using. If you have a patent arsenal, others are afraid to sue you.</w:t>
      </w:r>
      <w:r w:rsidRPr="00C05CBA">
        <w:rPr>
          <w:rFonts w:cs="Calibri"/>
          <w:sz w:val="16"/>
        </w:rPr>
        <w:t xml:space="preserve"> </w:t>
      </w:r>
      <w:r w:rsidRPr="00C05CBA">
        <w:rPr>
          <w:rStyle w:val="StyleUnderline"/>
          <w:rFonts w:cs="Calibri"/>
        </w:rPr>
        <w:t xml:space="preserve">So </w:t>
      </w:r>
      <w:r w:rsidRPr="00C05CBA">
        <w:rPr>
          <w:rStyle w:val="StyleUnderline"/>
          <w:rFonts w:cs="Calibri"/>
          <w:highlight w:val="green"/>
        </w:rPr>
        <w:t>companies</w:t>
      </w:r>
      <w:r w:rsidRPr="00C05CBA">
        <w:rPr>
          <w:rStyle w:val="StyleUnderline"/>
          <w:rFonts w:cs="Calibri"/>
        </w:rPr>
        <w:t xml:space="preserve"> spend millions of dollars to </w:t>
      </w:r>
      <w:r w:rsidRPr="00C05CBA">
        <w:rPr>
          <w:rStyle w:val="StyleUnderline"/>
          <w:rFonts w:cs="Calibri"/>
          <w:highlight w:val="green"/>
        </w:rPr>
        <w:t>obtain patents for defensive purposes.</w:t>
      </w:r>
      <w:r w:rsidRPr="00C05CBA">
        <w:rPr>
          <w:rStyle w:val="StyleUnderline"/>
          <w:rFonts w:cs="Calibri"/>
        </w:rPr>
        <w:t xml:space="preserve"> </w:t>
      </w:r>
      <w:r w:rsidRPr="00C05CBA">
        <w:rPr>
          <w:rFonts w:cs="Calibri"/>
          <w:sz w:val="16"/>
        </w:rPr>
        <w:t xml:space="preserve">Large companies rattle their sabers or sue each other, then make a deal, say, to cross-license their patents to each other. That’s fine for them because they have protection from each other’s competition. But what does it do to smaller companies? They don’t have big patent arsenals or a credible countersuit threat. </w:t>
      </w:r>
      <w:r w:rsidRPr="00C05CBA">
        <w:rPr>
          <w:rStyle w:val="StyleUnderline"/>
          <w:rFonts w:cs="Calibri"/>
        </w:rPr>
        <w:t xml:space="preserve">So </w:t>
      </w:r>
      <w:r w:rsidRPr="00C05CBA">
        <w:rPr>
          <w:rStyle w:val="StyleUnderline"/>
          <w:rFonts w:cs="Calibri"/>
          <w:highlight w:val="green"/>
        </w:rPr>
        <w:t>patents amount to a barrier to entry</w:t>
      </w:r>
      <w:r w:rsidRPr="00C05CBA">
        <w:rPr>
          <w:rStyle w:val="StyleUnderline"/>
          <w:rFonts w:cs="Calibri"/>
        </w:rPr>
        <w:t>, the modern version of mercantilist protectionism</w:t>
      </w:r>
      <w:r w:rsidRPr="00C05CBA">
        <w:rPr>
          <w:rFonts w:cs="Calibri"/>
          <w:sz w:val="16"/>
        </w:rPr>
        <w:t xml:space="preserve">. </w:t>
      </w:r>
      <w:r w:rsidRPr="00C05CBA">
        <w:rPr>
          <w:rFonts w:cs="Calibri"/>
          <w:sz w:val="8"/>
          <w:szCs w:val="8"/>
        </w:rPr>
        <w:t xml:space="preserve">What about copyright? The roots literally lie in censorship. It was easy for State and church to control thought by controlling the scribes, but then the printing press came along, and the authorities worried that they couldn’t control official thought as easily. So Queen Mary created the Stationer’s Company in 1557, with the exclusive franchise over book publishing, to control the press and what information the people could access. When the charter of the Stationer’s Company expired, the publishers lobbied for an extension, but in the Statute of Anne (1710) Parliament gave copyright to authors instead. Authors liked this because it freed their works from State control. Nowadays they use copyright much as the State originally did: to censor and ban books. (More below.) IP, American Style </w:t>
      </w:r>
      <w:proofErr w:type="gramStart"/>
      <w:r w:rsidRPr="00C05CBA">
        <w:rPr>
          <w:rFonts w:cs="Calibri"/>
          <w:sz w:val="8"/>
          <w:szCs w:val="8"/>
        </w:rPr>
        <w:t>The</w:t>
      </w:r>
      <w:proofErr w:type="gramEnd"/>
      <w:r w:rsidRPr="00C05CBA">
        <w:rPr>
          <w:rFonts w:cs="Calibri"/>
          <w:sz w:val="8"/>
          <w:szCs w:val="8"/>
        </w:rPr>
        <w:t xml:space="preserve"> American system of IP began with the U.S. Constitution. Article 1, Section 8, Clause 8 authorizes (but doesn’t require) Congress “To promote the Progress of Science and useful Arts, by securing for limited Times to Authors and Inventors the exclusive Right to their respective Writings and Discoveries.” Despite modern IP proponents’ claims to the contrary, the American founders did not view intellectual property as a natural right but only as a policy tool to encourage innovation. Yet they were nervous about monopoly privilege, which is why patents and copyrights were authorized only for a limited time. Even John Locke, whose thought influenced the Founding Fathers, did not view copyright and patent as natural rights. Nor did he maintain that property homesteading applied to ideas. It applied only to scarce physical resources. Granted, some state constitutions had little versions of copyright before the American Constitution. (See Tom W. Bell, Intellectual Privilege: Copyright, Common Law, and the Common Good, part 1, chapter 3, section B.1.) On occasion, the language of natural rights was used to defend it, but this was just cover for the monopolies they granted to special interests. Natural rights do not expire after 15 years. Natural rights are not extended to Americans only. Natural rights wouldn’t exclude many types of innovation and intellectual creativity and cover only a few arbitrary types. And what is the result of this system?</w:t>
      </w:r>
      <w:r w:rsidRPr="00C05CBA">
        <w:rPr>
          <w:rFonts w:cs="Calibri"/>
          <w:sz w:val="16"/>
        </w:rPr>
        <w:t xml:space="preserve"> </w:t>
      </w:r>
      <w:r w:rsidRPr="00C05CBA">
        <w:rPr>
          <w:rStyle w:val="StyleUnderline"/>
          <w:rFonts w:cs="Calibri"/>
        </w:rPr>
        <w:t xml:space="preserve">In the case of </w:t>
      </w:r>
      <w:proofErr w:type="gramStart"/>
      <w:r w:rsidRPr="00C05CBA">
        <w:rPr>
          <w:rStyle w:val="StyleUnderline"/>
          <w:rFonts w:cs="Calibri"/>
        </w:rPr>
        <w:t>patents</w:t>
      </w:r>
      <w:proofErr w:type="gramEnd"/>
      <w:r w:rsidRPr="00C05CBA">
        <w:rPr>
          <w:rStyle w:val="StyleUnderline"/>
          <w:rFonts w:cs="Calibri"/>
        </w:rPr>
        <w:t xml:space="preserve"> we have a modern statute administered by a huge </w:t>
      </w:r>
      <w:r w:rsidRPr="00C05CBA">
        <w:rPr>
          <w:rStyle w:val="StyleUnderline"/>
          <w:rFonts w:cs="Calibri"/>
          <w:highlight w:val="green"/>
        </w:rPr>
        <w:t>federal bureaucracy</w:t>
      </w:r>
      <w:r w:rsidRPr="00C05CBA">
        <w:rPr>
          <w:rStyle w:val="StyleUnderline"/>
          <w:rFonts w:cs="Calibri"/>
        </w:rPr>
        <w:t xml:space="preserve"> that </w:t>
      </w:r>
      <w:r w:rsidRPr="00C05CBA">
        <w:rPr>
          <w:rStyle w:val="StyleUnderline"/>
          <w:rFonts w:cs="Calibri"/>
          <w:highlight w:val="green"/>
        </w:rPr>
        <w:t>grants monopolies</w:t>
      </w:r>
      <w:r w:rsidRPr="00C05CBA">
        <w:rPr>
          <w:rStyle w:val="StyleUnderline"/>
          <w:rFonts w:cs="Calibri"/>
        </w:rPr>
        <w:t xml:space="preserve"> on the production and trade of various things, which means </w:t>
      </w:r>
      <w:r w:rsidRPr="00C05CBA">
        <w:rPr>
          <w:rStyle w:val="StyleUnderline"/>
          <w:rFonts w:cs="Calibri"/>
          <w:highlight w:val="green"/>
        </w:rPr>
        <w:t>holders may</w:t>
      </w:r>
      <w:r w:rsidRPr="00C05CBA">
        <w:rPr>
          <w:rStyle w:val="StyleUnderline"/>
          <w:rFonts w:cs="Calibri"/>
        </w:rPr>
        <w:t xml:space="preserve"> ask the federal courts to </w:t>
      </w:r>
      <w:r w:rsidRPr="00C05CBA">
        <w:rPr>
          <w:rStyle w:val="StyleUnderline"/>
          <w:rFonts w:cs="Calibri"/>
          <w:highlight w:val="green"/>
        </w:rPr>
        <w:t>order the use of force to stop competitors</w:t>
      </w:r>
      <w:r w:rsidRPr="00C05CBA">
        <w:rPr>
          <w:rStyle w:val="StyleUnderline"/>
          <w:rFonts w:cs="Calibri"/>
        </w:rPr>
        <w:t xml:space="preserve">. But </w:t>
      </w:r>
      <w:r w:rsidRPr="00C05CBA">
        <w:rPr>
          <w:rStyle w:val="StyleUnderline"/>
          <w:rFonts w:cs="Calibri"/>
          <w:highlight w:val="green"/>
        </w:rPr>
        <w:t>the competitors have not done anything</w:t>
      </w:r>
      <w:r w:rsidRPr="00C05CBA">
        <w:rPr>
          <w:rStyle w:val="StyleUnderline"/>
          <w:rFonts w:cs="Calibri"/>
        </w:rPr>
        <w:t xml:space="preserve"> that justifies force. They merely have used information to guide their actions with respect to their own property. Is that compatible with private property and the free market?</w:t>
      </w:r>
    </w:p>
    <w:p w14:paraId="583CBF8E" w14:textId="77777777" w:rsidR="00700D41" w:rsidRPr="00C05CBA" w:rsidRDefault="00700D41" w:rsidP="00700D41">
      <w:pPr>
        <w:pStyle w:val="Heading4"/>
        <w:spacing w:before="0" w:after="40" w:line="276" w:lineRule="auto"/>
        <w:rPr>
          <w:rFonts w:cs="Calibri"/>
        </w:rPr>
      </w:pPr>
      <w:r w:rsidRPr="00C05CBA">
        <w:rPr>
          <w:rFonts w:cs="Calibri"/>
        </w:rPr>
        <w:t>That affirms: Free market economies are the only ones that allow people to be free to pursue their own interests.</w:t>
      </w:r>
    </w:p>
    <w:p w14:paraId="2D8D900A" w14:textId="77777777" w:rsidR="00700D41" w:rsidRPr="00C05CBA" w:rsidRDefault="00700D41" w:rsidP="00700D41">
      <w:pPr>
        <w:spacing w:after="40" w:line="276" w:lineRule="auto"/>
        <w:rPr>
          <w:rFonts w:cs="Calibri"/>
        </w:rPr>
      </w:pPr>
      <w:r w:rsidRPr="00C05CBA">
        <w:rPr>
          <w:rFonts w:cs="Calibri"/>
          <w:b/>
          <w:bCs/>
          <w:sz w:val="26"/>
          <w:szCs w:val="26"/>
        </w:rPr>
        <w:t>Richman 12</w:t>
      </w:r>
      <w:r w:rsidRPr="00C05CBA">
        <w:rPr>
          <w:rFonts w:cs="Calibri"/>
        </w:rPr>
        <w:t xml:space="preserve"> [Sheldon Richman, 8-5-2012, "The Free Market Doesn't Need Government Regulation," Reason, </w:t>
      </w:r>
      <w:hyperlink r:id="rId12" w:history="1">
        <w:r w:rsidRPr="00C05CBA">
          <w:rPr>
            <w:rStyle w:val="Hyperlink"/>
            <w:rFonts w:cs="Calibri"/>
          </w:rPr>
          <w:t>https://reason.com/2012/08/05/the-free-market-doesnt-need-government-r/</w:t>
        </w:r>
      </w:hyperlink>
      <w:r w:rsidRPr="00C05CBA">
        <w:rPr>
          <w:rFonts w:cs="Calibri"/>
        </w:rPr>
        <w:t>] // SJ AME</w:t>
      </w:r>
    </w:p>
    <w:p w14:paraId="2ADBA73A" w14:textId="77777777" w:rsidR="00700D41" w:rsidRPr="00C05CBA" w:rsidRDefault="00700D41" w:rsidP="00700D41">
      <w:pPr>
        <w:spacing w:after="40" w:line="276" w:lineRule="auto"/>
        <w:rPr>
          <w:rFonts w:cs="Calibri"/>
          <w:sz w:val="16"/>
        </w:rPr>
      </w:pPr>
      <w:r w:rsidRPr="00C05CBA">
        <w:rPr>
          <w:rFonts w:cs="Calibri"/>
          <w:sz w:val="16"/>
        </w:rPr>
        <w:t>What regulates the conduct of these people? Market forces. (I keep specifying "in a freed market" because in a state-regulated economy, competitive market forces are diminished or suppressed.) Economically speaking, people cannot do whatever they want—and get away with it—</w:t>
      </w:r>
      <w:r w:rsidRPr="00C05CBA">
        <w:rPr>
          <w:rFonts w:cs="Calibri"/>
          <w:highlight w:val="green"/>
          <w:u w:val="single"/>
        </w:rPr>
        <w:t>in a free</w:t>
      </w:r>
      <w:r w:rsidRPr="00C05CBA">
        <w:rPr>
          <w:rFonts w:cs="Calibri"/>
          <w:u w:val="single"/>
        </w:rPr>
        <w:t xml:space="preserve">d </w:t>
      </w:r>
      <w:r w:rsidRPr="00C05CBA">
        <w:rPr>
          <w:rFonts w:cs="Calibri"/>
          <w:highlight w:val="green"/>
          <w:u w:val="single"/>
        </w:rPr>
        <w:t>market</w:t>
      </w:r>
      <w:r w:rsidRPr="00C05CBA">
        <w:rPr>
          <w:rFonts w:cs="Calibri"/>
          <w:sz w:val="16"/>
        </w:rPr>
        <w:t xml:space="preserve"> because other </w:t>
      </w:r>
      <w:r w:rsidRPr="00C05CBA">
        <w:rPr>
          <w:rFonts w:cs="Calibri"/>
          <w:highlight w:val="green"/>
          <w:u w:val="single"/>
        </w:rPr>
        <w:t>people are free</w:t>
      </w:r>
      <w:r w:rsidRPr="00C05CBA">
        <w:rPr>
          <w:rFonts w:cs="Calibri"/>
          <w:u w:val="single"/>
        </w:rPr>
        <w:t xml:space="preserve"> </w:t>
      </w:r>
      <w:r w:rsidRPr="00C05CBA">
        <w:rPr>
          <w:rFonts w:cs="Calibri"/>
          <w:highlight w:val="green"/>
          <w:u w:val="single"/>
        </w:rPr>
        <w:t>to counteract them and it's in their interest to do so</w:t>
      </w:r>
      <w:r w:rsidRPr="00C05CBA">
        <w:rPr>
          <w:rFonts w:cs="Calibri"/>
          <w:u w:val="single"/>
        </w:rPr>
        <w:t xml:space="preserve">. </w:t>
      </w:r>
      <w:r w:rsidRPr="00C05CBA">
        <w:rPr>
          <w:rFonts w:cs="Calibri"/>
          <w:sz w:val="16"/>
        </w:rPr>
        <w:t xml:space="preserve">That's part of what we mean by market forces. Just because the government doesn't stop a seller from charging $100 for an apple doesn't mean he or she can get that amount. Market forces regulate the seller as strictly as any bureaucrat could—even more so, because a bureaucrat can be bribed. Whom would you have to bribe to win an exemption from the law of supply and demand? (Well, you might bribe enough legislators to obtain protection from competition, but that would constitute an abrogation of the market.) It is no matter of indifference whether state operatives or market forces do the regulating. </w:t>
      </w:r>
      <w:r w:rsidRPr="00C05CBA">
        <w:rPr>
          <w:rFonts w:cs="Calibri"/>
          <w:highlight w:val="green"/>
          <w:u w:val="single"/>
        </w:rPr>
        <w:t>Bureaucrats</w:t>
      </w:r>
      <w:r w:rsidRPr="00C05CBA">
        <w:rPr>
          <w:rFonts w:cs="Calibri"/>
          <w:sz w:val="16"/>
        </w:rPr>
        <w:t xml:space="preserve">, who necessarily have limited knowledge and perverse incentives, </w:t>
      </w:r>
      <w:r w:rsidRPr="00C05CBA">
        <w:rPr>
          <w:rFonts w:cs="Calibri"/>
          <w:highlight w:val="green"/>
          <w:u w:val="single"/>
        </w:rPr>
        <w:t>regulate by threat of physical force</w:t>
      </w:r>
      <w:r w:rsidRPr="00C05CBA">
        <w:rPr>
          <w:rFonts w:cs="Calibri"/>
          <w:u w:val="single"/>
        </w:rPr>
        <w:t>.</w:t>
      </w:r>
      <w:r w:rsidRPr="00C05CBA">
        <w:rPr>
          <w:rFonts w:cs="Calibri"/>
          <w:sz w:val="16"/>
        </w:rPr>
        <w:t xml:space="preserve"> </w:t>
      </w:r>
      <w:r w:rsidRPr="00C05CBA">
        <w:rPr>
          <w:rFonts w:cs="Calibri"/>
          <w:u w:val="single"/>
        </w:rPr>
        <w:t xml:space="preserve">In contrast, </w:t>
      </w:r>
      <w:r w:rsidRPr="00C05CBA">
        <w:rPr>
          <w:rFonts w:cs="Calibri"/>
          <w:highlight w:val="green"/>
          <w:u w:val="single"/>
        </w:rPr>
        <w:t>market forces operate peacefully through millions of cooperating participants</w:t>
      </w:r>
      <w:r w:rsidRPr="00C05CBA">
        <w:rPr>
          <w:rFonts w:cs="Calibri"/>
          <w:u w:val="single"/>
        </w:rPr>
        <w:t>, each with intimate knowledge of her own personal circumstances and looking out for her own well-being</w:t>
      </w:r>
      <w:r w:rsidRPr="00C05CBA">
        <w:rPr>
          <w:rFonts w:cs="Calibri"/>
          <w:sz w:val="16"/>
        </w:rPr>
        <w:t xml:space="preserve">. </w:t>
      </w:r>
      <w:r w:rsidRPr="00C05CBA">
        <w:rPr>
          <w:rFonts w:cs="Calibri"/>
          <w:highlight w:val="green"/>
          <w:u w:val="single"/>
        </w:rPr>
        <w:t>Bureaucratic regulation</w:t>
      </w:r>
      <w:r w:rsidRPr="00C05CBA">
        <w:rPr>
          <w:rFonts w:cs="Calibri"/>
          <w:u w:val="single"/>
        </w:rPr>
        <w:t xml:space="preserve"> </w:t>
      </w:r>
      <w:r w:rsidRPr="00C05CBA">
        <w:rPr>
          <w:rFonts w:cs="Calibri"/>
          <w:highlight w:val="green"/>
          <w:u w:val="single"/>
        </w:rPr>
        <w:t>is</w:t>
      </w:r>
      <w:r w:rsidRPr="00C05CBA">
        <w:rPr>
          <w:rFonts w:cs="Calibri"/>
          <w:sz w:val="16"/>
        </w:rPr>
        <w:t xml:space="preserve"> likely to be </w:t>
      </w:r>
      <w:r w:rsidRPr="00C05CBA">
        <w:rPr>
          <w:rFonts w:cs="Calibri"/>
          <w:highlight w:val="green"/>
          <w:u w:val="single"/>
        </w:rPr>
        <w:t>irrelevant</w:t>
      </w:r>
      <w:r w:rsidRPr="00C05CBA">
        <w:rPr>
          <w:rFonts w:cs="Calibri"/>
          <w:sz w:val="16"/>
        </w:rPr>
        <w:t xml:space="preserve"> or (more likely) </w:t>
      </w:r>
      <w:r w:rsidRPr="00C05CBA">
        <w:rPr>
          <w:rFonts w:cs="Calibri"/>
          <w:u w:val="single"/>
        </w:rPr>
        <w:t xml:space="preserve">inimical </w:t>
      </w:r>
      <w:r w:rsidRPr="00C05CBA">
        <w:rPr>
          <w:rFonts w:cs="Calibri"/>
          <w:highlight w:val="green"/>
          <w:u w:val="single"/>
        </w:rPr>
        <w:t>to what people in the market care about</w:t>
      </w:r>
      <w:r w:rsidRPr="00C05CBA">
        <w:rPr>
          <w:rFonts w:cs="Calibri"/>
          <w:sz w:val="16"/>
        </w:rPr>
        <w:t>. Not so regulation by market forces.</w:t>
      </w:r>
    </w:p>
    <w:p w14:paraId="47AB1C82" w14:textId="77777777" w:rsidR="00700D41" w:rsidRPr="00C05CBA" w:rsidRDefault="00700D41" w:rsidP="00700D41">
      <w:pPr>
        <w:spacing w:after="40" w:line="276" w:lineRule="auto"/>
        <w:rPr>
          <w:rFonts w:cs="Calibri"/>
        </w:rPr>
      </w:pPr>
    </w:p>
    <w:p w14:paraId="0A718929" w14:textId="3DDA7252" w:rsidR="00700D41" w:rsidRDefault="00700D41" w:rsidP="00700D41">
      <w:pPr>
        <w:pStyle w:val="Heading4"/>
        <w:spacing w:before="0" w:after="40" w:line="276" w:lineRule="auto"/>
        <w:rPr>
          <w:rFonts w:cs="Calibri"/>
        </w:rPr>
      </w:pPr>
      <w:r w:rsidRPr="00C05CBA">
        <w:rPr>
          <w:rFonts w:cs="Calibri"/>
        </w:rPr>
        <w:t xml:space="preserve">[3] IPP is </w:t>
      </w:r>
      <w:proofErr w:type="spellStart"/>
      <w:r w:rsidRPr="00C05CBA">
        <w:rPr>
          <w:rFonts w:cs="Calibri"/>
        </w:rPr>
        <w:t>nonuniversalizable</w:t>
      </w:r>
      <w:proofErr w:type="spellEnd"/>
      <w:r w:rsidRPr="00C05CBA">
        <w:rPr>
          <w:rFonts w:cs="Calibri"/>
        </w:rPr>
        <w:t xml:space="preserve"> – universalizing the act of restricting the production of a certain medicine terminates in a contradiction because it entails that you restrict your own ability to produce the medicine</w:t>
      </w:r>
    </w:p>
    <w:p w14:paraId="1453FD95" w14:textId="2F9C4122" w:rsidR="00AD55E4" w:rsidRDefault="00AD55E4" w:rsidP="00AD55E4">
      <w:pPr>
        <w:pStyle w:val="Heading4"/>
        <w:rPr>
          <w:rFonts w:cs="Calibri"/>
        </w:rPr>
      </w:pPr>
      <w:r>
        <w:t>[4</w:t>
      </w:r>
      <w:r>
        <w:t xml:space="preserve">] </w:t>
      </w:r>
      <w:r>
        <w:rPr>
          <w:rFonts w:cs="Calibri"/>
        </w:rPr>
        <w:t>The categorical imperative rejects the idea of intellectual property as it suppresses freedom by preventing others from innovating and suppressing speech in the name of a copyright.</w:t>
      </w:r>
    </w:p>
    <w:p w14:paraId="75340BCD" w14:textId="77777777" w:rsidR="00AD55E4" w:rsidRDefault="00AD55E4" w:rsidP="00AD55E4">
      <w:proofErr w:type="spellStart"/>
      <w:r>
        <w:rPr>
          <w:rStyle w:val="Style13ptBold"/>
        </w:rPr>
        <w:t>Pievatolo</w:t>
      </w:r>
      <w:proofErr w:type="spellEnd"/>
      <w:r>
        <w:rPr>
          <w:rStyle w:val="Style13ptBold"/>
        </w:rPr>
        <w:t xml:space="preserve"> 10</w:t>
      </w:r>
      <w:r>
        <w:t xml:space="preserve"> </w:t>
      </w:r>
      <w:proofErr w:type="spellStart"/>
      <w:r>
        <w:t>Pievatolo</w:t>
      </w:r>
      <w:proofErr w:type="spellEnd"/>
      <w:r>
        <w:t>, Maria. “Freedom, Ownership and Copyright: Why Does Kant Reject the Concept of Intellectual Property?” </w:t>
      </w:r>
      <w:r>
        <w:rPr>
          <w:i/>
          <w:iCs/>
        </w:rPr>
        <w:t xml:space="preserve">Freedom, Ownership and Copyright: Why Does Kant Reject the Concept of Intellectual </w:t>
      </w:r>
      <w:proofErr w:type="gramStart"/>
      <w:r>
        <w:rPr>
          <w:i/>
          <w:iCs/>
        </w:rPr>
        <w:t>Property?</w:t>
      </w:r>
      <w:r>
        <w:t>,</w:t>
      </w:r>
      <w:proofErr w:type="gramEnd"/>
      <w:r>
        <w:t xml:space="preserve"> 7 Feb. 2010, bfp.sp.unipi.it/</w:t>
      </w:r>
      <w:proofErr w:type="spellStart"/>
      <w:r>
        <w:t>chiara</w:t>
      </w:r>
      <w:proofErr w:type="spellEnd"/>
      <w:r>
        <w:t>/lm/kantpisa1.html. SJEP // Re-Cut Justin</w:t>
      </w:r>
    </w:p>
    <w:p w14:paraId="68B5BB67" w14:textId="77777777" w:rsidR="00AD55E4" w:rsidRDefault="00AD55E4" w:rsidP="00AD55E4">
      <w:r>
        <w:rPr>
          <w:rStyle w:val="Emphasis"/>
        </w:rPr>
        <w:t xml:space="preserve">In the Metaphysics of Morals, Kant seems to take for granted that the objects of real rights are only corporeal entities or res </w:t>
      </w:r>
      <w:proofErr w:type="spellStart"/>
      <w:r>
        <w:rPr>
          <w:rStyle w:val="Emphasis"/>
        </w:rPr>
        <w:t>corporales</w:t>
      </w:r>
      <w:proofErr w:type="spellEnd"/>
      <w:r>
        <w:rPr>
          <w:rStyle w:val="Emphasis"/>
        </w:rPr>
        <w:t>: «</w:t>
      </w:r>
      <w:proofErr w:type="spellStart"/>
      <w:r>
        <w:rPr>
          <w:rStyle w:val="Emphasis"/>
        </w:rPr>
        <w:t>Sache</w:t>
      </w:r>
      <w:proofErr w:type="spellEnd"/>
      <w:r>
        <w:rPr>
          <w:rStyle w:val="Emphasis"/>
        </w:rPr>
        <w:t xml:space="preserve"> </w:t>
      </w:r>
      <w:proofErr w:type="spellStart"/>
      <w:r>
        <w:rPr>
          <w:rStyle w:val="Emphasis"/>
        </w:rPr>
        <w:t>ist</w:t>
      </w:r>
      <w:proofErr w:type="spellEnd"/>
      <w:r>
        <w:rPr>
          <w:rStyle w:val="Emphasis"/>
        </w:rPr>
        <w:t xml:space="preserve"> </w:t>
      </w:r>
      <w:proofErr w:type="spellStart"/>
      <w:r>
        <w:rPr>
          <w:rStyle w:val="Emphasis"/>
        </w:rPr>
        <w:t>ein</w:t>
      </w:r>
      <w:proofErr w:type="spellEnd"/>
      <w:r>
        <w:rPr>
          <w:rStyle w:val="Emphasis"/>
        </w:rPr>
        <w:t xml:space="preserve"> Ding, was </w:t>
      </w:r>
      <w:proofErr w:type="spellStart"/>
      <w:r>
        <w:rPr>
          <w:rStyle w:val="Emphasis"/>
        </w:rPr>
        <w:t>keiner</w:t>
      </w:r>
      <w:proofErr w:type="spellEnd"/>
      <w:r>
        <w:rPr>
          <w:rStyle w:val="Emphasis"/>
        </w:rPr>
        <w:t xml:space="preserve"> </w:t>
      </w:r>
      <w:proofErr w:type="spellStart"/>
      <w:r>
        <w:rPr>
          <w:rStyle w:val="Emphasis"/>
        </w:rPr>
        <w:t>Zurechnung</w:t>
      </w:r>
      <w:proofErr w:type="spellEnd"/>
      <w:r>
        <w:rPr>
          <w:rStyle w:val="Emphasis"/>
        </w:rPr>
        <w:t xml:space="preserve"> </w:t>
      </w:r>
      <w:proofErr w:type="spellStart"/>
      <w:r>
        <w:rPr>
          <w:rStyle w:val="Emphasis"/>
        </w:rPr>
        <w:t>fähig</w:t>
      </w:r>
      <w:proofErr w:type="spellEnd"/>
      <w:r>
        <w:rPr>
          <w:rStyle w:val="Emphasis"/>
        </w:rPr>
        <w:t xml:space="preserve"> </w:t>
      </w:r>
      <w:proofErr w:type="spellStart"/>
      <w:r>
        <w:rPr>
          <w:rStyle w:val="Emphasis"/>
        </w:rPr>
        <w:t>ist</w:t>
      </w:r>
      <w:proofErr w:type="spellEnd"/>
      <w:r>
        <w:rPr>
          <w:rStyle w:val="Emphasis"/>
        </w:rPr>
        <w:t xml:space="preserve">. </w:t>
      </w:r>
      <w:proofErr w:type="spellStart"/>
      <w:r>
        <w:rPr>
          <w:rStyle w:val="Emphasis"/>
        </w:rPr>
        <w:t>Ein</w:t>
      </w:r>
      <w:proofErr w:type="spellEnd"/>
      <w:r>
        <w:rPr>
          <w:rStyle w:val="Emphasis"/>
        </w:rPr>
        <w:t xml:space="preserve"> </w:t>
      </w:r>
      <w:proofErr w:type="spellStart"/>
      <w:r>
        <w:rPr>
          <w:rStyle w:val="Emphasis"/>
        </w:rPr>
        <w:t>jedes</w:t>
      </w:r>
      <w:proofErr w:type="spellEnd"/>
      <w:r>
        <w:rPr>
          <w:rStyle w:val="Emphasis"/>
        </w:rPr>
        <w:t xml:space="preserve"> Object der </w:t>
      </w:r>
      <w:proofErr w:type="spellStart"/>
      <w:r>
        <w:rPr>
          <w:rStyle w:val="Emphasis"/>
        </w:rPr>
        <w:t>freien</w:t>
      </w:r>
      <w:proofErr w:type="spellEnd"/>
      <w:r>
        <w:rPr>
          <w:rStyle w:val="Emphasis"/>
        </w:rPr>
        <w:t xml:space="preserve"> </w:t>
      </w:r>
      <w:proofErr w:type="spellStart"/>
      <w:r>
        <w:rPr>
          <w:rStyle w:val="Emphasis"/>
        </w:rPr>
        <w:t>Willkür</w:t>
      </w:r>
      <w:proofErr w:type="spellEnd"/>
      <w:r>
        <w:rPr>
          <w:rStyle w:val="Emphasis"/>
        </w:rPr>
        <w:t xml:space="preserve">, welches </w:t>
      </w:r>
      <w:proofErr w:type="spellStart"/>
      <w:r>
        <w:rPr>
          <w:rStyle w:val="Emphasis"/>
        </w:rPr>
        <w:t>selbst</w:t>
      </w:r>
      <w:proofErr w:type="spellEnd"/>
      <w:r>
        <w:rPr>
          <w:rStyle w:val="Emphasis"/>
        </w:rPr>
        <w:t xml:space="preserve"> der </w:t>
      </w:r>
      <w:proofErr w:type="spellStart"/>
      <w:r>
        <w:rPr>
          <w:rStyle w:val="Emphasis"/>
        </w:rPr>
        <w:t>Freiheit</w:t>
      </w:r>
      <w:proofErr w:type="spellEnd"/>
      <w:r>
        <w:rPr>
          <w:rStyle w:val="Emphasis"/>
        </w:rPr>
        <w:t xml:space="preserve"> </w:t>
      </w:r>
      <w:proofErr w:type="spellStart"/>
      <w:r>
        <w:rPr>
          <w:rStyle w:val="Emphasis"/>
        </w:rPr>
        <w:t>ermangelt</w:t>
      </w:r>
      <w:proofErr w:type="spellEnd"/>
      <w:r>
        <w:rPr>
          <w:rStyle w:val="Emphasis"/>
        </w:rPr>
        <w:t xml:space="preserve">, </w:t>
      </w:r>
      <w:proofErr w:type="spellStart"/>
      <w:r>
        <w:rPr>
          <w:rStyle w:val="Emphasis"/>
        </w:rPr>
        <w:t>heiß</w:t>
      </w:r>
      <w:proofErr w:type="spellEnd"/>
      <w:r>
        <w:rPr>
          <w:rStyle w:val="Emphasis"/>
        </w:rPr>
        <w:t xml:space="preserve"> </w:t>
      </w:r>
      <w:proofErr w:type="spellStart"/>
      <w:r>
        <w:rPr>
          <w:rStyle w:val="Emphasis"/>
        </w:rPr>
        <w:t>daher</w:t>
      </w:r>
      <w:proofErr w:type="spellEnd"/>
      <w:r>
        <w:rPr>
          <w:rStyle w:val="Emphasis"/>
        </w:rPr>
        <w:t xml:space="preserve"> </w:t>
      </w:r>
      <w:proofErr w:type="spellStart"/>
      <w:r>
        <w:rPr>
          <w:rStyle w:val="Emphasis"/>
        </w:rPr>
        <w:t>Sache</w:t>
      </w:r>
      <w:proofErr w:type="spellEnd"/>
      <w:r>
        <w:rPr>
          <w:rStyle w:val="Emphasis"/>
        </w:rPr>
        <w:t xml:space="preserve"> (res </w:t>
      </w:r>
      <w:proofErr w:type="spellStart"/>
      <w:proofErr w:type="gramStart"/>
      <w:r>
        <w:rPr>
          <w:rStyle w:val="Emphasis"/>
        </w:rPr>
        <w:t>corporalis</w:t>
      </w:r>
      <w:proofErr w:type="spellEnd"/>
      <w:r>
        <w:rPr>
          <w:rStyle w:val="Emphasis"/>
        </w:rPr>
        <w:t>)»</w:t>
      </w:r>
      <w:proofErr w:type="gramEnd"/>
      <w:r>
        <w:rPr>
          <w:rStyle w:val="Emphasis"/>
        </w:rPr>
        <w:t xml:space="preserve">. </w:t>
      </w:r>
      <w:hyperlink r:id="rId13" w:anchor="ftn.id2478823" w:history="1">
        <w:r>
          <w:rPr>
            <w:rStyle w:val="Emphasis"/>
            <w:color w:val="000000"/>
          </w:rPr>
          <w:t>32</w:t>
        </w:r>
      </w:hyperlink>
      <w:r>
        <w:rPr>
          <w:rStyle w:val="Emphasis"/>
        </w:rPr>
        <w:t xml:space="preserve"> Theoretically, however, such a negative definition could have been appropriate to incorporeal things as well. According to Kant, the </w:t>
      </w:r>
      <w:r>
        <w:rPr>
          <w:rStyle w:val="Emphasis"/>
          <w:highlight w:val="green"/>
        </w:rPr>
        <w:t>rightful possession</w:t>
      </w:r>
      <w:r>
        <w:rPr>
          <w:rStyle w:val="Emphasis"/>
        </w:rPr>
        <w:t xml:space="preserve"> of a thing </w:t>
      </w:r>
      <w:r>
        <w:rPr>
          <w:rStyle w:val="Emphasis"/>
          <w:highlight w:val="green"/>
        </w:rPr>
        <w:t xml:space="preserve">should be distinguished from </w:t>
      </w:r>
      <w:r>
        <w:rPr>
          <w:rStyle w:val="Emphasis"/>
        </w:rPr>
        <w:t xml:space="preserve">its sensible </w:t>
      </w:r>
      <w:r>
        <w:rPr>
          <w:rStyle w:val="Emphasis"/>
          <w:highlight w:val="green"/>
        </w:rPr>
        <w:t>possession</w:t>
      </w:r>
      <w:r>
        <w:rPr>
          <w:rStyle w:val="Emphasis"/>
        </w:rPr>
        <w:t xml:space="preserve">. Something external would be rightfully mine «only if I may assume that </w:t>
      </w:r>
      <w:proofErr w:type="spellStart"/>
      <w:r>
        <w:rPr>
          <w:rStyle w:val="Emphasis"/>
        </w:rPr>
        <w:t>i</w:t>
      </w:r>
      <w:proofErr w:type="spellEnd"/>
      <w:r>
        <w:rPr>
          <w:rStyle w:val="Emphasis"/>
        </w:rPr>
        <w:t xml:space="preserve"> could be wronged by another's use of a thing even though I am not in possession of it» (AA.06 </w:t>
      </w:r>
      <w:hyperlink r:id="rId14" w:tgtFrame="_top" w:history="1">
        <w:r>
          <w:rPr>
            <w:rStyle w:val="Emphasis"/>
            <w:color w:val="000000"/>
          </w:rPr>
          <w:t>245:13-16</w:t>
        </w:r>
      </w:hyperlink>
      <w:r>
        <w:rPr>
          <w:rStyle w:val="Emphasis"/>
        </w:rPr>
        <w:t xml:space="preserve">). The rightful possession is </w:t>
      </w:r>
      <w:r>
        <w:rPr>
          <w:rStyle w:val="Emphasis"/>
          <w:highlight w:val="green"/>
        </w:rPr>
        <w:t>an intelligible</w:t>
      </w:r>
      <w:r>
        <w:rPr>
          <w:rStyle w:val="Emphasis"/>
        </w:rPr>
        <w:t xml:space="preserve">, not sensible, </w:t>
      </w:r>
      <w:r>
        <w:rPr>
          <w:rStyle w:val="Emphasis"/>
          <w:highlight w:val="green"/>
        </w:rPr>
        <w:t>relation</w:t>
      </w:r>
      <w:r>
        <w:rPr>
          <w:rStyle w:val="Emphasis"/>
        </w:rPr>
        <w:t xml:space="preserve">. I can claim that </w:t>
      </w:r>
      <w:r>
        <w:rPr>
          <w:rStyle w:val="Emphasis"/>
          <w:highlight w:val="green"/>
        </w:rPr>
        <w:t>my bicycle is mine</w:t>
      </w:r>
      <w:r>
        <w:rPr>
          <w:rStyle w:val="Emphasis"/>
        </w:rPr>
        <w:t xml:space="preserve"> only </w:t>
      </w:r>
      <w:r>
        <w:rPr>
          <w:rStyle w:val="Emphasis"/>
          <w:highlight w:val="green"/>
        </w:rPr>
        <w:t>if I am entitled</w:t>
      </w:r>
      <w:r>
        <w:rPr>
          <w:rStyle w:val="Emphasis"/>
        </w:rPr>
        <w:t xml:space="preserve"> </w:t>
      </w:r>
      <w:r>
        <w:rPr>
          <w:rStyle w:val="Emphasis"/>
          <w:highlight w:val="green"/>
        </w:rPr>
        <w:t>to require that nobody takes it</w:t>
      </w:r>
      <w:r>
        <w:rPr>
          <w:rStyle w:val="Emphasis"/>
        </w:rPr>
        <w:t xml:space="preserve"> even </w:t>
      </w:r>
      <w:r>
        <w:rPr>
          <w:rStyle w:val="Emphasis"/>
          <w:highlight w:val="green"/>
        </w:rPr>
        <w:t>when I leave it alone</w:t>
      </w:r>
      <w:r>
        <w:rPr>
          <w:rStyle w:val="Emphasis"/>
        </w:rPr>
        <w:t xml:space="preserve"> in the backyard. Kant's theory of property is very different from Fichte's principle of property as explained in his 1793 essay, according to which we are the rightful owners of a thing, the appropriation of which by another is physically impossible. For this reason, according to Fichte, the originality of the exposition entitles an author to claim a rightful property on his work. Is it really so obvious that originality implies property? </w:t>
      </w:r>
      <w:r>
        <w:rPr>
          <w:rStyle w:val="Emphasis"/>
          <w:highlight w:val="green"/>
        </w:rPr>
        <w:t>Property is a</w:t>
      </w:r>
      <w:r>
        <w:rPr>
          <w:rStyle w:val="Emphasis"/>
        </w:rPr>
        <w:t xml:space="preserve"> comfortable social convention that allows us to </w:t>
      </w:r>
      <w:r>
        <w:rPr>
          <w:rStyle w:val="Emphasis"/>
          <w:highlight w:val="green"/>
        </w:rPr>
        <w:t>avoid</w:t>
      </w:r>
      <w:r>
        <w:rPr>
          <w:rStyle w:val="Emphasis"/>
        </w:rPr>
        <w:t xml:space="preserve"> to </w:t>
      </w:r>
      <w:r>
        <w:rPr>
          <w:rStyle w:val="Emphasis"/>
          <w:highlight w:val="green"/>
        </w:rPr>
        <w:t>quarrel</w:t>
      </w:r>
      <w:r>
        <w:rPr>
          <w:rStyle w:val="Emphasis"/>
        </w:rPr>
        <w:t xml:space="preserve"> all the time </w:t>
      </w:r>
      <w:r>
        <w:rPr>
          <w:rStyle w:val="Emphasis"/>
          <w:highlight w:val="green"/>
        </w:rPr>
        <w:t>over</w:t>
      </w:r>
      <w:r>
        <w:rPr>
          <w:rStyle w:val="Emphasis"/>
        </w:rPr>
        <w:t xml:space="preserve"> the use of </w:t>
      </w:r>
      <w:r>
        <w:rPr>
          <w:rStyle w:val="Emphasis"/>
          <w:highlight w:val="green"/>
        </w:rPr>
        <w:t>material objects.</w:t>
      </w:r>
      <w:r>
        <w:rPr>
          <w:rStyle w:val="Emphasis"/>
        </w:rPr>
        <w:t xml:space="preserve"> It is so comfortable just because it is physically possible to appropriate things; we do not need to invoke property when something cannot be separated from someone. I say both that my fingerprints or my writing style are "mine" and that my bicycle is "mine". But these two "mine" have a different meaning: the former is the "mine" of attribution; the latter is the "mine" of property. The former can be used to identify someone, and conveys the historical circumstance that something is related exclusively to someone; the latter points only to an accidental relation with an external thing, if we consider it from a physical point of view. It is possible to lie on a historical circumstance, by plagiarizing a text, i.e. by attributing it to a person who did not wrote it. </w:t>
      </w:r>
      <w:r>
        <w:t xml:space="preserve">However, properly speaking, no one can "steal" the historical connection between "my" writing style and me: the convention of property is useless, in this case. Besides, if Fichte's principle were the only justification of property right, it would undermine the very concept of it: as it is physically possible to "attribute" my bicycle to another, when I leave it alone in the backyard, everyone would be entitled to take it for himself. As Kant would have said, a legal property right cannot be founded on sensible situations, but only on intelligible relations. Although he defines things as res </w:t>
      </w:r>
      <w:proofErr w:type="spellStart"/>
      <w:r>
        <w:t>corporales</w:t>
      </w:r>
      <w:proofErr w:type="spellEnd"/>
      <w:r>
        <w:t xml:space="preserve">, Kant determines the rightful possession of a thing as a possession without </w:t>
      </w:r>
      <w:proofErr w:type="spellStart"/>
      <w:r>
        <w:t>detentio</w:t>
      </w:r>
      <w:proofErr w:type="spellEnd"/>
      <w:r>
        <w:t xml:space="preserve">, by ignoring all its sensible facets. Such a possession - a possession of a thing without holding it - is exerted on an object that is "merely distinct from me", regardless of its position in space and time. Space and time, indeed, are sensible determinations and should be left out of consideration. According to the postulate of practical reason with regard to rights, property is justified by a permissive law of reason: </w:t>
      </w:r>
      <w:hyperlink r:id="rId15" w:anchor="ftn.id2533469" w:history="1">
        <w:r>
          <w:rPr>
            <w:rStyle w:val="Hyperlink"/>
            <w:color w:val="000000"/>
            <w:u w:val="single"/>
          </w:rPr>
          <w:t>33</w:t>
        </w:r>
      </w:hyperlink>
      <w:r>
        <w:t xml:space="preserve"> if a rightful possession were not possible, every object would be a res nullius and nobody would be entitled to use it. Kant implicitly denies that a res nullius can be used by everyone at the same time. His tacit assumption suggests that the objects of property, besides being distinct from the subjects, are excludable and </w:t>
      </w:r>
      <w:proofErr w:type="spellStart"/>
      <w:r>
        <w:t>rivalrous</w:t>
      </w:r>
      <w:proofErr w:type="spellEnd"/>
      <w:r>
        <w:t xml:space="preserve"> as well, just like the res </w:t>
      </w:r>
      <w:proofErr w:type="spellStart"/>
      <w:r>
        <w:t>corporales</w:t>
      </w:r>
      <w:proofErr w:type="spellEnd"/>
      <w:r>
        <w:t xml:space="preserve">. Kant asserts that something external is mine if I would be wronged by being disturbed in my use of it even though I am not in possession of it (AA.6, </w:t>
      </w:r>
      <w:hyperlink r:id="rId16" w:tgtFrame="_top" w:history="1">
        <w:r>
          <w:rPr>
            <w:rStyle w:val="Hyperlink"/>
            <w:color w:val="000000"/>
            <w:u w:val="single"/>
          </w:rPr>
          <w:t>249:5-7</w:t>
        </w:r>
      </w:hyperlink>
      <w:r>
        <w:t xml:space="preserve">). If property is a merely intelligible relation with an object that is simply distinct from the subject, we have no reason to deny that such an object might be immaterial as well, just like the objects of intellectual property. Why, then, does Kant refrain from using the very concept of it? According to him, a speech is an action of a person: it belongs to the realm of personal rights. A person who is speaking to the people is engaging a relationship with them; if someone else engages such a relationship in his name, he needs his authorization. The </w:t>
      </w:r>
      <w:proofErr w:type="spellStart"/>
      <w:r>
        <w:t>reprinter</w:t>
      </w:r>
      <w:proofErr w:type="spellEnd"/>
      <w:r>
        <w:t xml:space="preserve">, as it were, does not play with property: he is only an agent without authority. Speeches, by Kant, cannot be separated from persons: he has seen the unholy promised land of intellectual property without entering it. According to Kant, before the acquired rights, everyone has a moral capacity for putting others under obligation that he calls innate right or internal </w:t>
      </w:r>
      <w:proofErr w:type="spellStart"/>
      <w:r>
        <w:t>meum</w:t>
      </w:r>
      <w:proofErr w:type="spellEnd"/>
      <w:r>
        <w:t xml:space="preserve"> </w:t>
      </w:r>
      <w:proofErr w:type="spellStart"/>
      <w:r>
        <w:t>vel</w:t>
      </w:r>
      <w:proofErr w:type="spellEnd"/>
      <w:r>
        <w:t xml:space="preserve"> </w:t>
      </w:r>
      <w:proofErr w:type="spellStart"/>
      <w:r>
        <w:t>tuum</w:t>
      </w:r>
      <w:proofErr w:type="spellEnd"/>
      <w:r>
        <w:t xml:space="preserve"> (AA.06, </w:t>
      </w:r>
      <w:hyperlink r:id="rId17" w:tgtFrame="_top" w:history="1">
        <w:r>
          <w:rPr>
            <w:rStyle w:val="Hyperlink"/>
            <w:color w:val="000000"/>
            <w:u w:val="single"/>
          </w:rPr>
          <w:t>237:24-25</w:t>
        </w:r>
      </w:hyperlink>
      <w:r>
        <w:t xml:space="preserve">). The innate right is only one: freedom as independence from being constrained by another's choice, insofar it can coexist with the freedom of every other in accordance with a universal law. Freedom belongs to every human being by virtue of his humanity: in other words, it has to be assumed before every civil constitution, because it is the very possibility condition of law. Freedom implies innate equality, «that is, independence from being bound by others to more than one can in turn bind them; hence a human being's quality of being his own master (sui </w:t>
      </w:r>
      <w:proofErr w:type="spellStart"/>
      <w:r>
        <w:t>iuris</w:t>
      </w:r>
      <w:proofErr w:type="spellEnd"/>
      <w:r>
        <w:t>), as well as being a human being beyond reproach (</w:t>
      </w:r>
      <w:proofErr w:type="spellStart"/>
      <w:r>
        <w:t>iusti</w:t>
      </w:r>
      <w:proofErr w:type="spellEnd"/>
      <w:r>
        <w:t xml:space="preserve">) since before he performs any act affecting rights he has done no wrong to anyone, and finally his being authorized to do to others anything that does not in itself diminish what is theirs, so long as they do not want to accept it - such things as merely communicating his thoughts to them.» (AA.06, </w:t>
      </w:r>
      <w:hyperlink r:id="rId18" w:tgtFrame="_top" w:history="1">
        <w:r>
          <w:rPr>
            <w:rStyle w:val="Hyperlink"/>
            <w:color w:val="000000"/>
            <w:u w:val="single"/>
          </w:rPr>
          <w:t>237-238</w:t>
        </w:r>
      </w:hyperlink>
      <w:r>
        <w:t xml:space="preserve">) </w:t>
      </w:r>
      <w:hyperlink r:id="rId19" w:anchor="ftn.id2533617" w:history="1">
        <w:r>
          <w:rPr>
            <w:rStyle w:val="Hyperlink"/>
            <w:color w:val="000000"/>
            <w:u w:val="single"/>
          </w:rPr>
          <w:t>34</w:t>
        </w:r>
      </w:hyperlink>
      <w:r>
        <w:t xml:space="preserve"> </w:t>
      </w:r>
      <w:r>
        <w:rPr>
          <w:rStyle w:val="Emphasis"/>
        </w:rPr>
        <w:t xml:space="preserve">In spite of his intellectual theory of property, </w:t>
      </w:r>
      <w:hyperlink r:id="rId20" w:anchor="ftn.id2533628" w:history="1">
        <w:r>
          <w:rPr>
            <w:rStyle w:val="Emphasis"/>
            <w:color w:val="000000"/>
          </w:rPr>
          <w:t>35</w:t>
        </w:r>
      </w:hyperlink>
      <w:r>
        <w:rPr>
          <w:rStyle w:val="Emphasis"/>
        </w:rPr>
        <w:t xml:space="preserve"> </w:t>
      </w:r>
      <w:r>
        <w:rPr>
          <w:rStyle w:val="Emphasis"/>
          <w:highlight w:val="green"/>
        </w:rPr>
        <w:t>Kant does not enter</w:t>
      </w:r>
      <w:r>
        <w:rPr>
          <w:rStyle w:val="Emphasis"/>
        </w:rPr>
        <w:t xml:space="preserve"> in the realm of </w:t>
      </w:r>
      <w:r>
        <w:rPr>
          <w:rStyle w:val="Emphasis"/>
          <w:highlight w:val="green"/>
        </w:rPr>
        <w:t>intellectual property</w:t>
      </w:r>
      <w:r>
        <w:rPr>
          <w:rStyle w:val="Emphasis"/>
        </w:rPr>
        <w:t xml:space="preserve"> for a strong systematic reason. Liberty of </w:t>
      </w:r>
      <w:r>
        <w:rPr>
          <w:rStyle w:val="Emphasis"/>
          <w:highlight w:val="green"/>
        </w:rPr>
        <w:t>speech</w:t>
      </w:r>
      <w:r>
        <w:rPr>
          <w:rStyle w:val="Emphasis"/>
        </w:rPr>
        <w:t xml:space="preserve"> is </w:t>
      </w:r>
      <w:r>
        <w:rPr>
          <w:rStyle w:val="Emphasis"/>
          <w:highlight w:val="green"/>
        </w:rPr>
        <w:t xml:space="preserve">an important part of </w:t>
      </w:r>
      <w:r>
        <w:rPr>
          <w:rStyle w:val="Emphasis"/>
        </w:rPr>
        <w:t xml:space="preserve">the innate right of </w:t>
      </w:r>
      <w:r>
        <w:rPr>
          <w:rStyle w:val="Emphasis"/>
          <w:highlight w:val="green"/>
        </w:rPr>
        <w:t>freedom</w:t>
      </w:r>
      <w:r>
        <w:rPr>
          <w:rStyle w:val="Emphasis"/>
        </w:rPr>
        <w:t xml:space="preserve">. </w:t>
      </w:r>
      <w:r>
        <w:rPr>
          <w:rStyle w:val="Emphasis"/>
          <w:highlight w:val="green"/>
        </w:rPr>
        <w:t>It cannot be suppressed without suppressing freedom</w:t>
      </w:r>
      <w:r>
        <w:rPr>
          <w:rStyle w:val="Emphasis"/>
        </w:rPr>
        <w:t xml:space="preserve"> itself. If the </w:t>
      </w:r>
      <w:proofErr w:type="spellStart"/>
      <w:r>
        <w:rPr>
          <w:rStyle w:val="Emphasis"/>
        </w:rPr>
        <w:t>ius</w:t>
      </w:r>
      <w:proofErr w:type="spellEnd"/>
      <w:r>
        <w:rPr>
          <w:rStyle w:val="Emphasis"/>
        </w:rPr>
        <w:t xml:space="preserve"> </w:t>
      </w:r>
      <w:proofErr w:type="spellStart"/>
      <w:r>
        <w:rPr>
          <w:rStyle w:val="Emphasis"/>
        </w:rPr>
        <w:t>reale</w:t>
      </w:r>
      <w:proofErr w:type="spellEnd"/>
      <w:r>
        <w:rPr>
          <w:rStyle w:val="Emphasis"/>
        </w:rPr>
        <w:t xml:space="preserve"> were applied to speeches, a basic element of freedom would be reduced to an alienable thing, making it easy to mix </w:t>
      </w:r>
      <w:r>
        <w:rPr>
          <w:rStyle w:val="Emphasis"/>
          <w:highlight w:val="green"/>
        </w:rPr>
        <w:t>copyright protection</w:t>
      </w:r>
      <w:r>
        <w:rPr>
          <w:rStyle w:val="Emphasis"/>
        </w:rPr>
        <w:t xml:space="preserve"> and </w:t>
      </w:r>
      <w:r>
        <w:rPr>
          <w:rStyle w:val="Emphasis"/>
          <w:highlight w:val="green"/>
        </w:rPr>
        <w:t>censorship</w:t>
      </w:r>
      <w:r>
        <w:rPr>
          <w:rStyle w:val="Emphasis"/>
        </w:rPr>
        <w:t xml:space="preserve">. </w:t>
      </w:r>
      <w:hyperlink r:id="rId21" w:anchor="ftn.id2533656" w:history="1">
        <w:r>
          <w:rPr>
            <w:rStyle w:val="Emphasis"/>
            <w:color w:val="000000"/>
          </w:rPr>
          <w:t>36</w:t>
        </w:r>
      </w:hyperlink>
      <w:r>
        <w:rPr>
          <w:rStyle w:val="Emphasis"/>
        </w:rPr>
        <w:t xml:space="preserve"> Property rights are based on the assumption that its objects are excludable and </w:t>
      </w:r>
      <w:proofErr w:type="spellStart"/>
      <w:r>
        <w:rPr>
          <w:rStyle w:val="Emphasis"/>
        </w:rPr>
        <w:t>rivalrous</w:t>
      </w:r>
      <w:proofErr w:type="spellEnd"/>
      <w:r>
        <w:rPr>
          <w:rStyle w:val="Emphasis"/>
        </w:rPr>
        <w:t xml:space="preserve"> and need to be appropriated by someone to be used. We cannot, however, deal with speeches as they were excludable and </w:t>
      </w:r>
      <w:proofErr w:type="spellStart"/>
      <w:r>
        <w:rPr>
          <w:rStyle w:val="Emphasis"/>
        </w:rPr>
        <w:t>rivalrous</w:t>
      </w:r>
      <w:proofErr w:type="spellEnd"/>
      <w:r>
        <w:rPr>
          <w:rStyle w:val="Emphasis"/>
        </w:rPr>
        <w:t xml:space="preserve"> things that need to be appropriated to be of some use, because excluding people from speeches would be like excluding them from freedom. Therefore, Kant binds speeches to the persons and their actions, and limits the scope of copyright to publishing, or, better, to the publishing of the age of print: </w:t>
      </w:r>
      <w:proofErr w:type="gramStart"/>
      <w:r>
        <w:rPr>
          <w:rStyle w:val="Emphasis"/>
        </w:rPr>
        <w:t>the</w:t>
      </w:r>
      <w:proofErr w:type="gramEnd"/>
      <w:r>
        <w:rPr>
          <w:rStyle w:val="Emphasis"/>
        </w:rPr>
        <w:t xml:space="preserve"> </w:t>
      </w:r>
      <w:proofErr w:type="spellStart"/>
      <w:r>
        <w:rPr>
          <w:rStyle w:val="Emphasis"/>
        </w:rPr>
        <w:t>Nachdruck</w:t>
      </w:r>
      <w:proofErr w:type="spellEnd"/>
      <w:r>
        <w:rPr>
          <w:rStyle w:val="Emphasis"/>
        </w:rPr>
        <w:t xml:space="preserve"> is unjust only when someone reproduces a text without the author's permission and distributes its copies to the public. </w:t>
      </w:r>
      <w:r>
        <w:rPr>
          <w:rStyle w:val="Emphasis"/>
          <w:highlight w:val="green"/>
        </w:rPr>
        <w:t>If</w:t>
      </w:r>
      <w:r>
        <w:rPr>
          <w:rStyle w:val="Emphasis"/>
        </w:rPr>
        <w:t xml:space="preserve"> </w:t>
      </w:r>
      <w:r>
        <w:rPr>
          <w:rStyle w:val="Emphasis"/>
          <w:highlight w:val="green"/>
        </w:rPr>
        <w:t>someone copies</w:t>
      </w:r>
      <w:r>
        <w:rPr>
          <w:rStyle w:val="Emphasis"/>
        </w:rPr>
        <w:t xml:space="preserve"> a book </w:t>
      </w:r>
      <w:r>
        <w:rPr>
          <w:rStyle w:val="Emphasis"/>
          <w:highlight w:val="green"/>
        </w:rPr>
        <w:t>for his personal use</w:t>
      </w:r>
      <w:r>
        <w:rPr>
          <w:rStyle w:val="Emphasis"/>
        </w:rPr>
        <w:t xml:space="preserve">, </w:t>
      </w:r>
      <w:r>
        <w:rPr>
          <w:rStyle w:val="Emphasis"/>
          <w:highlight w:val="green"/>
        </w:rPr>
        <w:t>or lets others do it</w:t>
      </w:r>
      <w:r>
        <w:rPr>
          <w:rStyle w:val="Emphasis"/>
        </w:rPr>
        <w:t xml:space="preserve">, </w:t>
      </w:r>
      <w:r>
        <w:rPr>
          <w:rStyle w:val="Emphasis"/>
          <w:highlight w:val="green"/>
        </w:rPr>
        <w:t>or translates</w:t>
      </w:r>
      <w:r>
        <w:rPr>
          <w:rStyle w:val="Emphasis"/>
        </w:rPr>
        <w:t xml:space="preserve"> and elaborates a text, </w:t>
      </w:r>
      <w:r>
        <w:rPr>
          <w:rStyle w:val="Emphasis"/>
          <w:highlight w:val="green"/>
        </w:rPr>
        <w:t xml:space="preserve">there is no </w:t>
      </w:r>
      <w:r>
        <w:rPr>
          <w:rStyle w:val="Emphasis"/>
        </w:rPr>
        <w:t xml:space="preserve">copyright </w:t>
      </w:r>
      <w:r>
        <w:rPr>
          <w:rStyle w:val="Emphasis"/>
          <w:highlight w:val="green"/>
        </w:rPr>
        <w:t>violation</w:t>
      </w:r>
      <w:r>
        <w:rPr>
          <w:rStyle w:val="Emphasis"/>
        </w:rPr>
        <w:t xml:space="preserve">, just because </w:t>
      </w:r>
      <w:r>
        <w:rPr>
          <w:rStyle w:val="Emphasis"/>
          <w:highlight w:val="green"/>
        </w:rPr>
        <w:t xml:space="preserve">it is </w:t>
      </w:r>
      <w:r>
        <w:rPr>
          <w:rStyle w:val="Emphasis"/>
        </w:rPr>
        <w:t>not involved any intrinsic property right, but only</w:t>
      </w:r>
      <w:r>
        <w:rPr>
          <w:rStyle w:val="Emphasis"/>
          <w:highlight w:val="green"/>
        </w:rPr>
        <w:t xml:space="preserve"> the exercise of the innate</w:t>
      </w:r>
      <w:r>
        <w:rPr>
          <w:rStyle w:val="Emphasis"/>
        </w:rPr>
        <w:t xml:space="preserve"> </w:t>
      </w:r>
      <w:r>
        <w:rPr>
          <w:rStyle w:val="Emphasis"/>
          <w:highlight w:val="green"/>
        </w:rPr>
        <w:t>right of freedom</w:t>
      </w:r>
      <w:r>
        <w:rPr>
          <w:rStyle w:val="Emphasis"/>
        </w:rPr>
        <w:t>. The boundary of Kant's copyright is the public use of reason, as a key element of a basic right that should be recognized to everyone. Kant does not stick to the Roman Law tradition because of conservatism, but because of Enlightenment.</w:t>
      </w:r>
    </w:p>
    <w:p w14:paraId="1EE33B1B" w14:textId="187B7F75" w:rsidR="00AD55E4" w:rsidRDefault="00AD55E4" w:rsidP="00AD55E4">
      <w:pPr>
        <w:pStyle w:val="Heading4"/>
        <w:rPr>
          <w:rFonts w:cs="Calibri"/>
        </w:rPr>
      </w:pPr>
      <w:r>
        <w:rPr>
          <w:rFonts w:cs="Calibri"/>
        </w:rPr>
        <w:t>[5</w:t>
      </w:r>
      <w:r>
        <w:rPr>
          <w:rFonts w:cs="Calibri"/>
        </w:rPr>
        <w:t xml:space="preserve">] Property rights minimize the opportunity of innovation which limits individual freedom through creating monopolies. They also limit the use of tangible objects such as medicines for good purposes. </w:t>
      </w:r>
    </w:p>
    <w:p w14:paraId="0E5F48BD" w14:textId="77777777" w:rsidR="00AD55E4" w:rsidRDefault="00AD55E4" w:rsidP="00AD55E4">
      <w:pPr>
        <w:rPr>
          <w:lang w:eastAsia="zh-CN"/>
        </w:rPr>
      </w:pPr>
      <w:proofErr w:type="spellStart"/>
      <w:r>
        <w:rPr>
          <w:rStyle w:val="Style13ptBold"/>
        </w:rPr>
        <w:t>Cernea</w:t>
      </w:r>
      <w:proofErr w:type="spellEnd"/>
      <w:r>
        <w:rPr>
          <w:rStyle w:val="Style13ptBold"/>
        </w:rPr>
        <w:t xml:space="preserve"> and </w:t>
      </w:r>
      <w:proofErr w:type="spellStart"/>
      <w:r>
        <w:rPr>
          <w:rStyle w:val="Style13ptBold"/>
        </w:rPr>
        <w:t>Uszkai</w:t>
      </w:r>
      <w:proofErr w:type="spellEnd"/>
      <w:r>
        <w:rPr>
          <w:rStyle w:val="Style13ptBold"/>
        </w:rPr>
        <w:t xml:space="preserve"> 12 </w:t>
      </w:r>
      <w:proofErr w:type="spellStart"/>
      <w:r>
        <w:rPr>
          <w:lang w:eastAsia="zh-CN"/>
        </w:rPr>
        <w:t>Cernea</w:t>
      </w:r>
      <w:proofErr w:type="spellEnd"/>
      <w:r>
        <w:rPr>
          <w:lang w:eastAsia="zh-CN"/>
        </w:rPr>
        <w:t xml:space="preserve">, </w:t>
      </w:r>
      <w:proofErr w:type="spellStart"/>
      <w:r>
        <w:rPr>
          <w:lang w:eastAsia="zh-CN"/>
        </w:rPr>
        <w:t>Mihail</w:t>
      </w:r>
      <w:proofErr w:type="spellEnd"/>
      <w:r>
        <w:rPr>
          <w:lang w:eastAsia="zh-CN"/>
        </w:rPr>
        <w:t xml:space="preserve">-Valentin, and </w:t>
      </w:r>
      <w:proofErr w:type="spellStart"/>
      <w:r>
        <w:rPr>
          <w:lang w:eastAsia="zh-CN"/>
        </w:rPr>
        <w:t>Radu</w:t>
      </w:r>
      <w:proofErr w:type="spellEnd"/>
      <w:r>
        <w:rPr>
          <w:lang w:eastAsia="zh-CN"/>
        </w:rPr>
        <w:t xml:space="preserve"> </w:t>
      </w:r>
      <w:proofErr w:type="spellStart"/>
      <w:r>
        <w:rPr>
          <w:lang w:eastAsia="zh-CN"/>
        </w:rPr>
        <w:t>Uszkai</w:t>
      </w:r>
      <w:proofErr w:type="spellEnd"/>
      <w:r>
        <w:rPr>
          <w:lang w:eastAsia="zh-CN"/>
        </w:rPr>
        <w:t>. </w:t>
      </w:r>
      <w:r>
        <w:rPr>
          <w:i/>
          <w:iCs/>
          <w:lang w:eastAsia="zh-CN"/>
        </w:rPr>
        <w:t>The Clash between Global Justice and Pharmaceutical Patents: A Critical Analysis</w:t>
      </w:r>
      <w:r>
        <w:rPr>
          <w:lang w:eastAsia="zh-CN"/>
        </w:rPr>
        <w:t>. 2012, the-clash-between-global-justice-and-drug-patents-a-critical-analysis.pdf. SJEP</w:t>
      </w:r>
    </w:p>
    <w:p w14:paraId="78762A89" w14:textId="77777777" w:rsidR="00AD55E4" w:rsidRDefault="00AD55E4" w:rsidP="00AD55E4">
      <w:r>
        <w:rPr>
          <w:rStyle w:val="Emphasis"/>
        </w:rPr>
        <w:t>To make this point clearer, we regard property as an ethical institution which emerged in the context of reiterated conflict between agents for tangible goods. A useful analogy would be, for example, the particular way in which David Hume discusses the emergence of justice in the context of scarcity in which agents pursue their own interests</w:t>
      </w:r>
      <w:proofErr w:type="gramStart"/>
      <w:r>
        <w:rPr>
          <w:rStyle w:val="Emphasis"/>
        </w:rPr>
        <w:t>4 .</w:t>
      </w:r>
      <w:proofErr w:type="gramEnd"/>
      <w:r>
        <w:rPr>
          <w:rStyle w:val="Emphasis"/>
        </w:rPr>
        <w:t xml:space="preserve"> As a result, the purpose of </w:t>
      </w:r>
      <w:r>
        <w:rPr>
          <w:rStyle w:val="Emphasis"/>
          <w:highlight w:val="green"/>
        </w:rPr>
        <w:t>property rights</w:t>
      </w:r>
      <w:r>
        <w:rPr>
          <w:rStyle w:val="Emphasis"/>
        </w:rPr>
        <w:t xml:space="preserve"> would be that of </w:t>
      </w:r>
      <w:r>
        <w:rPr>
          <w:rStyle w:val="Emphasis"/>
          <w:highlight w:val="green"/>
        </w:rPr>
        <w:t>avoid</w:t>
      </w:r>
      <w:r>
        <w:rPr>
          <w:rStyle w:val="Emphasis"/>
        </w:rPr>
        <w:t xml:space="preserve">ing or minimizing the possibility of </w:t>
      </w:r>
      <w:r>
        <w:rPr>
          <w:rStyle w:val="Emphasis"/>
          <w:highlight w:val="green"/>
        </w:rPr>
        <w:t>conflict</w:t>
      </w:r>
      <w:r>
        <w:rPr>
          <w:rStyle w:val="Emphasis"/>
        </w:rPr>
        <w:t xml:space="preserve"> </w:t>
      </w:r>
      <w:r>
        <w:rPr>
          <w:rStyle w:val="Emphasis"/>
          <w:highlight w:val="green"/>
        </w:rPr>
        <w:t>and</w:t>
      </w:r>
      <w:r>
        <w:rPr>
          <w:rStyle w:val="Emphasis"/>
        </w:rPr>
        <w:t xml:space="preserve"> that of increasing the costs of </w:t>
      </w:r>
      <w:r>
        <w:rPr>
          <w:rStyle w:val="Emphasis"/>
          <w:highlight w:val="green"/>
        </w:rPr>
        <w:t>free-riding</w:t>
      </w:r>
      <w:r>
        <w:rPr>
          <w:rStyle w:val="Emphasis"/>
        </w:rPr>
        <w:t xml:space="preserve"> or trespassing.</w:t>
      </w:r>
      <w:r>
        <w:t xml:space="preserve"> Let’s take the following example which will illustrate better our point. Assume that X is a philosophy student and has a copy of Immanuel Kant’s Groundwork of the Metaphysics of Morals. Y is a college of him but he does not have the book. They both have to write an essay on Kant’s categorical imperative. Because Y does not have the book, let’s assume that he decides, whether by the use of coercion or fraud to take his book. As a result, the theft leaves X without his property because tangible goods are </w:t>
      </w:r>
      <w:proofErr w:type="spellStart"/>
      <w:r>
        <w:t>rivalrous</w:t>
      </w:r>
      <w:proofErr w:type="spellEnd"/>
      <w:r>
        <w:t xml:space="preserve"> in consumption. Both student can’t, at the same time but in a different place read about Kant’s categorical imperative from the same copy. </w:t>
      </w:r>
      <w:r>
        <w:rPr>
          <w:rStyle w:val="Emphasis"/>
        </w:rPr>
        <w:t xml:space="preserve">Now a different example: suppose X invents a new way of harvesting corn and Y harvests his corn accordingly. This situation is quite different in comparison to the case we presented earlier, because Y does not </w:t>
      </w:r>
      <w:proofErr w:type="gramStart"/>
      <w:r>
        <w:rPr>
          <w:rStyle w:val="Emphasis"/>
        </w:rPr>
        <w:t>leaves</w:t>
      </w:r>
      <w:proofErr w:type="gramEnd"/>
      <w:r>
        <w:rPr>
          <w:rStyle w:val="Emphasis"/>
        </w:rPr>
        <w:t xml:space="preserve"> X without either his new harvesting mechanisms which he created but neither without the idea behind the mechanism. It would be hard to say that Y stole something from X because </w:t>
      </w:r>
      <w:r>
        <w:rPr>
          <w:rStyle w:val="Emphasis"/>
          <w:highlight w:val="green"/>
        </w:rPr>
        <w:t>the</w:t>
      </w:r>
      <w:r>
        <w:rPr>
          <w:rStyle w:val="Emphasis"/>
        </w:rPr>
        <w:t xml:space="preserve"> </w:t>
      </w:r>
      <w:r>
        <w:rPr>
          <w:rStyle w:val="Emphasis"/>
          <w:highlight w:val="green"/>
        </w:rPr>
        <w:t xml:space="preserve">consumption </w:t>
      </w:r>
      <w:r>
        <w:rPr>
          <w:rStyle w:val="Emphasis"/>
        </w:rPr>
        <w:t xml:space="preserve">of intangible goods such as </w:t>
      </w:r>
      <w:r>
        <w:rPr>
          <w:rStyle w:val="Emphasis"/>
          <w:highlight w:val="green"/>
        </w:rPr>
        <w:t>ideas</w:t>
      </w:r>
      <w:r>
        <w:rPr>
          <w:rStyle w:val="Emphasis"/>
        </w:rPr>
        <w:t xml:space="preserve"> does </w:t>
      </w:r>
      <w:r>
        <w:rPr>
          <w:rStyle w:val="Emphasis"/>
          <w:highlight w:val="green"/>
        </w:rPr>
        <w:t xml:space="preserve">not </w:t>
      </w:r>
      <w:r>
        <w:rPr>
          <w:rStyle w:val="Emphasis"/>
        </w:rPr>
        <w:t xml:space="preserve">have </w:t>
      </w:r>
      <w:r>
        <w:rPr>
          <w:rStyle w:val="Emphasis"/>
          <w:highlight w:val="green"/>
        </w:rPr>
        <w:t xml:space="preserve">the same </w:t>
      </w:r>
      <w:proofErr w:type="spellStart"/>
      <w:r>
        <w:rPr>
          <w:rStyle w:val="Emphasis"/>
        </w:rPr>
        <w:t>rivalrous</w:t>
      </w:r>
      <w:proofErr w:type="spellEnd"/>
      <w:r>
        <w:rPr>
          <w:rStyle w:val="Emphasis"/>
        </w:rPr>
        <w:t xml:space="preserve"> property </w:t>
      </w:r>
      <w:r>
        <w:rPr>
          <w:rStyle w:val="Emphasis"/>
          <w:highlight w:val="green"/>
        </w:rPr>
        <w:t>as a copy of a book</w:t>
      </w:r>
      <w:r>
        <w:rPr>
          <w:rStyle w:val="Emphasis"/>
        </w:rPr>
        <w:t xml:space="preserve"> written by Kant. Actually, the existence of the </w:t>
      </w:r>
      <w:r>
        <w:rPr>
          <w:rStyle w:val="Emphasis"/>
          <w:highlight w:val="green"/>
        </w:rPr>
        <w:t xml:space="preserve">patent system fosters </w:t>
      </w:r>
      <w:r>
        <w:rPr>
          <w:rStyle w:val="Emphasis"/>
        </w:rPr>
        <w:t xml:space="preserve">the </w:t>
      </w:r>
      <w:r>
        <w:rPr>
          <w:rStyle w:val="Emphasis"/>
          <w:highlight w:val="green"/>
        </w:rPr>
        <w:t xml:space="preserve">scarcity </w:t>
      </w:r>
      <w:r>
        <w:rPr>
          <w:rStyle w:val="Emphasis"/>
        </w:rPr>
        <w:t xml:space="preserve">of ideas. In this context patents represent </w:t>
      </w:r>
      <w:r>
        <w:rPr>
          <w:rStyle w:val="Emphasis"/>
          <w:highlight w:val="green"/>
        </w:rPr>
        <w:t>unjustified state-granted monopolies</w:t>
      </w:r>
      <w:r>
        <w:rPr>
          <w:rStyle w:val="Emphasis"/>
        </w:rPr>
        <w:t>. Moreover, intellectual property rights have another profound immoral consequence: it</w:t>
      </w:r>
      <w:r>
        <w:rPr>
          <w:rStyle w:val="Emphasis"/>
          <w:highlight w:val="green"/>
        </w:rPr>
        <w:t xml:space="preserve"> limits </w:t>
      </w:r>
      <w:r>
        <w:rPr>
          <w:rStyle w:val="Emphasis"/>
        </w:rPr>
        <w:t xml:space="preserve">the use of </w:t>
      </w:r>
      <w:r>
        <w:rPr>
          <w:rStyle w:val="Emphasis"/>
          <w:highlight w:val="green"/>
        </w:rPr>
        <w:t>tangible objects</w:t>
      </w:r>
      <w:r>
        <w:rPr>
          <w:rStyle w:val="Emphasis"/>
        </w:rPr>
        <w:t xml:space="preserve"> which we acquired fully in line with market rules.</w:t>
      </w:r>
      <w:r>
        <w:t xml:space="preserve"> </w:t>
      </w:r>
    </w:p>
    <w:p w14:paraId="00609580" w14:textId="77777777" w:rsidR="00AD55E4" w:rsidRPr="00AD55E4" w:rsidRDefault="00AD55E4" w:rsidP="00AD55E4"/>
    <w:p w14:paraId="7BA01C69" w14:textId="77777777" w:rsidR="00700D41" w:rsidRDefault="00700D41" w:rsidP="00700D41">
      <w:pPr>
        <w:pStyle w:val="Heading3"/>
      </w:pPr>
      <w:r>
        <w:t>Advantage</w:t>
      </w:r>
    </w:p>
    <w:p w14:paraId="486EDED5" w14:textId="77777777" w:rsidR="00700D41" w:rsidRPr="00C05CBA" w:rsidRDefault="00700D41" w:rsidP="00700D41">
      <w:pPr>
        <w:pStyle w:val="Heading4"/>
        <w:spacing w:before="0" w:after="40" w:line="276" w:lineRule="auto"/>
        <w:rPr>
          <w:rFonts w:cs="Calibri"/>
        </w:rPr>
      </w:pPr>
      <w:r>
        <w:rPr>
          <w:rFonts w:cs="Calibri"/>
        </w:rPr>
        <w:t xml:space="preserve">First, </w:t>
      </w:r>
      <w:r w:rsidRPr="00C05CBA">
        <w:rPr>
          <w:rFonts w:cs="Calibri"/>
        </w:rPr>
        <w:t xml:space="preserve">Only the plan can solve </w:t>
      </w:r>
      <w:proofErr w:type="spellStart"/>
      <w:r w:rsidRPr="00C05CBA">
        <w:rPr>
          <w:rFonts w:cs="Calibri"/>
          <w:u w:val="single"/>
        </w:rPr>
        <w:t>covid</w:t>
      </w:r>
      <w:proofErr w:type="spellEnd"/>
      <w:r w:rsidRPr="00C05CBA">
        <w:rPr>
          <w:rFonts w:cs="Calibri"/>
          <w:u w:val="single"/>
        </w:rPr>
        <w:t xml:space="preserve"> access</w:t>
      </w:r>
      <w:r w:rsidRPr="00C05CBA">
        <w:rPr>
          <w:rFonts w:cs="Calibri"/>
        </w:rPr>
        <w:t xml:space="preserve"> – inequalities </w:t>
      </w:r>
      <w:r w:rsidRPr="00C05CBA">
        <w:rPr>
          <w:rFonts w:cs="Calibri"/>
          <w:u w:val="single"/>
        </w:rPr>
        <w:t>heighten</w:t>
      </w:r>
      <w:r w:rsidRPr="00C05CBA">
        <w:rPr>
          <w:rFonts w:cs="Calibri"/>
        </w:rPr>
        <w:t xml:space="preserve"> the risk of </w:t>
      </w:r>
      <w:r w:rsidRPr="00C05CBA">
        <w:rPr>
          <w:rFonts w:cs="Calibri"/>
          <w:u w:val="single"/>
        </w:rPr>
        <w:t>mutations</w:t>
      </w:r>
      <w:r w:rsidRPr="00C05CBA">
        <w:rPr>
          <w:rFonts w:cs="Calibri"/>
        </w:rPr>
        <w:t xml:space="preserve"> and </w:t>
      </w:r>
      <w:r w:rsidRPr="00C05CBA">
        <w:rPr>
          <w:rFonts w:cs="Calibri"/>
          <w:u w:val="single"/>
        </w:rPr>
        <w:t>uneven development</w:t>
      </w:r>
      <w:r w:rsidRPr="00C05CBA">
        <w:rPr>
          <w:rFonts w:cs="Calibri"/>
        </w:rPr>
        <w:t xml:space="preserve"> – neg objections </w:t>
      </w:r>
      <w:r w:rsidRPr="00C05CBA">
        <w:rPr>
          <w:rFonts w:cs="Calibri"/>
          <w:u w:val="single"/>
        </w:rPr>
        <w:t>miss the boat</w:t>
      </w:r>
      <w:r w:rsidRPr="00C05CBA">
        <w:rPr>
          <w:rFonts w:cs="Calibri"/>
        </w:rPr>
        <w:t>.</w:t>
      </w:r>
    </w:p>
    <w:p w14:paraId="6067606D" w14:textId="77777777" w:rsidR="00700D41" w:rsidRPr="00C05CBA" w:rsidRDefault="00700D41" w:rsidP="00700D41">
      <w:pPr>
        <w:spacing w:after="40" w:line="276" w:lineRule="auto"/>
        <w:rPr>
          <w:rFonts w:cs="Calibri"/>
        </w:rPr>
      </w:pPr>
      <w:r w:rsidRPr="00C05CBA">
        <w:rPr>
          <w:rStyle w:val="Style13ptBold"/>
          <w:rFonts w:cs="Calibri"/>
        </w:rPr>
        <w:t>Kumar 21</w:t>
      </w:r>
      <w:r w:rsidRPr="00C05CBA">
        <w:rPr>
          <w:rFonts w:cs="Calibri"/>
        </w:rPr>
        <w:t xml:space="preserve"> [</w:t>
      </w:r>
      <w:proofErr w:type="spellStart"/>
      <w:r w:rsidRPr="00C05CBA">
        <w:rPr>
          <w:rFonts w:cs="Calibri"/>
        </w:rPr>
        <w:t>Rajeesh</w:t>
      </w:r>
      <w:proofErr w:type="spellEnd"/>
      <w:r w:rsidRPr="00C05CBA">
        <w:rPr>
          <w:rFonts w:cs="Calibri"/>
        </w:rPr>
        <w:t xml:space="preserve">;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w:t>
      </w:r>
      <w:proofErr w:type="spellStart"/>
      <w:r w:rsidRPr="00C05CBA">
        <w:rPr>
          <w:rFonts w:cs="Calibri"/>
        </w:rPr>
        <w:t>JamiaMilliaIslamia</w:t>
      </w:r>
      <w:proofErr w:type="spellEnd"/>
      <w:r w:rsidRPr="00C05CBA">
        <w:rPr>
          <w:rFonts w:cs="Calibri"/>
        </w:rPr>
        <w:t xml:space="preserve">, New Delhi (2010-11&amp; 2015-16) and University of Calicut, Kerala (2007-08). His areas of research interest are International Organizations, India and Multilateralism, Global Governance, and International Humanitarian Law. He is the co-editor of two </w:t>
      </w:r>
      <w:proofErr w:type="spellStart"/>
      <w:r w:rsidRPr="00C05CBA">
        <w:rPr>
          <w:rFonts w:cs="Calibri"/>
        </w:rPr>
        <w:t>books;Eurozone</w:t>
      </w:r>
      <w:proofErr w:type="spellEnd"/>
      <w:r w:rsidRPr="00C05CBA">
        <w:rPr>
          <w:rFonts w:cs="Calibri"/>
        </w:rPr>
        <w:t xml:space="preserv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22" w:history="1">
        <w:r w:rsidRPr="00C05CBA">
          <w:rPr>
            <w:rStyle w:val="Hyperlink"/>
            <w:rFonts w:cs="Calibri"/>
          </w:rPr>
          <w:t>https://idsa.in/issuebrief/wto-trips-waiver-covid-vaccine-rkumar-120721</w:t>
        </w:r>
      </w:hyperlink>
      <w:r w:rsidRPr="00C05CBA">
        <w:rPr>
          <w:rFonts w:cs="Calibri"/>
        </w:rPr>
        <w:t>] Justin</w:t>
      </w:r>
    </w:p>
    <w:p w14:paraId="78EB27A3" w14:textId="77777777" w:rsidR="00700D41" w:rsidRPr="00C05CBA" w:rsidRDefault="00700D41" w:rsidP="00700D41">
      <w:pPr>
        <w:spacing w:after="40" w:line="276" w:lineRule="auto"/>
        <w:rPr>
          <w:rFonts w:cs="Calibri"/>
          <w:sz w:val="16"/>
        </w:rPr>
      </w:pPr>
      <w:r w:rsidRPr="00C05CBA">
        <w:rPr>
          <w:rFonts w:cs="Calibri"/>
          <w:sz w:val="16"/>
        </w:rPr>
        <w:t xml:space="preserve">According to Duke Global Health Innovation Center, which monitors COVID-19 vaccine purchases, </w:t>
      </w:r>
      <w:r w:rsidRPr="00C05CBA">
        <w:rPr>
          <w:rStyle w:val="Emphasis"/>
          <w:rFonts w:cs="Calibri"/>
          <w:highlight w:val="green"/>
        </w:rPr>
        <w:t>rich nations</w:t>
      </w:r>
      <w:r w:rsidRPr="00C05CBA">
        <w:rPr>
          <w:rStyle w:val="Emphasis"/>
          <w:rFonts w:cs="Calibri"/>
        </w:rPr>
        <w:t xml:space="preserve"> representing</w:t>
      </w:r>
      <w:r w:rsidRPr="00C05CBA">
        <w:rPr>
          <w:rFonts w:cs="Calibri"/>
          <w:u w:val="single"/>
        </w:rPr>
        <w:t xml:space="preserve"> just 14 per cent of the world population have </w:t>
      </w:r>
      <w:r w:rsidRPr="00C05CBA">
        <w:rPr>
          <w:rFonts w:cs="Calibri"/>
          <w:highlight w:val="green"/>
          <w:u w:val="single"/>
        </w:rPr>
        <w:t>bought</w:t>
      </w:r>
      <w:r w:rsidRPr="00C05CBA">
        <w:rPr>
          <w:rFonts w:cs="Calibri"/>
          <w:u w:val="single"/>
        </w:rPr>
        <w:t xml:space="preserve"> up to </w:t>
      </w:r>
      <w:r w:rsidRPr="00C05CBA">
        <w:rPr>
          <w:rStyle w:val="Emphasis"/>
          <w:rFonts w:cs="Calibri"/>
          <w:highlight w:val="green"/>
        </w:rPr>
        <w:t>53 per cent of</w:t>
      </w:r>
      <w:r w:rsidRPr="00C05CBA">
        <w:rPr>
          <w:rStyle w:val="Emphasis"/>
          <w:rFonts w:cs="Calibri"/>
        </w:rPr>
        <w:t xml:space="preserve"> the most promising </w:t>
      </w:r>
      <w:r w:rsidRPr="00C05CBA">
        <w:rPr>
          <w:rStyle w:val="Emphasis"/>
          <w:rFonts w:cs="Calibri"/>
          <w:highlight w:val="green"/>
        </w:rPr>
        <w:t>vaccines</w:t>
      </w:r>
      <w:r w:rsidRPr="00C05CBA">
        <w:rPr>
          <w:rFonts w:cs="Calibri"/>
          <w:u w:val="single"/>
        </w:rPr>
        <w:t xml:space="preserve"> so far</w:t>
      </w:r>
      <w:r w:rsidRPr="00C05CBA">
        <w:rPr>
          <w:rFonts w:cs="Calibri"/>
          <w:sz w:val="16"/>
        </w:rPr>
        <w:t xml:space="preserve">. As of 4 July 2021, the </w:t>
      </w:r>
      <w:r w:rsidRPr="00C05CBA">
        <w:rPr>
          <w:rStyle w:val="Emphasis"/>
          <w:rFonts w:cs="Calibri"/>
        </w:rPr>
        <w:t>high-income countries</w:t>
      </w:r>
      <w:r w:rsidRPr="00C05CBA">
        <w:rPr>
          <w:rFonts w:cs="Calibri"/>
          <w:u w:val="single"/>
        </w:rPr>
        <w:t xml:space="preserve"> (HICs) purchased more than half (6.16 billion) vaccine doses sold globally</w:t>
      </w:r>
      <w:r w:rsidRPr="00C05CBA">
        <w:rPr>
          <w:rFonts w:cs="Calibri"/>
          <w:sz w:val="16"/>
        </w:rPr>
        <w:t xml:space="preserve">. At the same time, </w:t>
      </w:r>
      <w:r w:rsidRPr="00C05CBA">
        <w:rPr>
          <w:rFonts w:cs="Calibri"/>
          <w:u w:val="single"/>
        </w:rPr>
        <w:t xml:space="preserve">the </w:t>
      </w:r>
      <w:r w:rsidRPr="00C05CBA">
        <w:rPr>
          <w:rFonts w:cs="Calibri"/>
          <w:highlight w:val="green"/>
          <w:u w:val="single"/>
        </w:rPr>
        <w:t>low-income countries</w:t>
      </w:r>
      <w:r w:rsidRPr="00C05CBA">
        <w:rPr>
          <w:rFonts w:cs="Calibri"/>
          <w:u w:val="single"/>
        </w:rPr>
        <w:t xml:space="preserve"> (</w:t>
      </w:r>
      <w:r w:rsidRPr="00C05CBA">
        <w:rPr>
          <w:rStyle w:val="Emphasis"/>
          <w:rFonts w:cs="Calibri"/>
        </w:rPr>
        <w:t>LICs</w:t>
      </w:r>
      <w:r w:rsidRPr="00C05CBA">
        <w:rPr>
          <w:rFonts w:cs="Calibri"/>
          <w:u w:val="single"/>
        </w:rPr>
        <w:t xml:space="preserve">) </w:t>
      </w:r>
      <w:r w:rsidRPr="00C05CBA">
        <w:rPr>
          <w:rFonts w:cs="Calibri"/>
          <w:highlight w:val="green"/>
          <w:u w:val="single"/>
        </w:rPr>
        <w:t>received</w:t>
      </w:r>
      <w:r w:rsidRPr="00C05CBA">
        <w:rPr>
          <w:rFonts w:cs="Calibri"/>
          <w:u w:val="single"/>
        </w:rPr>
        <w:t xml:space="preserve"> only </w:t>
      </w:r>
      <w:r w:rsidRPr="00C05CBA">
        <w:rPr>
          <w:rFonts w:cs="Calibri"/>
          <w:highlight w:val="green"/>
          <w:u w:val="single"/>
        </w:rPr>
        <w:t>0.3 per cent</w:t>
      </w:r>
      <w:r w:rsidRPr="00C05CBA">
        <w:rPr>
          <w:rFonts w:cs="Calibri"/>
          <w:u w:val="single"/>
        </w:rPr>
        <w:t xml:space="preserve"> of the vaccines produced. The low and middle-income countries (LMICs), which account for </w:t>
      </w:r>
      <w:r w:rsidRPr="00C05CBA">
        <w:rPr>
          <w:rStyle w:val="Emphasis"/>
          <w:rFonts w:cs="Calibri"/>
        </w:rPr>
        <w:t>81 per cent of the global adult population</w:t>
      </w:r>
      <w:r w:rsidRPr="00C05CBA">
        <w:rPr>
          <w:rFonts w:cs="Calibri"/>
          <w:u w:val="single"/>
        </w:rPr>
        <w:t xml:space="preserve">, purchased </w:t>
      </w:r>
      <w:r w:rsidRPr="00C05CBA">
        <w:rPr>
          <w:rStyle w:val="Emphasis"/>
          <w:rFonts w:cs="Calibri"/>
        </w:rPr>
        <w:t>33 per cent</w:t>
      </w:r>
      <w:r w:rsidRPr="00C05CBA">
        <w:rPr>
          <w:rFonts w:cs="Calibri"/>
          <w:sz w:val="16"/>
        </w:rPr>
        <w: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w:t>
      </w:r>
    </w:p>
    <w:p w14:paraId="705C8396" w14:textId="77777777" w:rsidR="00700D41" w:rsidRPr="00C05CBA" w:rsidRDefault="00700D41" w:rsidP="00700D41">
      <w:pPr>
        <w:spacing w:after="40" w:line="276" w:lineRule="auto"/>
        <w:rPr>
          <w:rFonts w:cs="Calibri"/>
          <w:u w:val="single"/>
        </w:rPr>
      </w:pPr>
      <w:r w:rsidRPr="00C05CBA">
        <w:rPr>
          <w:rFonts w:cs="Calibri"/>
          <w:sz w:val="16"/>
        </w:rPr>
        <w:t xml:space="preserve">Consequently, </w:t>
      </w:r>
      <w:r w:rsidRPr="00C05CBA">
        <w:rPr>
          <w:rFonts w:cs="Calibri"/>
          <w:u w:val="single"/>
        </w:rPr>
        <w:t xml:space="preserve">there is a </w:t>
      </w:r>
      <w:r w:rsidRPr="00C05CBA">
        <w:rPr>
          <w:rStyle w:val="Emphasis"/>
          <w:rFonts w:cs="Calibri"/>
          <w:highlight w:val="green"/>
        </w:rPr>
        <w:t>significant disparity</w:t>
      </w:r>
      <w:r w:rsidRPr="00C05CBA">
        <w:rPr>
          <w:rStyle w:val="Emphasis"/>
          <w:rFonts w:cs="Calibri"/>
        </w:rPr>
        <w:t xml:space="preserve"> between HICs and LICs</w:t>
      </w:r>
      <w:r w:rsidRPr="00C05CBA">
        <w:rPr>
          <w:rFonts w:cs="Calibri"/>
          <w:u w:val="single"/>
        </w:rPr>
        <w:t xml:space="preserve"> in vaccine administration as well. As of 8 July 2021, </w:t>
      </w:r>
      <w:r w:rsidRPr="00C05CBA">
        <w:rPr>
          <w:rStyle w:val="Emphasis"/>
          <w:rFonts w:cs="Calibri"/>
        </w:rPr>
        <w:t>3.32 billion vaccine doses had been administered globally</w:t>
      </w:r>
      <w:r w:rsidRPr="00C05CBA">
        <w:rPr>
          <w:rFonts w:cs="Calibri"/>
          <w:sz w:val="16"/>
        </w:rPr>
        <w:t xml:space="preserve">.12 Nonetheless, </w:t>
      </w:r>
      <w:r w:rsidRPr="00C05CBA">
        <w:rPr>
          <w:rFonts w:cs="Calibri"/>
          <w:highlight w:val="green"/>
          <w:u w:val="single"/>
        </w:rPr>
        <w:t xml:space="preserve">only </w:t>
      </w:r>
      <w:r w:rsidRPr="00C05CBA">
        <w:rPr>
          <w:rStyle w:val="Emphasis"/>
          <w:rFonts w:cs="Calibri"/>
          <w:highlight w:val="green"/>
        </w:rPr>
        <w:t>one per cent</w:t>
      </w:r>
      <w:r w:rsidRPr="00C05CBA">
        <w:rPr>
          <w:rFonts w:cs="Calibri"/>
          <w:u w:val="single"/>
        </w:rPr>
        <w:t xml:space="preserve"> of people </w:t>
      </w:r>
      <w:r w:rsidRPr="00C05CBA">
        <w:rPr>
          <w:rFonts w:cs="Calibri"/>
          <w:highlight w:val="green"/>
          <w:u w:val="single"/>
        </w:rPr>
        <w:t>in LICs</w:t>
      </w:r>
      <w:r w:rsidRPr="00C05CBA">
        <w:rPr>
          <w:rFonts w:cs="Calibri"/>
          <w:u w:val="single"/>
        </w:rPr>
        <w:t xml:space="preserve"> have been </w:t>
      </w:r>
      <w:r w:rsidRPr="00C05CBA">
        <w:rPr>
          <w:rFonts w:cs="Calibri"/>
          <w:highlight w:val="green"/>
          <w:u w:val="single"/>
        </w:rPr>
        <w:t>given</w:t>
      </w:r>
      <w:r w:rsidRPr="00C05CBA">
        <w:rPr>
          <w:rFonts w:cs="Calibri"/>
          <w:u w:val="single"/>
        </w:rPr>
        <w:t xml:space="preserve"> at least </w:t>
      </w:r>
      <w:r w:rsidRPr="00C05CBA">
        <w:rPr>
          <w:rStyle w:val="Emphasis"/>
          <w:rFonts w:cs="Calibri"/>
          <w:highlight w:val="green"/>
        </w:rPr>
        <w:t>one dose</w:t>
      </w:r>
      <w:r w:rsidRPr="00C05CBA">
        <w:rPr>
          <w:rFonts w:cs="Calibri"/>
          <w:u w:val="single"/>
        </w:rPr>
        <w:t>. While in HICs almost one in four people have received the vaccine</w:t>
      </w:r>
      <w:r w:rsidRPr="00C05CBA">
        <w:rPr>
          <w:rFonts w:cs="Calibri"/>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C05CBA">
        <w:rPr>
          <w:rFonts w:cs="Calibri"/>
          <w:u w:val="single"/>
        </w:rPr>
        <w:t xml:space="preserve">In Sub-Saharan Africa, </w:t>
      </w:r>
      <w:r w:rsidRPr="00C05CBA">
        <w:rPr>
          <w:rStyle w:val="Emphasis"/>
          <w:rFonts w:cs="Calibri"/>
          <w:highlight w:val="green"/>
        </w:rPr>
        <w:t>vaccine rollout</w:t>
      </w:r>
      <w:r w:rsidRPr="00C05CBA">
        <w:rPr>
          <w:rStyle w:val="Emphasis"/>
          <w:rFonts w:cs="Calibri"/>
        </w:rPr>
        <w:t xml:space="preserve"> remains the </w:t>
      </w:r>
      <w:r w:rsidRPr="00C05CBA">
        <w:rPr>
          <w:rStyle w:val="Emphasis"/>
          <w:rFonts w:cs="Calibri"/>
          <w:highlight w:val="green"/>
        </w:rPr>
        <w:t>slowest</w:t>
      </w:r>
      <w:r w:rsidRPr="00C05CBA">
        <w:rPr>
          <w:rStyle w:val="Emphasis"/>
          <w:rFonts w:cs="Calibri"/>
        </w:rPr>
        <w:t xml:space="preserve"> in the world</w:t>
      </w:r>
      <w:r w:rsidRPr="00C05CBA">
        <w:rPr>
          <w:rFonts w:cs="Calibri"/>
          <w:u w:val="single"/>
        </w:rPr>
        <w:t>. According to the International Monetary Fund</w:t>
      </w:r>
      <w:r w:rsidRPr="00C05CBA">
        <w:rPr>
          <w:rFonts w:cs="Calibri"/>
          <w:sz w:val="16"/>
        </w:rPr>
        <w:t xml:space="preserve"> (IMF), at current rates, by the end of 2021, a </w:t>
      </w:r>
      <w:r w:rsidRPr="00C05CBA">
        <w:rPr>
          <w:rFonts w:cs="Calibri"/>
          <w:highlight w:val="green"/>
          <w:u w:val="single"/>
        </w:rPr>
        <w:t xml:space="preserve">massive </w:t>
      </w:r>
      <w:r w:rsidRPr="00C05CBA">
        <w:rPr>
          <w:rStyle w:val="Emphasis"/>
          <w:rFonts w:cs="Calibri"/>
          <w:highlight w:val="green"/>
        </w:rPr>
        <w:t>global inequity</w:t>
      </w:r>
      <w:r w:rsidRPr="00C05CBA">
        <w:rPr>
          <w:rFonts w:cs="Calibri"/>
          <w:u w:val="single"/>
        </w:rPr>
        <w:t xml:space="preserve"> will continue to </w:t>
      </w:r>
      <w:r w:rsidRPr="00C05CBA">
        <w:rPr>
          <w:rFonts w:cs="Calibri"/>
          <w:highlight w:val="green"/>
          <w:u w:val="single"/>
        </w:rPr>
        <w:t>exist, with Africa</w:t>
      </w:r>
      <w:r w:rsidRPr="00C05CBA">
        <w:rPr>
          <w:rFonts w:cs="Calibri"/>
          <w:u w:val="single"/>
        </w:rPr>
        <w:t xml:space="preserve"> still </w:t>
      </w:r>
      <w:r w:rsidRPr="00C05CBA">
        <w:rPr>
          <w:rStyle w:val="Emphasis"/>
          <w:rFonts w:cs="Calibri"/>
          <w:highlight w:val="green"/>
        </w:rPr>
        <w:t>experiencing meagre vaccination</w:t>
      </w:r>
      <w:r w:rsidRPr="00C05CBA">
        <w:rPr>
          <w:rFonts w:cs="Calibri"/>
          <w:u w:val="single"/>
        </w:rPr>
        <w:t xml:space="preserve"> rates while other parts of the world move much closer to complete vaccination.14</w:t>
      </w:r>
    </w:p>
    <w:p w14:paraId="2830F692" w14:textId="77777777" w:rsidR="00700D41" w:rsidRPr="00C05CBA" w:rsidRDefault="00700D41" w:rsidP="00700D41">
      <w:pPr>
        <w:spacing w:after="40" w:line="276" w:lineRule="auto"/>
        <w:rPr>
          <w:rFonts w:cs="Calibri"/>
          <w:sz w:val="16"/>
        </w:rPr>
      </w:pPr>
      <w:r w:rsidRPr="00C05CBA">
        <w:rPr>
          <w:rFonts w:cs="Calibri"/>
          <w:u w:val="single"/>
        </w:rPr>
        <w:t xml:space="preserve">This vaccine inequity is not only </w:t>
      </w:r>
      <w:r w:rsidRPr="00C05CBA">
        <w:rPr>
          <w:rStyle w:val="Emphasis"/>
          <w:rFonts w:cs="Calibri"/>
        </w:rPr>
        <w:t>morally indefensible</w:t>
      </w:r>
      <w:r w:rsidRPr="00C05CBA">
        <w:rPr>
          <w:rFonts w:cs="Calibri"/>
          <w:u w:val="single"/>
        </w:rPr>
        <w:t xml:space="preserve"> but also </w:t>
      </w:r>
      <w:r w:rsidRPr="00C05CBA">
        <w:rPr>
          <w:rStyle w:val="Emphasis"/>
          <w:rFonts w:cs="Calibri"/>
        </w:rPr>
        <w:t>clinically counter-productive</w:t>
      </w:r>
      <w:r w:rsidRPr="00C05CBA">
        <w:rPr>
          <w:rFonts w:cs="Calibri"/>
          <w:u w:val="single"/>
        </w:rPr>
        <w:t xml:space="preserve">. If this situation prevails, </w:t>
      </w:r>
      <w:r w:rsidRPr="00C05CBA">
        <w:rPr>
          <w:rFonts w:cs="Calibri"/>
          <w:highlight w:val="green"/>
          <w:u w:val="single"/>
        </w:rPr>
        <w:t>LICs</w:t>
      </w:r>
      <w:r w:rsidRPr="00C05CBA">
        <w:rPr>
          <w:rFonts w:cs="Calibri"/>
          <w:u w:val="single"/>
        </w:rPr>
        <w:t xml:space="preserve"> could be </w:t>
      </w:r>
      <w:r w:rsidRPr="00C05CBA">
        <w:rPr>
          <w:rStyle w:val="Emphasis"/>
          <w:rFonts w:cs="Calibri"/>
          <w:highlight w:val="green"/>
        </w:rPr>
        <w:t>waiting until 2025 for vaccinating</w:t>
      </w:r>
      <w:r w:rsidRPr="00C05CBA">
        <w:rPr>
          <w:rFonts w:cs="Calibri"/>
          <w:u w:val="single"/>
        </w:rPr>
        <w:t xml:space="preserve"> half of their people. Allowing most of the world’s population to go </w:t>
      </w:r>
      <w:r w:rsidRPr="00C05CBA">
        <w:rPr>
          <w:rFonts w:cs="Calibri"/>
          <w:highlight w:val="green"/>
          <w:u w:val="single"/>
        </w:rPr>
        <w:t>unvaccinated</w:t>
      </w:r>
      <w:r w:rsidRPr="00C05CBA">
        <w:rPr>
          <w:rFonts w:cs="Calibri"/>
          <w:u w:val="single"/>
        </w:rPr>
        <w:t xml:space="preserve"> will also </w:t>
      </w:r>
      <w:r w:rsidRPr="00C05CBA">
        <w:rPr>
          <w:rFonts w:cs="Calibri"/>
          <w:highlight w:val="green"/>
          <w:u w:val="single"/>
        </w:rPr>
        <w:t xml:space="preserve">spawn </w:t>
      </w:r>
      <w:r w:rsidRPr="00C05CBA">
        <w:rPr>
          <w:rStyle w:val="Emphasis"/>
          <w:rFonts w:cs="Calibri"/>
          <w:highlight w:val="green"/>
        </w:rPr>
        <w:t>new</w:t>
      </w:r>
      <w:r w:rsidRPr="00C05CBA">
        <w:rPr>
          <w:rStyle w:val="Emphasis"/>
          <w:rFonts w:cs="Calibri"/>
        </w:rPr>
        <w:t xml:space="preserve"> virus </w:t>
      </w:r>
      <w:r w:rsidRPr="00C05CBA">
        <w:rPr>
          <w:rStyle w:val="Emphasis"/>
          <w:rFonts w:cs="Calibri"/>
          <w:highlight w:val="green"/>
        </w:rPr>
        <w:t>mutations</w:t>
      </w:r>
      <w:r w:rsidRPr="00C05CBA">
        <w:rPr>
          <w:rFonts w:cs="Calibri"/>
          <w:highlight w:val="green"/>
          <w:u w:val="single"/>
        </w:rPr>
        <w:t xml:space="preserve">, more </w:t>
      </w:r>
      <w:r w:rsidRPr="00C05CBA">
        <w:rPr>
          <w:rStyle w:val="Emphasis"/>
          <w:rFonts w:cs="Calibri"/>
          <w:highlight w:val="green"/>
        </w:rPr>
        <w:t>contagious viruses</w:t>
      </w:r>
      <w:r w:rsidRPr="00C05CBA">
        <w:rPr>
          <w:rFonts w:cs="Calibri"/>
          <w:u w:val="single"/>
        </w:rPr>
        <w:t xml:space="preserve"> leading to a steep rise in COVID-19 cases</w:t>
      </w:r>
      <w:r w:rsidRPr="00C05CBA">
        <w:rPr>
          <w:rFonts w:cs="Calibri"/>
          <w:sz w:val="16"/>
        </w:rPr>
        <w:t>.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w:t>
      </w:r>
    </w:p>
    <w:p w14:paraId="79701A39" w14:textId="77777777" w:rsidR="00700D41" w:rsidRPr="00C05CBA" w:rsidRDefault="00700D41" w:rsidP="00700D41">
      <w:pPr>
        <w:spacing w:after="40" w:line="276" w:lineRule="auto"/>
        <w:rPr>
          <w:rFonts w:cs="Calibri"/>
          <w:u w:val="single"/>
        </w:rPr>
      </w:pPr>
      <w:r w:rsidRPr="00C05CBA">
        <w:rPr>
          <w:rFonts w:cs="Calibri"/>
          <w:highlight w:val="green"/>
          <w:u w:val="single"/>
        </w:rPr>
        <w:t xml:space="preserve">TRIPS: </w:t>
      </w:r>
      <w:r w:rsidRPr="00C05CBA">
        <w:rPr>
          <w:rStyle w:val="Emphasis"/>
          <w:rFonts w:cs="Calibri"/>
          <w:highlight w:val="green"/>
        </w:rPr>
        <w:t>Barrier</w:t>
      </w:r>
      <w:r w:rsidRPr="00C05CBA">
        <w:rPr>
          <w:rStyle w:val="Emphasis"/>
          <w:rFonts w:cs="Calibri"/>
        </w:rPr>
        <w:t xml:space="preserve"> to Equitable Health Care Access</w:t>
      </w:r>
    </w:p>
    <w:p w14:paraId="5CAAFF15" w14:textId="77777777" w:rsidR="00700D41" w:rsidRPr="00C05CBA" w:rsidRDefault="00700D41" w:rsidP="00700D41">
      <w:pPr>
        <w:spacing w:after="40" w:line="276" w:lineRule="auto"/>
        <w:rPr>
          <w:rFonts w:cs="Calibri"/>
          <w:sz w:val="16"/>
        </w:rPr>
      </w:pPr>
      <w:r w:rsidRPr="00C05CBA">
        <w:rPr>
          <w:rFonts w:cs="Calibri"/>
          <w:u w:val="single"/>
        </w:rPr>
        <w:t>The opponents of the waiver proposal argue that IPR are not a significant barrier to equitable access to health care, and existing TRIPS flexibilities are sufficient to address the COVID-19 pandemic</w:t>
      </w:r>
      <w:r w:rsidRPr="00C05CBA">
        <w:rPr>
          <w:rFonts w:cs="Calibri"/>
          <w:sz w:val="16"/>
        </w:rPr>
        <w:t xml:space="preserve">. However, </w:t>
      </w:r>
      <w:r w:rsidRPr="00C05CBA">
        <w:rPr>
          <w:rStyle w:val="Emphasis"/>
          <w:rFonts w:cs="Calibri"/>
        </w:rPr>
        <w:t>history suggests the contrary</w:t>
      </w:r>
      <w:r w:rsidRPr="00C05CBA">
        <w:rPr>
          <w:rFonts w:cs="Calibri"/>
          <w:sz w:val="16"/>
        </w:rPr>
        <w:t xml:space="preserve">. For instance, when South Africa passed the Medicines and Related Substances Act of 1997 to address the HIV/AIDS public health crisis, </w:t>
      </w:r>
      <w:r w:rsidRPr="00C05CBA">
        <w:rPr>
          <w:rFonts w:cs="Calibri"/>
          <w:u w:val="single"/>
        </w:rPr>
        <w:t xml:space="preserve">nearly </w:t>
      </w:r>
      <w:r w:rsidRPr="00C05CBA">
        <w:rPr>
          <w:rStyle w:val="Emphasis"/>
          <w:rFonts w:cs="Calibri"/>
        </w:rPr>
        <w:t>40 of world’s largest and influential pharma companies took the South African government to court over the violation of TRIPS</w:t>
      </w:r>
      <w:r w:rsidRPr="00C05CBA">
        <w:rPr>
          <w:rFonts w:cs="Calibri"/>
          <w:sz w:val="16"/>
        </w:rPr>
        <w:t xml:space="preserve">. The Act, which invoked the compulsory licensing provision, allowed South Africa to produce affordable generic drugs.15 </w:t>
      </w:r>
      <w:r w:rsidRPr="00C05CBA">
        <w:rPr>
          <w:rFonts w:cs="Calibri"/>
          <w:u w:val="single"/>
        </w:rPr>
        <w:t xml:space="preserve">The Big Pharma also lobbied developed countries, particularly the US, to put bilateral </w:t>
      </w:r>
      <w:r w:rsidRPr="00C05CBA">
        <w:rPr>
          <w:rStyle w:val="Emphasis"/>
          <w:rFonts w:cs="Calibri"/>
        </w:rPr>
        <w:t>trade sanctions against South Africa</w:t>
      </w:r>
      <w:r w:rsidRPr="00C05CBA">
        <w:rPr>
          <w:rFonts w:cs="Calibri"/>
          <w:sz w:val="16"/>
        </w:rPr>
        <w:t>.16</w:t>
      </w:r>
    </w:p>
    <w:p w14:paraId="2708A491" w14:textId="77777777" w:rsidR="00700D41" w:rsidRPr="00C05CBA" w:rsidRDefault="00700D41" w:rsidP="00700D41">
      <w:pPr>
        <w:spacing w:after="40" w:line="276" w:lineRule="auto"/>
        <w:rPr>
          <w:rFonts w:cs="Calibri"/>
          <w:sz w:val="16"/>
        </w:rPr>
      </w:pPr>
      <w:r w:rsidRPr="00C05CBA">
        <w:rPr>
          <w:rFonts w:cs="Calibri"/>
          <w:sz w:val="16"/>
        </w:rPr>
        <w:t xml:space="preserve">Similarly, </w:t>
      </w:r>
      <w:r w:rsidRPr="00C05CBA">
        <w:rPr>
          <w:rFonts w:cs="Calibri"/>
          <w:u w:val="single"/>
        </w:rPr>
        <w:t xml:space="preserve">when Indian company </w:t>
      </w:r>
      <w:proofErr w:type="spellStart"/>
      <w:r w:rsidRPr="00C05CBA">
        <w:rPr>
          <w:rFonts w:cs="Calibri"/>
          <w:u w:val="single"/>
        </w:rPr>
        <w:t>Cipla</w:t>
      </w:r>
      <w:proofErr w:type="spellEnd"/>
      <w:r w:rsidRPr="00C05CBA">
        <w:rPr>
          <w:rFonts w:cs="Calibri"/>
          <w:u w:val="single"/>
        </w:rPr>
        <w:t xml:space="preserve"> decided to provide generic </w:t>
      </w:r>
      <w:proofErr w:type="spellStart"/>
      <w:r w:rsidRPr="00C05CBA">
        <w:rPr>
          <w:rFonts w:cs="Calibri"/>
          <w:u w:val="single"/>
        </w:rPr>
        <w:t>antiretrovirals</w:t>
      </w:r>
      <w:proofErr w:type="spellEnd"/>
      <w:r w:rsidRPr="00C05CBA">
        <w:rPr>
          <w:rFonts w:cs="Calibri"/>
          <w:u w:val="single"/>
        </w:rPr>
        <w:t xml:space="preserve"> (ARVs) to the African market at a lower cost, Big Pharma retaliated through </w:t>
      </w:r>
      <w:r w:rsidRPr="00C05CBA">
        <w:rPr>
          <w:rStyle w:val="Emphasis"/>
          <w:rFonts w:cs="Calibri"/>
        </w:rPr>
        <w:t>patent litigations in Indian and international trade courts and branded Indian drug companies as thieves</w:t>
      </w:r>
      <w:r w:rsidRPr="00C05CBA">
        <w:rPr>
          <w:rFonts w:cs="Calibri"/>
          <w:sz w:val="16"/>
        </w:rPr>
        <w:t xml:space="preserve">.17 Another instance was when Swiss company Roche initiated patent infringement proceedings against </w:t>
      </w:r>
      <w:proofErr w:type="spellStart"/>
      <w:r w:rsidRPr="00C05CBA">
        <w:rPr>
          <w:rFonts w:cs="Calibri"/>
          <w:sz w:val="16"/>
        </w:rPr>
        <w:t>Cipla’s</w:t>
      </w:r>
      <w:proofErr w:type="spellEnd"/>
      <w:r w:rsidRPr="00C05CBA">
        <w:rPr>
          <w:rFonts w:cs="Calibri"/>
          <w:sz w:val="16"/>
        </w:rPr>
        <w:t xml:space="preserve"> decision to launch a generic version of cancer drug, “</w:t>
      </w:r>
      <w:proofErr w:type="spellStart"/>
      <w:r w:rsidRPr="00C05CBA">
        <w:rPr>
          <w:rFonts w:cs="Calibri"/>
          <w:sz w:val="16"/>
        </w:rPr>
        <w:t>erlotinib</w:t>
      </w:r>
      <w:proofErr w:type="spellEnd"/>
      <w:r w:rsidRPr="00C05CBA">
        <w:rPr>
          <w:rFonts w:cs="Calibri"/>
          <w:sz w:val="16"/>
        </w:rPr>
        <w:t>”.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w:t>
      </w:r>
    </w:p>
    <w:p w14:paraId="119E23A6" w14:textId="77777777" w:rsidR="00700D41" w:rsidRPr="00C05CBA" w:rsidRDefault="00700D41" w:rsidP="00700D41">
      <w:pPr>
        <w:spacing w:after="40" w:line="276" w:lineRule="auto"/>
        <w:rPr>
          <w:rFonts w:cs="Calibri"/>
          <w:sz w:val="16"/>
        </w:rPr>
      </w:pPr>
      <w:r w:rsidRPr="00C05CBA">
        <w:rPr>
          <w:rFonts w:cs="Calibri"/>
          <w:sz w:val="16"/>
        </w:rPr>
        <w:t xml:space="preserve">A recent document by </w:t>
      </w:r>
      <w:proofErr w:type="spellStart"/>
      <w:r w:rsidRPr="00C05CBA">
        <w:rPr>
          <w:rFonts w:cs="Calibri"/>
          <w:sz w:val="16"/>
        </w:rPr>
        <w:t>Médecins</w:t>
      </w:r>
      <w:proofErr w:type="spellEnd"/>
      <w:r w:rsidRPr="00C05CBA">
        <w:rPr>
          <w:rFonts w:cs="Calibri"/>
          <w:sz w:val="16"/>
        </w:rPr>
        <w:t xml:space="preserve"> Sans </w:t>
      </w:r>
      <w:proofErr w:type="spellStart"/>
      <w:r w:rsidRPr="00C05CBA">
        <w:rPr>
          <w:rFonts w:cs="Calibri"/>
          <w:sz w:val="16"/>
        </w:rPr>
        <w:t>Frontières</w:t>
      </w:r>
      <w:proofErr w:type="spellEnd"/>
      <w:r w:rsidRPr="00C05CBA">
        <w:rPr>
          <w:rFonts w:cs="Calibri"/>
          <w:sz w:val="16"/>
        </w:rPr>
        <w:t xml:space="preserve"> (MSF), or Doctors Without Borders, highlights various instances of how </w:t>
      </w:r>
      <w:r w:rsidRPr="00C05CBA">
        <w:rPr>
          <w:rFonts w:cs="Calibri"/>
          <w:highlight w:val="green"/>
          <w:u w:val="single"/>
        </w:rPr>
        <w:t xml:space="preserve">IP </w:t>
      </w:r>
      <w:r w:rsidRPr="00C05CBA">
        <w:rPr>
          <w:rStyle w:val="Emphasis"/>
          <w:rFonts w:cs="Calibri"/>
          <w:highlight w:val="green"/>
        </w:rPr>
        <w:t>hinders manufacturing</w:t>
      </w:r>
      <w:r w:rsidRPr="00C05CBA">
        <w:rPr>
          <w:rStyle w:val="Emphasis"/>
          <w:rFonts w:cs="Calibri"/>
        </w:rPr>
        <w:t xml:space="preserve"> and </w:t>
      </w:r>
      <w:r w:rsidRPr="00C05CBA">
        <w:rPr>
          <w:rStyle w:val="Emphasis"/>
          <w:rFonts w:cs="Calibri"/>
          <w:highlight w:val="green"/>
        </w:rPr>
        <w:t>supply of</w:t>
      </w:r>
      <w:r w:rsidRPr="00C05CBA">
        <w:rPr>
          <w:rStyle w:val="Emphasis"/>
          <w:rFonts w:cs="Calibri"/>
        </w:rPr>
        <w:t xml:space="preserve"> diagnostics, medical </w:t>
      </w:r>
      <w:r w:rsidRPr="00C05CBA">
        <w:rPr>
          <w:rStyle w:val="Emphasis"/>
          <w:rFonts w:cs="Calibri"/>
          <w:highlight w:val="green"/>
        </w:rPr>
        <w:t>equipment</w:t>
      </w:r>
      <w:r w:rsidRPr="00C05CBA">
        <w:rPr>
          <w:rFonts w:cs="Calibri"/>
          <w:u w:val="single"/>
        </w:rPr>
        <w:t xml:space="preserve">, </w:t>
      </w:r>
      <w:r w:rsidRPr="00C05CBA">
        <w:rPr>
          <w:rStyle w:val="Emphasis"/>
          <w:rFonts w:cs="Calibri"/>
        </w:rPr>
        <w:t>treatments</w:t>
      </w:r>
      <w:r w:rsidRPr="00C05CBA">
        <w:rPr>
          <w:rFonts w:cs="Calibri"/>
          <w:u w:val="single"/>
        </w:rPr>
        <w:t xml:space="preserve"> and </w:t>
      </w:r>
      <w:r w:rsidRPr="00C05CBA">
        <w:rPr>
          <w:rStyle w:val="Emphasis"/>
          <w:rFonts w:cs="Calibri"/>
        </w:rPr>
        <w:t>vaccines</w:t>
      </w:r>
      <w:r w:rsidRPr="00C05CBA">
        <w:rPr>
          <w:rFonts w:cs="Calibri"/>
          <w:u w:val="single"/>
        </w:rPr>
        <w:t xml:space="preserve"> during the COVID-19 pandemic</w:t>
      </w:r>
      <w:r w:rsidRPr="00C05CBA">
        <w:rPr>
          <w:rFonts w:cs="Calibri"/>
          <w:sz w:val="16"/>
        </w:rPr>
        <w:t>.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w:t>
      </w:r>
    </w:p>
    <w:p w14:paraId="7ACA4A07" w14:textId="77777777" w:rsidR="00700D41" w:rsidRPr="00C05CBA" w:rsidRDefault="00700D41" w:rsidP="00700D41">
      <w:pPr>
        <w:spacing w:after="40" w:line="276" w:lineRule="auto"/>
        <w:rPr>
          <w:rFonts w:cs="Calibri"/>
          <w:sz w:val="16"/>
        </w:rPr>
      </w:pPr>
      <w:r w:rsidRPr="00C05CBA">
        <w:rPr>
          <w:rFonts w:cs="Calibri"/>
          <w:sz w:val="16"/>
        </w:rPr>
        <w:t xml:space="preserve">The </w:t>
      </w:r>
      <w:r w:rsidRPr="00C05CBA">
        <w:rPr>
          <w:rFonts w:cs="Calibri"/>
          <w:u w:val="single"/>
        </w:rPr>
        <w:t xml:space="preserve">opponents of the TRIPS waiver also argue that IP is the </w:t>
      </w:r>
      <w:r w:rsidRPr="00C05CBA">
        <w:rPr>
          <w:rStyle w:val="Emphasis"/>
          <w:rFonts w:cs="Calibri"/>
        </w:rPr>
        <w:t>incentive for innovation and if it is undermined</w:t>
      </w:r>
      <w:r w:rsidRPr="00C05CBA">
        <w:rPr>
          <w:rFonts w:cs="Calibri"/>
          <w:u w:val="single"/>
        </w:rPr>
        <w:t xml:space="preserve">, future innovation will </w:t>
      </w:r>
      <w:r w:rsidRPr="00C05CBA">
        <w:rPr>
          <w:rStyle w:val="Emphasis"/>
          <w:rFonts w:cs="Calibri"/>
        </w:rPr>
        <w:t>suffer</w:t>
      </w:r>
      <w:r w:rsidRPr="00C05CBA">
        <w:rPr>
          <w:rFonts w:cs="Calibri"/>
          <w:u w:val="single"/>
        </w:rPr>
        <w:t xml:space="preserve">. However, most of the COVID-19 </w:t>
      </w:r>
      <w:r w:rsidRPr="00C05CBA">
        <w:rPr>
          <w:rStyle w:val="Emphasis"/>
          <w:rFonts w:cs="Calibri"/>
        </w:rPr>
        <w:t>medical innovations</w:t>
      </w:r>
      <w:r w:rsidRPr="00C05CBA">
        <w:rPr>
          <w:rFonts w:cs="Calibri"/>
          <w:u w:val="single"/>
        </w:rPr>
        <w:t xml:space="preserve">, particularly vaccines, are developed with </w:t>
      </w:r>
      <w:r w:rsidRPr="00C05CBA">
        <w:rPr>
          <w:rStyle w:val="Emphasis"/>
          <w:rFonts w:cs="Calibri"/>
        </w:rPr>
        <w:t>public financing assistance</w:t>
      </w:r>
      <w:r w:rsidRPr="00C05CBA">
        <w:rPr>
          <w:rFonts w:cs="Calibri"/>
          <w:sz w:val="16"/>
        </w:rPr>
        <w:t>. Governments spent billions of dollars for COVID-19 vaccine research. Notably, out of $6.1 billion in investment tracked up to July 2021, 98.12 per cent was public funding.22 The US and Germany are the largest investors in vaccine R&amp;D with $2.2 billion and $1.5 billion funding.</w:t>
      </w:r>
    </w:p>
    <w:p w14:paraId="3D86ED9F" w14:textId="77777777" w:rsidR="00700D41" w:rsidRPr="00C05CBA" w:rsidRDefault="00700D41" w:rsidP="00700D41">
      <w:pPr>
        <w:spacing w:after="40" w:line="276" w:lineRule="auto"/>
        <w:rPr>
          <w:rFonts w:cs="Calibri"/>
          <w:sz w:val="16"/>
        </w:rPr>
      </w:pPr>
      <w:r w:rsidRPr="00C05CBA">
        <w:rPr>
          <w:rFonts w:cs="Calibri"/>
          <w:sz w:val="16"/>
        </w:rPr>
        <w:t xml:space="preserve">Private companies received 94.6 per cent of this funding; </w:t>
      </w:r>
      <w:proofErr w:type="spellStart"/>
      <w:r w:rsidRPr="00C05CBA">
        <w:rPr>
          <w:rFonts w:cs="Calibri"/>
          <w:sz w:val="16"/>
        </w:rPr>
        <w:t>Moderna</w:t>
      </w:r>
      <w:proofErr w:type="spellEnd"/>
      <w:r w:rsidRPr="00C05CBA">
        <w:rPr>
          <w:rFonts w:cs="Calibri"/>
          <w:sz w:val="16"/>
        </w:rPr>
        <w:t xml:space="preserve">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w:t>
      </w:r>
    </w:p>
    <w:p w14:paraId="7C56C8FF" w14:textId="77777777" w:rsidR="00700D41" w:rsidRPr="00C05CBA" w:rsidRDefault="00700D41" w:rsidP="00700D41">
      <w:pPr>
        <w:spacing w:after="40" w:line="276" w:lineRule="auto"/>
        <w:rPr>
          <w:rFonts w:cs="Calibri"/>
          <w:sz w:val="16"/>
        </w:rPr>
      </w:pPr>
      <w:r w:rsidRPr="00C05CBA">
        <w:rPr>
          <w:rFonts w:cs="Calibri"/>
          <w:sz w:val="16"/>
        </w:rPr>
        <w:t xml:space="preserve">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w:t>
      </w:r>
      <w:proofErr w:type="spellStart"/>
      <w:r w:rsidRPr="00C05CBA">
        <w:rPr>
          <w:rFonts w:cs="Calibri"/>
          <w:sz w:val="16"/>
        </w:rPr>
        <w:t>favouring</w:t>
      </w:r>
      <w:proofErr w:type="spellEnd"/>
      <w:r w:rsidRPr="00C05CBA">
        <w:rPr>
          <w:rFonts w:cs="Calibri"/>
          <w:sz w:val="16"/>
        </w:rPr>
        <w:t xml:space="preserve"> developing countries’ products against this promise of technology transfer.</w:t>
      </w:r>
    </w:p>
    <w:p w14:paraId="2869CF7B" w14:textId="77777777" w:rsidR="00700D41" w:rsidRPr="00C05CBA" w:rsidRDefault="00700D41" w:rsidP="00700D41">
      <w:pPr>
        <w:spacing w:after="40" w:line="276" w:lineRule="auto"/>
        <w:rPr>
          <w:rStyle w:val="Emphasis"/>
          <w:rFonts w:cs="Calibri"/>
        </w:rPr>
      </w:pPr>
      <w:r w:rsidRPr="00C05CBA">
        <w:rPr>
          <w:rFonts w:cs="Calibri"/>
          <w:u w:val="single"/>
        </w:rPr>
        <w:t>Another argument against the proposed TRIPS waiver is that a waiver would not increase the manufacturing of COVID-19 vaccines</w:t>
      </w:r>
      <w:r w:rsidRPr="00C05CBA">
        <w:rPr>
          <w:rFonts w:cs="Calibri"/>
          <w:sz w:val="16"/>
        </w:rPr>
        <w:t xml:space="preserve">. Indeed, </w:t>
      </w:r>
      <w:r w:rsidRPr="00C05CBA">
        <w:rPr>
          <w:rFonts w:cs="Calibri"/>
          <w:u w:val="single"/>
        </w:rPr>
        <w:t xml:space="preserve">one of the </w:t>
      </w:r>
      <w:r w:rsidRPr="00C05CBA">
        <w:rPr>
          <w:rStyle w:val="Emphasis"/>
          <w:rFonts w:cs="Calibri"/>
          <w:highlight w:val="green"/>
        </w:rPr>
        <w:t>significant factors</w:t>
      </w:r>
      <w:r w:rsidRPr="00C05CBA">
        <w:rPr>
          <w:rStyle w:val="Emphasis"/>
          <w:rFonts w:cs="Calibri"/>
        </w:rPr>
        <w:t xml:space="preserve"> contributing </w:t>
      </w:r>
      <w:r w:rsidRPr="00C05CBA">
        <w:rPr>
          <w:rStyle w:val="Emphasis"/>
          <w:rFonts w:cs="Calibri"/>
          <w:highlight w:val="green"/>
        </w:rPr>
        <w:t>to vaccine inequity</w:t>
      </w:r>
      <w:r w:rsidRPr="00C05CBA">
        <w:rPr>
          <w:rFonts w:cs="Calibri"/>
          <w:highlight w:val="green"/>
          <w:u w:val="single"/>
        </w:rPr>
        <w:t xml:space="preserve"> is </w:t>
      </w:r>
      <w:r w:rsidRPr="00C05CBA">
        <w:rPr>
          <w:rFonts w:cs="Calibri"/>
          <w:u w:val="single"/>
        </w:rPr>
        <w:t xml:space="preserve">the </w:t>
      </w:r>
      <w:r w:rsidRPr="00C05CBA">
        <w:rPr>
          <w:rStyle w:val="Emphasis"/>
          <w:rFonts w:cs="Calibri"/>
          <w:highlight w:val="green"/>
        </w:rPr>
        <w:t>lack of manufacturing</w:t>
      </w:r>
      <w:r w:rsidRPr="00C05CBA">
        <w:rPr>
          <w:rStyle w:val="Emphasis"/>
          <w:rFonts w:cs="Calibri"/>
        </w:rPr>
        <w:t xml:space="preserve"> capacity</w:t>
      </w:r>
      <w:r w:rsidRPr="00C05CBA">
        <w:rPr>
          <w:rFonts w:cs="Calibri"/>
          <w:sz w:val="16"/>
        </w:rPr>
        <w:t xml:space="preserve"> in the global south. Further, a TRIPS waiver will not automatically translate into improved manufacturing capacity. However, </w:t>
      </w:r>
      <w:r w:rsidRPr="00C05CBA">
        <w:rPr>
          <w:rFonts w:cs="Calibri"/>
          <w:u w:val="single"/>
        </w:rPr>
        <w:t xml:space="preserve">a </w:t>
      </w:r>
      <w:r w:rsidRPr="00C05CBA">
        <w:rPr>
          <w:rFonts w:cs="Calibri"/>
          <w:highlight w:val="green"/>
          <w:u w:val="single"/>
        </w:rPr>
        <w:t>waiver</w:t>
      </w:r>
      <w:r w:rsidRPr="00C05CBA">
        <w:rPr>
          <w:rFonts w:cs="Calibri"/>
          <w:u w:val="single"/>
        </w:rPr>
        <w:t xml:space="preserve"> would be the first but essential step to </w:t>
      </w:r>
      <w:r w:rsidRPr="00C05CBA">
        <w:rPr>
          <w:rStyle w:val="Emphasis"/>
          <w:rFonts w:cs="Calibri"/>
          <w:highlight w:val="green"/>
        </w:rPr>
        <w:t>increase</w:t>
      </w:r>
      <w:r w:rsidRPr="00C05CBA">
        <w:rPr>
          <w:rStyle w:val="Emphasis"/>
          <w:rFonts w:cs="Calibri"/>
        </w:rPr>
        <w:t xml:space="preserve"> manufacturing </w:t>
      </w:r>
      <w:r w:rsidRPr="00C05CBA">
        <w:rPr>
          <w:rStyle w:val="Emphasis"/>
          <w:rFonts w:cs="Calibri"/>
          <w:highlight w:val="green"/>
        </w:rPr>
        <w:t>capacity</w:t>
      </w:r>
      <w:r w:rsidRPr="00C05CBA">
        <w:rPr>
          <w:rFonts w:cs="Calibri"/>
          <w:u w:val="single"/>
        </w:rPr>
        <w:t xml:space="preserve"> worldwide</w:t>
      </w:r>
      <w:r w:rsidRPr="00C05CBA">
        <w:rPr>
          <w:rFonts w:cs="Calibri"/>
          <w:sz w:val="16"/>
        </w:rPr>
        <w:t xml:space="preserve">. For instance, </w:t>
      </w:r>
      <w:r w:rsidRPr="00C05CBA">
        <w:rPr>
          <w:rFonts w:cs="Calibri"/>
          <w:highlight w:val="green"/>
          <w:u w:val="single"/>
        </w:rPr>
        <w:t xml:space="preserve">to </w:t>
      </w:r>
      <w:r w:rsidRPr="00C05CBA">
        <w:rPr>
          <w:rStyle w:val="Emphasis"/>
          <w:rFonts w:cs="Calibri"/>
          <w:highlight w:val="green"/>
        </w:rPr>
        <w:t>export</w:t>
      </w:r>
      <w:r w:rsidRPr="00C05CBA">
        <w:rPr>
          <w:rStyle w:val="Emphasis"/>
          <w:rFonts w:cs="Calibri"/>
        </w:rPr>
        <w:t xml:space="preserve"> COVID-19 </w:t>
      </w:r>
      <w:r w:rsidRPr="00C05CBA">
        <w:rPr>
          <w:rStyle w:val="Emphasis"/>
          <w:rFonts w:cs="Calibri"/>
          <w:highlight w:val="green"/>
        </w:rPr>
        <w:t>vaccine-related products</w:t>
      </w:r>
      <w:r w:rsidRPr="00C05CBA">
        <w:rPr>
          <w:rFonts w:cs="Calibri"/>
          <w:u w:val="single"/>
        </w:rPr>
        <w:t>, countries need to ensure that there are no IP restrictions at both ends</w:t>
      </w:r>
      <w:r w:rsidRPr="00C05CBA">
        <w:rPr>
          <w:rFonts w:cs="Calibri"/>
          <w:sz w:val="16"/>
        </w:rPr>
        <w:t xml:space="preserve"> – exporting and importing. The </w:t>
      </w:r>
      <w:r w:rsidRPr="00C05CBA">
        <w:rPr>
          <w:rFonts w:cs="Calibri"/>
          <w:u w:val="single"/>
        </w:rPr>
        <w:t>market for vaccine materials includes consumables, single-use reactors bags, filters, culture media, and vaccine ingredients. Export blockages</w:t>
      </w:r>
      <w:r w:rsidRPr="00C05CBA">
        <w:rPr>
          <w:rFonts w:cs="Calibri"/>
          <w:sz w:val="16"/>
        </w:rPr>
        <w:t xml:space="preserve"> on raw materials, equipment and finished products </w:t>
      </w:r>
      <w:r w:rsidRPr="00C05CBA">
        <w:rPr>
          <w:rFonts w:cs="Calibri"/>
          <w:u w:val="single"/>
        </w:rPr>
        <w:t xml:space="preserve">harm the overall output of the vaccine supply chain. If there is </w:t>
      </w:r>
      <w:r w:rsidRPr="00C05CBA">
        <w:rPr>
          <w:rFonts w:cs="Calibri"/>
          <w:highlight w:val="green"/>
          <w:u w:val="single"/>
        </w:rPr>
        <w:t>no TRIPS</w:t>
      </w:r>
      <w:r w:rsidRPr="00C05CBA">
        <w:rPr>
          <w:rFonts w:cs="Calibri"/>
          <w:u w:val="single"/>
        </w:rPr>
        <w:t xml:space="preserve"> restriction</w:t>
      </w:r>
      <w:r w:rsidRPr="00C05CBA">
        <w:rPr>
          <w:rFonts w:cs="Calibri"/>
          <w:sz w:val="16"/>
        </w:rPr>
        <w:t xml:space="preserve">, more </w:t>
      </w:r>
      <w:r w:rsidRPr="00C05CBA">
        <w:rPr>
          <w:rFonts w:cs="Calibri"/>
          <w:highlight w:val="green"/>
          <w:u w:val="single"/>
        </w:rPr>
        <w:t>governments</w:t>
      </w:r>
      <w:r w:rsidRPr="00C05CBA">
        <w:rPr>
          <w:rFonts w:cs="Calibri"/>
          <w:u w:val="single"/>
        </w:rPr>
        <w:t xml:space="preserve"> and companies will </w:t>
      </w:r>
      <w:r w:rsidRPr="00C05CBA">
        <w:rPr>
          <w:rFonts w:cs="Calibri"/>
          <w:highlight w:val="green"/>
          <w:u w:val="single"/>
        </w:rPr>
        <w:t xml:space="preserve">invest in </w:t>
      </w:r>
      <w:r w:rsidRPr="00C05CBA">
        <w:rPr>
          <w:rStyle w:val="Emphasis"/>
          <w:rFonts w:cs="Calibri"/>
          <w:highlight w:val="green"/>
        </w:rPr>
        <w:t>repurposing</w:t>
      </w:r>
      <w:r w:rsidRPr="00C05CBA">
        <w:rPr>
          <w:rStyle w:val="Emphasis"/>
          <w:rFonts w:cs="Calibri"/>
        </w:rPr>
        <w:t xml:space="preserve"> their </w:t>
      </w:r>
      <w:r w:rsidRPr="00C05CBA">
        <w:rPr>
          <w:rStyle w:val="Emphasis"/>
          <w:rFonts w:cs="Calibri"/>
          <w:highlight w:val="green"/>
        </w:rPr>
        <w:t>facilities</w:t>
      </w:r>
      <w:r w:rsidRPr="00C05CBA">
        <w:rPr>
          <w:rStyle w:val="Emphasis"/>
          <w:rFonts w:cs="Calibri"/>
        </w:rPr>
        <w:t>.</w:t>
      </w:r>
    </w:p>
    <w:p w14:paraId="7E496A6F" w14:textId="77777777" w:rsidR="00700D41" w:rsidRPr="00C05CBA" w:rsidRDefault="00700D41" w:rsidP="00700D41">
      <w:pPr>
        <w:spacing w:after="40" w:line="276" w:lineRule="auto"/>
        <w:rPr>
          <w:rFonts w:cs="Calibri"/>
          <w:u w:val="single"/>
        </w:rPr>
      </w:pPr>
      <w:r w:rsidRPr="00C05CBA">
        <w:rPr>
          <w:rFonts w:cs="Calibri"/>
          <w:sz w:val="16"/>
        </w:rPr>
        <w:t xml:space="preserve">Similarly, </w:t>
      </w:r>
      <w:r w:rsidRPr="00C05CBA">
        <w:rPr>
          <w:rFonts w:cs="Calibri"/>
          <w:u w:val="single"/>
        </w:rPr>
        <w:t xml:space="preserve">the </w:t>
      </w:r>
      <w:r w:rsidRPr="00C05CBA">
        <w:rPr>
          <w:rFonts w:cs="Calibri"/>
          <w:highlight w:val="green"/>
          <w:u w:val="single"/>
        </w:rPr>
        <w:t>arguments</w:t>
      </w:r>
      <w:r w:rsidRPr="00C05CBA">
        <w:rPr>
          <w:rFonts w:cs="Calibri"/>
          <w:u w:val="single"/>
        </w:rPr>
        <w:t xml:space="preserve"> such as that </w:t>
      </w:r>
      <w:r w:rsidRPr="00C05CBA">
        <w:rPr>
          <w:rStyle w:val="Emphasis"/>
          <w:rFonts w:cs="Calibri"/>
        </w:rPr>
        <w:t xml:space="preserve">no other </w:t>
      </w:r>
      <w:r w:rsidRPr="00C05CBA">
        <w:rPr>
          <w:rStyle w:val="Emphasis"/>
          <w:rFonts w:cs="Calibri"/>
          <w:highlight w:val="green"/>
        </w:rPr>
        <w:t>manufacturers</w:t>
      </w:r>
      <w:r w:rsidRPr="00C05CBA">
        <w:rPr>
          <w:rStyle w:val="Emphasis"/>
          <w:rFonts w:cs="Calibri"/>
        </w:rPr>
        <w:t xml:space="preserve"> can carry out the complex manufacturing</w:t>
      </w:r>
      <w:r w:rsidRPr="00C05CBA">
        <w:rPr>
          <w:rFonts w:cs="Calibri"/>
          <w:u w:val="single"/>
        </w:rPr>
        <w:t xml:space="preserve"> </w:t>
      </w:r>
      <w:r w:rsidRPr="00C05CBA">
        <w:rPr>
          <w:rStyle w:val="Emphasis"/>
          <w:rFonts w:cs="Calibri"/>
        </w:rPr>
        <w:t>process</w:t>
      </w:r>
      <w:r w:rsidRPr="00C05CBA">
        <w:rPr>
          <w:rFonts w:cs="Calibri"/>
          <w:u w:val="single"/>
        </w:rPr>
        <w:t xml:space="preserve"> of COVID-19 vaccines and generic manufacturing as that would </w:t>
      </w:r>
      <w:proofErr w:type="spellStart"/>
      <w:r w:rsidRPr="00C05CBA">
        <w:rPr>
          <w:rFonts w:cs="Calibri"/>
          <w:highlight w:val="green"/>
          <w:u w:val="single"/>
        </w:rPr>
        <w:t>jeopardise</w:t>
      </w:r>
      <w:proofErr w:type="spellEnd"/>
      <w:r w:rsidRPr="00C05CBA">
        <w:rPr>
          <w:rFonts w:cs="Calibri"/>
          <w:highlight w:val="green"/>
          <w:u w:val="single"/>
        </w:rPr>
        <w:t xml:space="preserve"> quality</w:t>
      </w:r>
      <w:r w:rsidRPr="00C05CBA">
        <w:rPr>
          <w:rFonts w:cs="Calibri"/>
          <w:u w:val="single"/>
        </w:rPr>
        <w:t xml:space="preserve">, have also been proven </w:t>
      </w:r>
      <w:r w:rsidRPr="00C05CBA">
        <w:rPr>
          <w:rStyle w:val="Emphasis"/>
          <w:rFonts w:cs="Calibri"/>
          <w:highlight w:val="green"/>
        </w:rPr>
        <w:t>wrong</w:t>
      </w:r>
      <w:r w:rsidRPr="00C05CBA">
        <w:rPr>
          <w:rFonts w:cs="Calibri"/>
          <w:u w:val="single"/>
        </w:rPr>
        <w:t xml:space="preserve"> in the past</w:t>
      </w:r>
      <w:r w:rsidRPr="00C05CBA">
        <w:rPr>
          <w:rFonts w:cs="Calibri"/>
          <w:sz w:val="16"/>
        </w:rPr>
        <w:t xml:space="preserve">. For instance, in the early 1990s, when Indian company </w:t>
      </w:r>
      <w:proofErr w:type="spellStart"/>
      <w:r w:rsidRPr="00C05CBA">
        <w:rPr>
          <w:rFonts w:cs="Calibri"/>
          <w:sz w:val="16"/>
        </w:rPr>
        <w:t>Shantha</w:t>
      </w:r>
      <w:proofErr w:type="spellEnd"/>
      <w:r w:rsidRPr="00C05CBA">
        <w:rPr>
          <w:rFonts w:cs="Calibri"/>
          <w:sz w:val="16"/>
        </w:rPr>
        <w:t xml:space="preserve"> </w:t>
      </w:r>
      <w:proofErr w:type="spellStart"/>
      <w:r w:rsidRPr="00C05CBA">
        <w:rPr>
          <w:rFonts w:cs="Calibri"/>
          <w:sz w:val="16"/>
        </w:rPr>
        <w:t>Biotechnics</w:t>
      </w:r>
      <w:proofErr w:type="spellEnd"/>
      <w:r w:rsidRPr="00C05CBA">
        <w:rPr>
          <w:rFonts w:cs="Calibri"/>
          <w:sz w:val="16"/>
        </w:rPr>
        <w:t xml:space="preserve">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proofErr w:type="spellStart"/>
      <w:r w:rsidRPr="00C05CBA">
        <w:rPr>
          <w:rFonts w:cs="Calibri"/>
          <w:u w:val="single"/>
        </w:rPr>
        <w:t>Shantha</w:t>
      </w:r>
      <w:proofErr w:type="spellEnd"/>
      <w:r w:rsidRPr="00C05CBA">
        <w:rPr>
          <w:rFonts w:cs="Calibri"/>
          <w:u w:val="single"/>
        </w:rPr>
        <w:t xml:space="preserve"> </w:t>
      </w:r>
      <w:proofErr w:type="spellStart"/>
      <w:r w:rsidRPr="00C05CBA">
        <w:rPr>
          <w:rFonts w:cs="Calibri"/>
          <w:highlight w:val="green"/>
          <w:u w:val="single"/>
        </w:rPr>
        <w:t>Biotechnics</w:t>
      </w:r>
      <w:proofErr w:type="spellEnd"/>
      <w:r w:rsidRPr="00C05CBA">
        <w:rPr>
          <w:rFonts w:cs="Calibri"/>
          <w:highlight w:val="green"/>
          <w:u w:val="single"/>
        </w:rPr>
        <w:t xml:space="preserve"> </w:t>
      </w:r>
      <w:r w:rsidRPr="00C05CBA">
        <w:rPr>
          <w:rStyle w:val="Emphasis"/>
          <w:rFonts w:cs="Calibri"/>
          <w:highlight w:val="green"/>
        </w:rPr>
        <w:t>developed</w:t>
      </w:r>
      <w:r w:rsidRPr="00C05CBA">
        <w:rPr>
          <w:rStyle w:val="Emphasis"/>
          <w:rFonts w:cs="Calibri"/>
        </w:rPr>
        <w:t xml:space="preserve"> its </w:t>
      </w:r>
      <w:r w:rsidRPr="00C05CBA">
        <w:rPr>
          <w:rStyle w:val="Emphasis"/>
          <w:rFonts w:cs="Calibri"/>
          <w:highlight w:val="green"/>
        </w:rPr>
        <w:t>own vaccine</w:t>
      </w:r>
      <w:r w:rsidRPr="00C05CBA">
        <w:rPr>
          <w:rStyle w:val="Emphasis"/>
          <w:rFonts w:cs="Calibri"/>
        </w:rPr>
        <w:t xml:space="preserve"> at $1 per dose</w:t>
      </w:r>
      <w:r w:rsidRPr="00C05CBA">
        <w:rPr>
          <w:rFonts w:cs="Calibri"/>
          <w:u w:val="single"/>
        </w:rPr>
        <w:t xml:space="preserve">, and the UNICEF (United Nations Children’s Emergency Fund) mass inoculation </w:t>
      </w:r>
      <w:proofErr w:type="spellStart"/>
      <w:r w:rsidRPr="00C05CBA">
        <w:rPr>
          <w:rFonts w:cs="Calibri"/>
          <w:u w:val="single"/>
        </w:rPr>
        <w:t>programme</w:t>
      </w:r>
      <w:proofErr w:type="spellEnd"/>
      <w:r w:rsidRPr="00C05CBA">
        <w:rPr>
          <w:rFonts w:cs="Calibri"/>
          <w:u w:val="single"/>
        </w:rPr>
        <w:t xml:space="preserve"> uses this vaccine against Hepatitis B. In 2009, </w:t>
      </w:r>
      <w:proofErr w:type="spellStart"/>
      <w:r w:rsidRPr="00C05CBA">
        <w:rPr>
          <w:rFonts w:cs="Calibri"/>
          <w:u w:val="single"/>
        </w:rPr>
        <w:t>Shantha</w:t>
      </w:r>
      <w:proofErr w:type="spellEnd"/>
      <w:r w:rsidRPr="00C05CBA">
        <w:rPr>
          <w:rFonts w:cs="Calibri"/>
          <w:u w:val="single"/>
        </w:rPr>
        <w:t xml:space="preserve"> sold over 120 million doses of vaccines globally.</w:t>
      </w:r>
    </w:p>
    <w:p w14:paraId="618532D6" w14:textId="77777777" w:rsidR="00700D41" w:rsidRPr="00C05CBA" w:rsidRDefault="00700D41" w:rsidP="00700D41">
      <w:pPr>
        <w:spacing w:after="40" w:line="276" w:lineRule="auto"/>
        <w:rPr>
          <w:rFonts w:cs="Calibri"/>
          <w:sz w:val="16"/>
        </w:rPr>
      </w:pPr>
      <w:r w:rsidRPr="00C05CBA">
        <w:rPr>
          <w:rFonts w:cs="Calibri"/>
          <w:highlight w:val="green"/>
          <w:u w:val="single"/>
        </w:rPr>
        <w:t>India</w:t>
      </w:r>
      <w:r w:rsidRPr="00C05CBA">
        <w:rPr>
          <w:rFonts w:cs="Calibri"/>
          <w:u w:val="single"/>
        </w:rPr>
        <w:t xml:space="preserve"> also </w:t>
      </w:r>
      <w:r w:rsidRPr="00C05CBA">
        <w:rPr>
          <w:rFonts w:cs="Calibri"/>
          <w:highlight w:val="green"/>
          <w:u w:val="single"/>
        </w:rPr>
        <w:t xml:space="preserve">produces </w:t>
      </w:r>
      <w:r w:rsidRPr="00C05CBA">
        <w:rPr>
          <w:rStyle w:val="Emphasis"/>
          <w:rFonts w:cs="Calibri"/>
          <w:highlight w:val="green"/>
        </w:rPr>
        <w:t>high-quality generic</w:t>
      </w:r>
      <w:r w:rsidRPr="00C05CBA">
        <w:rPr>
          <w:rStyle w:val="Emphasis"/>
          <w:rFonts w:cs="Calibri"/>
        </w:rPr>
        <w:t xml:space="preserve"> drugs for HIV/AIDS and cancer treatment</w:t>
      </w:r>
      <w:r w:rsidRPr="00C05CBA">
        <w:rPr>
          <w:rFonts w:cs="Calibri"/>
          <w:u w:val="single"/>
        </w:rPr>
        <w:t xml:space="preserve"> and markets them across the globe</w:t>
      </w:r>
      <w:r w:rsidRPr="00C05CBA">
        <w:rPr>
          <w:rFonts w:cs="Calibri"/>
          <w:sz w:val="16"/>
        </w:rPr>
        <w:t xml:space="preserve">. Now, a couple of </w:t>
      </w:r>
      <w:r w:rsidRPr="00C05CBA">
        <w:rPr>
          <w:rFonts w:cs="Calibri"/>
          <w:u w:val="single"/>
        </w:rPr>
        <w:t xml:space="preserve">Indian companies are in the </w:t>
      </w:r>
      <w:r w:rsidRPr="00C05CBA">
        <w:rPr>
          <w:rStyle w:val="Emphasis"/>
          <w:rFonts w:cs="Calibri"/>
        </w:rPr>
        <w:t xml:space="preserve">last stage of </w:t>
      </w:r>
      <w:r w:rsidRPr="00C05CBA">
        <w:rPr>
          <w:rStyle w:val="Emphasis"/>
          <w:rFonts w:cs="Calibri"/>
          <w:highlight w:val="green"/>
        </w:rPr>
        <w:t>producing mRNA</w:t>
      </w:r>
      <w:r w:rsidRPr="00C05CBA">
        <w:rPr>
          <w:rFonts w:cs="Calibri"/>
          <w:sz w:val="16"/>
        </w:rPr>
        <w:t xml:space="preserve"> (Messenger RNA) </w:t>
      </w:r>
      <w:r w:rsidRPr="00C05CBA">
        <w:rPr>
          <w:rFonts w:cs="Calibri"/>
          <w:u w:val="single"/>
        </w:rPr>
        <w:t>vaccines</w:t>
      </w:r>
      <w:r w:rsidRPr="00C05CBA">
        <w:rPr>
          <w:rFonts w:cs="Calibri"/>
          <w:sz w:val="16"/>
        </w:rPr>
        <w:t xml:space="preserve">.26 Similarly, </w:t>
      </w:r>
      <w:r w:rsidRPr="00C05CBA">
        <w:rPr>
          <w:rFonts w:cs="Calibri"/>
          <w:highlight w:val="green"/>
          <w:u w:val="single"/>
        </w:rPr>
        <w:t>Bangladesh and Indonesia</w:t>
      </w:r>
      <w:r w:rsidRPr="00C05CBA">
        <w:rPr>
          <w:rFonts w:cs="Calibri"/>
          <w:u w:val="single"/>
        </w:rPr>
        <w:t xml:space="preserve"> claimed that they could </w:t>
      </w:r>
      <w:r w:rsidRPr="00C05CBA">
        <w:rPr>
          <w:rStyle w:val="Emphasis"/>
          <w:rFonts w:cs="Calibri"/>
          <w:highlight w:val="green"/>
        </w:rPr>
        <w:t>manufacture millions</w:t>
      </w:r>
      <w:r w:rsidRPr="00C05CBA">
        <w:rPr>
          <w:rStyle w:val="Emphasis"/>
          <w:rFonts w:cs="Calibri"/>
        </w:rPr>
        <w:t xml:space="preserve"> of COVID-19 vaccine doses a year</w:t>
      </w:r>
      <w:r w:rsidRPr="00C05CBA">
        <w:rPr>
          <w:rFonts w:cs="Calibri"/>
          <w:u w:val="single"/>
        </w:rPr>
        <w:t xml:space="preserve"> if pharmaceutical companies share the know-how</w:t>
      </w:r>
      <w:r w:rsidRPr="00C05CBA">
        <w:rPr>
          <w:rFonts w:cs="Calibri"/>
          <w:sz w:val="16"/>
        </w:rPr>
        <w:t xml:space="preserve">.27 Recently, </w:t>
      </w:r>
      <w:r w:rsidRPr="00C05CBA">
        <w:rPr>
          <w:rFonts w:cs="Calibri"/>
          <w:highlight w:val="green"/>
          <w:u w:val="single"/>
        </w:rPr>
        <w:t>Vietnam</w:t>
      </w:r>
      <w:r w:rsidRPr="00C05CBA">
        <w:rPr>
          <w:rFonts w:cs="Calibri"/>
          <w:u w:val="single"/>
        </w:rPr>
        <w:t xml:space="preserve"> also said that the country </w:t>
      </w:r>
      <w:r w:rsidRPr="00C05CBA">
        <w:rPr>
          <w:rFonts w:cs="Calibri"/>
          <w:highlight w:val="green"/>
          <w:u w:val="single"/>
        </w:rPr>
        <w:t xml:space="preserve">could </w:t>
      </w:r>
      <w:r w:rsidRPr="00C05CBA">
        <w:rPr>
          <w:rStyle w:val="Emphasis"/>
          <w:rFonts w:cs="Calibri"/>
          <w:highlight w:val="green"/>
        </w:rPr>
        <w:t>satisfy</w:t>
      </w:r>
      <w:r w:rsidRPr="00C05CBA">
        <w:rPr>
          <w:rStyle w:val="Emphasis"/>
          <w:rFonts w:cs="Calibri"/>
        </w:rPr>
        <w:t xml:space="preserve"> COVID-19 vaccine </w:t>
      </w:r>
      <w:r w:rsidRPr="00C05CBA">
        <w:rPr>
          <w:rStyle w:val="Emphasis"/>
          <w:rFonts w:cs="Calibri"/>
          <w:highlight w:val="green"/>
        </w:rPr>
        <w:t>production</w:t>
      </w:r>
      <w:r w:rsidRPr="00C05CBA">
        <w:rPr>
          <w:rFonts w:cs="Calibri"/>
          <w:u w:val="single"/>
        </w:rPr>
        <w:t xml:space="preserve"> requirements once it obtains vaccine patents</w:t>
      </w:r>
      <w:r w:rsidRPr="00C05CBA">
        <w:rPr>
          <w:rFonts w:cs="Calibri"/>
          <w:sz w:val="16"/>
        </w:rPr>
        <w:t>.28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w:t>
      </w:r>
    </w:p>
    <w:p w14:paraId="4DFC282A" w14:textId="77777777" w:rsidR="00700D41" w:rsidRPr="00C05CBA" w:rsidRDefault="00700D41" w:rsidP="00700D41">
      <w:pPr>
        <w:spacing w:after="40" w:line="276" w:lineRule="auto"/>
        <w:rPr>
          <w:rFonts w:cs="Calibri"/>
          <w:sz w:val="16"/>
        </w:rPr>
      </w:pPr>
      <w:r w:rsidRPr="00C05CBA">
        <w:rPr>
          <w:rFonts w:cs="Calibri"/>
          <w:sz w:val="16"/>
        </w:rPr>
        <w:t xml:space="preserve">Moreover, </w:t>
      </w:r>
      <w:r w:rsidRPr="00C05CBA">
        <w:rPr>
          <w:rFonts w:cs="Calibri"/>
          <w:u w:val="single"/>
        </w:rPr>
        <w:t xml:space="preserve">COVID-19 vaccine IPR runs </w:t>
      </w:r>
      <w:r w:rsidRPr="00C05CBA">
        <w:rPr>
          <w:rStyle w:val="Emphasis"/>
          <w:rFonts w:cs="Calibri"/>
        </w:rPr>
        <w:t>across the entire value chain</w:t>
      </w:r>
      <w:r w:rsidRPr="00C05CBA">
        <w:rPr>
          <w:rFonts w:cs="Calibri"/>
          <w:sz w:val="16"/>
        </w:rPr>
        <w:t xml:space="preserve"> – vaccine development, production, use, etc. A mere patent waiver may not be enough to address the issues related to its production and distribution. </w:t>
      </w:r>
      <w:r w:rsidRPr="00C05CBA">
        <w:rPr>
          <w:rFonts w:cs="Calibri"/>
          <w:u w:val="single"/>
        </w:rPr>
        <w:t xml:space="preserve">What is more important here is to </w:t>
      </w:r>
      <w:r w:rsidRPr="00C05CBA">
        <w:rPr>
          <w:rFonts w:cs="Calibri"/>
          <w:highlight w:val="green"/>
          <w:u w:val="single"/>
        </w:rPr>
        <w:t>share</w:t>
      </w:r>
      <w:r w:rsidRPr="00C05CBA">
        <w:rPr>
          <w:rFonts w:cs="Calibri"/>
          <w:u w:val="single"/>
        </w:rPr>
        <w:t xml:space="preserve"> the technical </w:t>
      </w:r>
      <w:r w:rsidRPr="00C05CBA">
        <w:rPr>
          <w:rStyle w:val="Emphasis"/>
          <w:rFonts w:cs="Calibri"/>
          <w:highlight w:val="green"/>
        </w:rPr>
        <w:t>know-how and information</w:t>
      </w:r>
      <w:r w:rsidRPr="00C05CBA">
        <w:rPr>
          <w:rFonts w:cs="Calibri"/>
          <w:u w:val="single"/>
        </w:rPr>
        <w:t xml:space="preserve"> such as trade secrets. Therefore, the existing TRIPS flexibilities, such as </w:t>
      </w:r>
      <w:r w:rsidRPr="00C05CBA">
        <w:rPr>
          <w:rStyle w:val="Emphasis"/>
          <w:rFonts w:cs="Calibri"/>
          <w:highlight w:val="green"/>
        </w:rPr>
        <w:t>compulsory</w:t>
      </w:r>
      <w:r w:rsidRPr="00C05CBA">
        <w:rPr>
          <w:rStyle w:val="Emphasis"/>
          <w:rFonts w:cs="Calibri"/>
        </w:rPr>
        <w:t xml:space="preserve"> and voluntary </w:t>
      </w:r>
      <w:r w:rsidRPr="00C05CBA">
        <w:rPr>
          <w:rStyle w:val="Emphasis"/>
          <w:rFonts w:cs="Calibri"/>
          <w:highlight w:val="green"/>
        </w:rPr>
        <w:t>licensing</w:t>
      </w:r>
      <w:r w:rsidRPr="00C05CBA">
        <w:rPr>
          <w:rStyle w:val="Emphasis"/>
          <w:rFonts w:cs="Calibri"/>
        </w:rPr>
        <w:t xml:space="preserve">, are </w:t>
      </w:r>
      <w:r w:rsidRPr="00C05CBA">
        <w:rPr>
          <w:rStyle w:val="Emphasis"/>
          <w:rFonts w:cs="Calibri"/>
          <w:highlight w:val="green"/>
        </w:rPr>
        <w:t>insufficient</w:t>
      </w:r>
      <w:r w:rsidRPr="00C05CBA">
        <w:rPr>
          <w:rFonts w:cs="Calibri"/>
          <w:u w:val="single"/>
        </w:rPr>
        <w:t xml:space="preserve"> to address this crisis</w:t>
      </w:r>
      <w:r w:rsidRPr="00C05CBA">
        <w:rPr>
          <w:rFonts w:cs="Calibri"/>
          <w:sz w:val="16"/>
        </w:rPr>
        <w:t>. Further, compulsory licensing and the domestic legal procedures it requires is cumbersome and not expedient in a public health crisis like the COVID-19 pandemic.</w:t>
      </w:r>
    </w:p>
    <w:p w14:paraId="5D9DA6BA" w14:textId="77777777" w:rsidR="00700D41" w:rsidRPr="00C05CBA" w:rsidRDefault="00700D41" w:rsidP="00700D41">
      <w:pPr>
        <w:spacing w:after="40" w:line="276" w:lineRule="auto"/>
        <w:rPr>
          <w:rFonts w:cs="Calibri"/>
          <w:sz w:val="16"/>
          <w:szCs w:val="16"/>
        </w:rPr>
      </w:pPr>
      <w:r w:rsidRPr="00C05CBA">
        <w:rPr>
          <w:rFonts w:cs="Calibri"/>
          <w:sz w:val="16"/>
          <w:szCs w:val="16"/>
        </w:rPr>
        <w:t xml:space="preserve">India’s Role in Ensuring Vaccine Equity India's response to COVID-19 at the global level was primarily two-fold. First, its proactive engagements in the regional and international platforms. Second, its policies and </w:t>
      </w:r>
      <w:proofErr w:type="spellStart"/>
      <w:r w:rsidRPr="00C05CBA">
        <w:rPr>
          <w:rFonts w:cs="Calibri"/>
          <w:sz w:val="16"/>
          <w:szCs w:val="16"/>
        </w:rPr>
        <w:t>programmes</w:t>
      </w:r>
      <w:proofErr w:type="spellEnd"/>
      <w:r w:rsidRPr="00C05CBA">
        <w:rPr>
          <w:rFonts w:cs="Calibri"/>
          <w:sz w:val="16"/>
          <w:szCs w:val="16"/>
        </w:rPr>
        <w:t xml:space="preserve">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w:t>
      </w:r>
      <w:proofErr w:type="spellStart"/>
      <w:r w:rsidRPr="00C05CBA">
        <w:rPr>
          <w:rFonts w:cs="Calibri"/>
          <w:sz w:val="16"/>
          <w:szCs w:val="16"/>
        </w:rPr>
        <w:t>Maitri</w:t>
      </w:r>
      <w:proofErr w:type="spellEnd"/>
      <w:r w:rsidRPr="00C05CBA">
        <w:rPr>
          <w:rFonts w:cs="Calibri"/>
          <w:sz w:val="16"/>
          <w:szCs w:val="16"/>
        </w:rPr>
        <w:t xml:space="preserve">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w:t>
      </w:r>
      <w:proofErr w:type="spellStart"/>
      <w:r w:rsidRPr="00C05CBA">
        <w:rPr>
          <w:rFonts w:cs="Calibri"/>
          <w:sz w:val="16"/>
          <w:szCs w:val="16"/>
        </w:rPr>
        <w:t>Covaxin</w:t>
      </w:r>
      <w:proofErr w:type="spellEnd"/>
      <w:r w:rsidRPr="00C05CBA">
        <w:rPr>
          <w:rFonts w:cs="Calibri"/>
          <w:sz w:val="16"/>
          <w:szCs w:val="16"/>
        </w:rPr>
        <w:t xml:space="preserve">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w:t>
      </w:r>
      <w:proofErr w:type="spellStart"/>
      <w:r w:rsidRPr="00C05CBA">
        <w:rPr>
          <w:rFonts w:cs="Calibri"/>
          <w:sz w:val="16"/>
          <w:szCs w:val="16"/>
        </w:rPr>
        <w:t>Maitri</w:t>
      </w:r>
      <w:proofErr w:type="spellEnd"/>
      <w:r w:rsidRPr="00C05CBA">
        <w:rPr>
          <w:rFonts w:cs="Calibri"/>
          <w:sz w:val="16"/>
          <w:szCs w:val="16"/>
        </w:rPr>
        <w:t xml:space="preserve"> initiative is the scarcity of vaccines at home. On the other hand, China is increasing its standing in Africa, South America and the Pacific through vaccine diplomacy. The WHO approval of the Chinese vaccines and lack of access to vaccines by most developing countries, opens up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w:t>
      </w:r>
      <w:proofErr w:type="spellStart"/>
      <w:r w:rsidRPr="00C05CBA">
        <w:rPr>
          <w:rFonts w:cs="Calibri"/>
          <w:sz w:val="16"/>
          <w:szCs w:val="16"/>
        </w:rPr>
        <w:t>pressurising</w:t>
      </w:r>
      <w:proofErr w:type="spellEnd"/>
      <w:r w:rsidRPr="00C05CBA">
        <w:rPr>
          <w:rFonts w:cs="Calibri"/>
          <w:sz w:val="16"/>
          <w:szCs w:val="16"/>
        </w:rPr>
        <w:t>, to make the waiver happen.</w:t>
      </w:r>
    </w:p>
    <w:p w14:paraId="041214C0" w14:textId="77777777" w:rsidR="00700D41" w:rsidRPr="00C05CBA" w:rsidRDefault="00700D41" w:rsidP="00700D41">
      <w:pPr>
        <w:pStyle w:val="Heading4"/>
        <w:spacing w:before="0" w:after="40" w:line="276" w:lineRule="auto"/>
        <w:rPr>
          <w:rFonts w:cs="Calibri"/>
        </w:rPr>
      </w:pPr>
      <w:proofErr w:type="gramStart"/>
      <w:r w:rsidRPr="00C05CBA">
        <w:rPr>
          <w:rFonts w:cs="Calibri"/>
        </w:rPr>
        <w:t>Yes</w:t>
      </w:r>
      <w:proofErr w:type="gramEnd"/>
      <w:r w:rsidRPr="00C05CBA">
        <w:rPr>
          <w:rFonts w:cs="Calibri"/>
        </w:rPr>
        <w:t xml:space="preserve"> </w:t>
      </w:r>
      <w:r w:rsidRPr="00C05CBA">
        <w:rPr>
          <w:rFonts w:cs="Calibri"/>
          <w:u w:val="single"/>
        </w:rPr>
        <w:t>scale-up</w:t>
      </w:r>
      <w:r w:rsidRPr="00C05CBA">
        <w:rPr>
          <w:rFonts w:cs="Calibri"/>
        </w:rPr>
        <w:t xml:space="preserve"> for </w:t>
      </w:r>
      <w:proofErr w:type="spellStart"/>
      <w:r w:rsidRPr="00C05CBA">
        <w:rPr>
          <w:rFonts w:cs="Calibri"/>
        </w:rPr>
        <w:t>covid</w:t>
      </w:r>
      <w:proofErr w:type="spellEnd"/>
      <w:r w:rsidRPr="00C05CBA">
        <w:rPr>
          <w:rFonts w:cs="Calibri"/>
        </w:rPr>
        <w:t>.</w:t>
      </w:r>
    </w:p>
    <w:p w14:paraId="44B2C1CC" w14:textId="77777777" w:rsidR="00700D41" w:rsidRPr="00C05CBA" w:rsidRDefault="00700D41" w:rsidP="00700D41">
      <w:pPr>
        <w:spacing w:after="40" w:line="276" w:lineRule="auto"/>
        <w:rPr>
          <w:rFonts w:cs="Calibri"/>
        </w:rPr>
      </w:pPr>
      <w:proofErr w:type="spellStart"/>
      <w:r w:rsidRPr="00C05CBA">
        <w:rPr>
          <w:rStyle w:val="Style13ptBold"/>
          <w:rFonts w:cs="Calibri"/>
        </w:rPr>
        <w:t>Erfani</w:t>
      </w:r>
      <w:proofErr w:type="spellEnd"/>
      <w:r w:rsidRPr="00C05CBA">
        <w:rPr>
          <w:rStyle w:val="Style13ptBold"/>
          <w:rFonts w:cs="Calibri"/>
        </w:rPr>
        <w:t xml:space="preserve"> et al 21</w:t>
      </w:r>
      <w:r w:rsidRPr="00C05CBA">
        <w:rPr>
          <w:rFonts w:cs="Calibri"/>
        </w:rPr>
        <w:t xml:space="preserve"> [</w:t>
      </w:r>
      <w:proofErr w:type="spellStart"/>
      <w:r w:rsidRPr="00C05CBA">
        <w:rPr>
          <w:rFonts w:cs="Calibri"/>
        </w:rPr>
        <w:t>Parsa</w:t>
      </w:r>
      <w:proofErr w:type="spellEnd"/>
      <w:r w:rsidRPr="00C05CBA">
        <w:rPr>
          <w:rFonts w:cs="Calibri"/>
        </w:rPr>
        <w:t xml:space="preserve">; Lawrence </w:t>
      </w:r>
      <w:proofErr w:type="spellStart"/>
      <w:r w:rsidRPr="00C05CBA">
        <w:rPr>
          <w:rFonts w:cs="Calibri"/>
        </w:rPr>
        <w:t>Gostin</w:t>
      </w:r>
      <w:proofErr w:type="spellEnd"/>
      <w:r w:rsidRPr="00C05CBA">
        <w:rPr>
          <w:rFonts w:cs="Calibri"/>
        </w:rPr>
        <w:t xml:space="preserve">; Vanessa Kerry; </w:t>
      </w:r>
      <w:proofErr w:type="spellStart"/>
      <w:r w:rsidRPr="00C05CBA">
        <w:rPr>
          <w:rFonts w:cs="Calibri"/>
        </w:rPr>
        <w:t>Parsa</w:t>
      </w:r>
      <w:proofErr w:type="spellEnd"/>
      <w:r w:rsidRPr="00C05CBA">
        <w:rPr>
          <w:rFonts w:cs="Calibri"/>
        </w:rPr>
        <w:t xml:space="preserve"> </w:t>
      </w:r>
      <w:proofErr w:type="spellStart"/>
      <w:r w:rsidRPr="00C05CBA">
        <w:rPr>
          <w:rFonts w:cs="Calibri"/>
        </w:rPr>
        <w:t>Erfani</w:t>
      </w:r>
      <w:proofErr w:type="spellEnd"/>
      <w:r w:rsidRPr="00C05CBA">
        <w:rPr>
          <w:rFonts w:cs="Calibri"/>
        </w:rPr>
        <w:t xml:space="preserve"> is a Fogarty Global Health Scholar at Harvard Medical School and the University of Global Health Equity. Lawrence </w:t>
      </w:r>
      <w:proofErr w:type="spellStart"/>
      <w:r w:rsidRPr="00C05CBA">
        <w:rPr>
          <w:rFonts w:cs="Calibri"/>
        </w:rPr>
        <w:t>Gostin</w:t>
      </w:r>
      <w:proofErr w:type="spellEnd"/>
      <w:r w:rsidRPr="00C05CBA">
        <w:rPr>
          <w:rFonts w:cs="Calibri"/>
        </w:rPr>
        <w:t xml:space="preserve"> is a professor at Georgetown University Law Center, director of the school’s O’Neill Institute for National and Global Health Law, and director of the World Health Organization Center on National and Global Health Law. Vanessa Kerry is a critical care physician at Massachusetts General Hospital, director of the Program for Global Public Policy at Harvard Medical School, and CEO of Seed Global Health, a nonprofit that trains health workers in countries with critical shortages; “Beyond a symbolic gesture: What’s needed to turn the IP waiver into Covid-19 vaccines,” STAT; 5/19/21; </w:t>
      </w:r>
      <w:hyperlink r:id="rId23" w:history="1">
        <w:r w:rsidRPr="00C05CBA">
          <w:rPr>
            <w:rStyle w:val="Hyperlink"/>
            <w:rFonts w:cs="Calibri"/>
          </w:rPr>
          <w:t>https://www.statnews.com/2021/05/19/beyond-a-symbolic-gesture-whats-needed-to-turn-the-ip-waiver-into-covid-19-vaccines/</w:t>
        </w:r>
      </w:hyperlink>
      <w:r w:rsidRPr="00C05CBA">
        <w:rPr>
          <w:rFonts w:cs="Calibri"/>
        </w:rPr>
        <w:t>] Justin</w:t>
      </w:r>
    </w:p>
    <w:p w14:paraId="18C183DB" w14:textId="77777777" w:rsidR="00700D41" w:rsidRPr="00C05CBA" w:rsidRDefault="00700D41" w:rsidP="00700D41">
      <w:pPr>
        <w:spacing w:after="40" w:line="276" w:lineRule="auto"/>
        <w:rPr>
          <w:rFonts w:cs="Calibri"/>
          <w:sz w:val="16"/>
        </w:rPr>
      </w:pPr>
      <w:r w:rsidRPr="00C05CBA">
        <w:rPr>
          <w:rFonts w:cs="Calibri"/>
          <w:u w:val="single"/>
        </w:rPr>
        <w:t xml:space="preserve">Currently many idle suppliers </w:t>
      </w:r>
      <w:r w:rsidRPr="00C05CBA">
        <w:rPr>
          <w:rStyle w:val="Emphasis"/>
          <w:rFonts w:cs="Calibri"/>
        </w:rPr>
        <w:t>can’t begin vaccine production</w:t>
      </w:r>
      <w:r w:rsidRPr="00C05CBA">
        <w:rPr>
          <w:rFonts w:cs="Calibri"/>
          <w:u w:val="single"/>
        </w:rPr>
        <w:t xml:space="preserve"> until they upgrade and </w:t>
      </w:r>
      <w:r w:rsidRPr="00C05CBA">
        <w:rPr>
          <w:rStyle w:val="Emphasis"/>
          <w:rFonts w:cs="Calibri"/>
        </w:rPr>
        <w:t>repurpose existing manufacturing capacity</w:t>
      </w:r>
      <w:r w:rsidRPr="00C05CBA">
        <w:rPr>
          <w:rFonts w:cs="Calibri"/>
          <w:u w:val="single"/>
        </w:rPr>
        <w:t xml:space="preserve"> for new technology. </w:t>
      </w:r>
      <w:r w:rsidRPr="00C05CBA">
        <w:rPr>
          <w:rFonts w:cs="Calibri"/>
          <w:highlight w:val="green"/>
          <w:u w:val="single"/>
        </w:rPr>
        <w:t>Opponents</w:t>
      </w:r>
      <w:r w:rsidRPr="00C05CBA">
        <w:rPr>
          <w:rFonts w:cs="Calibri"/>
          <w:u w:val="single"/>
        </w:rPr>
        <w:t xml:space="preserve"> often </w:t>
      </w:r>
      <w:r w:rsidRPr="00C05CBA">
        <w:rPr>
          <w:rFonts w:cs="Calibri"/>
          <w:highlight w:val="green"/>
          <w:u w:val="single"/>
        </w:rPr>
        <w:t>argue</w:t>
      </w:r>
      <w:r w:rsidRPr="00C05CBA">
        <w:rPr>
          <w:rFonts w:cs="Calibri"/>
          <w:u w:val="single"/>
        </w:rPr>
        <w:t xml:space="preserve"> that </w:t>
      </w:r>
      <w:r w:rsidRPr="00C05CBA">
        <w:rPr>
          <w:rStyle w:val="Emphasis"/>
          <w:rFonts w:cs="Calibri"/>
        </w:rPr>
        <w:t xml:space="preserve">this step is the true </w:t>
      </w:r>
      <w:r w:rsidRPr="00C05CBA">
        <w:rPr>
          <w:rStyle w:val="Emphasis"/>
          <w:rFonts w:cs="Calibri"/>
          <w:highlight w:val="green"/>
        </w:rPr>
        <w:t xml:space="preserve">barrier </w:t>
      </w:r>
      <w:r w:rsidRPr="00C05CBA">
        <w:rPr>
          <w:rStyle w:val="Emphasis"/>
          <w:rFonts w:cs="Calibri"/>
        </w:rPr>
        <w:t xml:space="preserve">to rapid </w:t>
      </w:r>
      <w:r w:rsidRPr="00C05CBA">
        <w:rPr>
          <w:rStyle w:val="Emphasis"/>
          <w:rFonts w:cs="Calibri"/>
          <w:highlight w:val="green"/>
        </w:rPr>
        <w:t>scale-up</w:t>
      </w:r>
      <w:r w:rsidRPr="00C05CBA">
        <w:rPr>
          <w:rFonts w:cs="Calibri"/>
          <w:sz w:val="16"/>
        </w:rPr>
        <w:t xml:space="preserve">. One high-profile detractor, BIO President and CEO Michelle </w:t>
      </w:r>
      <w:proofErr w:type="spellStart"/>
      <w:r w:rsidRPr="00C05CBA">
        <w:rPr>
          <w:rFonts w:cs="Calibri"/>
          <w:sz w:val="16"/>
        </w:rPr>
        <w:t>McMurry</w:t>
      </w:r>
      <w:proofErr w:type="spellEnd"/>
      <w:r w:rsidRPr="00C05CBA">
        <w:rPr>
          <w:rFonts w:cs="Calibri"/>
          <w:sz w:val="16"/>
        </w:rPr>
        <w:t>-Heath, argues that “handing [needy countries] the blueprint to construct a kitchen that — in optimal conditions — can take a year to build will not help us stop the emergence of dangerous new Covid variants.”</w:t>
      </w:r>
    </w:p>
    <w:p w14:paraId="52EC2CBE" w14:textId="77777777" w:rsidR="00700D41" w:rsidRPr="00C05CBA" w:rsidRDefault="00700D41" w:rsidP="00700D41">
      <w:pPr>
        <w:spacing w:after="40" w:line="276" w:lineRule="auto"/>
        <w:rPr>
          <w:rFonts w:cs="Calibri"/>
          <w:sz w:val="16"/>
        </w:rPr>
      </w:pPr>
      <w:r w:rsidRPr="00C05CBA">
        <w:rPr>
          <w:rFonts w:cs="Calibri"/>
          <w:u w:val="single"/>
        </w:rPr>
        <w:t xml:space="preserve">This </w:t>
      </w:r>
      <w:r w:rsidRPr="00C05CBA">
        <w:rPr>
          <w:rFonts w:cs="Calibri"/>
          <w:highlight w:val="green"/>
          <w:u w:val="single"/>
        </w:rPr>
        <w:t xml:space="preserve">argument </w:t>
      </w:r>
      <w:r w:rsidRPr="00C05CBA">
        <w:rPr>
          <w:rStyle w:val="Emphasis"/>
          <w:rFonts w:cs="Calibri"/>
          <w:highlight w:val="green"/>
        </w:rPr>
        <w:t>ignores</w:t>
      </w:r>
      <w:r w:rsidRPr="00C05CBA">
        <w:rPr>
          <w:rStyle w:val="Emphasis"/>
          <w:rFonts w:cs="Calibri"/>
        </w:rPr>
        <w:t xml:space="preserve"> two core truths</w:t>
      </w:r>
      <w:r w:rsidRPr="00C05CBA">
        <w:rPr>
          <w:rFonts w:cs="Calibri"/>
          <w:u w:val="single"/>
        </w:rPr>
        <w:t xml:space="preserve">: In many cases, </w:t>
      </w:r>
      <w:r w:rsidRPr="00C05CBA">
        <w:rPr>
          <w:rStyle w:val="Emphasis"/>
          <w:rFonts w:cs="Calibri"/>
          <w:highlight w:val="green"/>
        </w:rPr>
        <w:t>manufacturing</w:t>
      </w:r>
      <w:r w:rsidRPr="00C05CBA">
        <w:rPr>
          <w:rStyle w:val="Emphasis"/>
          <w:rFonts w:cs="Calibri"/>
        </w:rPr>
        <w:t xml:space="preserve"> capacity needs only </w:t>
      </w:r>
      <w:r w:rsidRPr="00C05CBA">
        <w:rPr>
          <w:rStyle w:val="Emphasis"/>
          <w:rFonts w:cs="Calibri"/>
          <w:highlight w:val="green"/>
        </w:rPr>
        <w:t>repurposing</w:t>
      </w:r>
      <w:r w:rsidRPr="00C05CBA">
        <w:rPr>
          <w:rStyle w:val="Emphasis"/>
          <w:rFonts w:cs="Calibri"/>
        </w:rPr>
        <w:t xml:space="preserve"> which can </w:t>
      </w:r>
      <w:r w:rsidRPr="00C05CBA">
        <w:rPr>
          <w:rStyle w:val="Emphasis"/>
          <w:rFonts w:cs="Calibri"/>
          <w:highlight w:val="green"/>
        </w:rPr>
        <w:t xml:space="preserve">take </w:t>
      </w:r>
      <w:r w:rsidRPr="00C05CBA">
        <w:rPr>
          <w:rStyle w:val="Emphasis"/>
          <w:rFonts w:cs="Calibri"/>
        </w:rPr>
        <w:t xml:space="preserve">mere </w:t>
      </w:r>
      <w:r w:rsidRPr="00C05CBA">
        <w:rPr>
          <w:rStyle w:val="Emphasis"/>
          <w:rFonts w:cs="Calibri"/>
          <w:highlight w:val="green"/>
        </w:rPr>
        <w:t>months</w:t>
      </w:r>
      <w:r w:rsidRPr="00C05CBA">
        <w:rPr>
          <w:rFonts w:cs="Calibri"/>
          <w:sz w:val="16"/>
        </w:rPr>
        <w:t>. And Covid-19, at the current global response and vaccination rates, will be a threat for years.</w:t>
      </w:r>
    </w:p>
    <w:p w14:paraId="497D5A1A" w14:textId="77777777" w:rsidR="00700D41" w:rsidRPr="00C05CBA" w:rsidRDefault="00700D41" w:rsidP="00700D41">
      <w:pPr>
        <w:spacing w:after="40" w:line="276" w:lineRule="auto"/>
        <w:rPr>
          <w:rStyle w:val="Emphasis"/>
          <w:rFonts w:cs="Calibri"/>
        </w:rPr>
      </w:pPr>
      <w:r w:rsidRPr="00C05CBA">
        <w:rPr>
          <w:rFonts w:cs="Calibri"/>
          <w:u w:val="single"/>
        </w:rPr>
        <w:t xml:space="preserve">Both truths suggest that we </w:t>
      </w:r>
      <w:r w:rsidRPr="00C05CBA">
        <w:rPr>
          <w:rStyle w:val="Emphasis"/>
          <w:rFonts w:cs="Calibri"/>
        </w:rPr>
        <w:t>pass the blueprint and build the kitchen.</w:t>
      </w:r>
    </w:p>
    <w:p w14:paraId="68F6728E" w14:textId="77777777" w:rsidR="00700D41" w:rsidRPr="00C05CBA" w:rsidRDefault="00700D41" w:rsidP="00700D41">
      <w:pPr>
        <w:spacing w:after="40" w:line="276" w:lineRule="auto"/>
        <w:rPr>
          <w:rFonts w:cs="Calibri"/>
          <w:b/>
          <w:iCs/>
          <w:u w:val="single"/>
        </w:rPr>
      </w:pPr>
      <w:r w:rsidRPr="00C05CBA">
        <w:rPr>
          <w:rFonts w:cs="Calibri"/>
          <w:u w:val="single"/>
        </w:rPr>
        <w:t xml:space="preserve">Facilitating </w:t>
      </w:r>
      <w:r w:rsidRPr="00C05CBA">
        <w:rPr>
          <w:rFonts w:cs="Calibri"/>
          <w:highlight w:val="green"/>
          <w:u w:val="single"/>
        </w:rPr>
        <w:t xml:space="preserve">structures </w:t>
      </w:r>
      <w:r w:rsidRPr="00C05CBA">
        <w:rPr>
          <w:rFonts w:cs="Calibri"/>
          <w:u w:val="single"/>
        </w:rPr>
        <w:t xml:space="preserve">to transfer technology and capacity are </w:t>
      </w:r>
      <w:r w:rsidRPr="00C05CBA">
        <w:rPr>
          <w:rStyle w:val="Emphasis"/>
          <w:rFonts w:cs="Calibri"/>
        </w:rPr>
        <w:t xml:space="preserve">already </w:t>
      </w:r>
      <w:r w:rsidRPr="00C05CBA">
        <w:rPr>
          <w:rStyle w:val="Emphasis"/>
          <w:rFonts w:cs="Calibri"/>
          <w:highlight w:val="green"/>
        </w:rPr>
        <w:t>in place</w:t>
      </w:r>
      <w:r w:rsidRPr="00C05CBA">
        <w:rPr>
          <w:rFonts w:cs="Calibri"/>
          <w:highlight w:val="green"/>
          <w:u w:val="single"/>
        </w:rPr>
        <w:t>.</w:t>
      </w:r>
      <w:r w:rsidRPr="00C05CBA">
        <w:rPr>
          <w:rFonts w:cs="Calibri"/>
          <w:u w:val="single"/>
        </w:rPr>
        <w:t xml:space="preserve"> The </w:t>
      </w:r>
      <w:r w:rsidRPr="00C05CBA">
        <w:rPr>
          <w:rFonts w:cs="Calibri"/>
          <w:highlight w:val="green"/>
          <w:u w:val="single"/>
        </w:rPr>
        <w:t>WHO launched</w:t>
      </w:r>
      <w:r w:rsidRPr="00C05CBA">
        <w:rPr>
          <w:rFonts w:cs="Calibri"/>
          <w:u w:val="single"/>
        </w:rPr>
        <w:t xml:space="preserve"> the </w:t>
      </w:r>
      <w:r w:rsidRPr="00C05CBA">
        <w:rPr>
          <w:rStyle w:val="Emphasis"/>
          <w:rFonts w:cs="Calibri"/>
          <w:highlight w:val="green"/>
        </w:rPr>
        <w:t>mRNA</w:t>
      </w:r>
      <w:r w:rsidRPr="00C05CBA">
        <w:rPr>
          <w:rStyle w:val="Emphasis"/>
          <w:rFonts w:cs="Calibri"/>
        </w:rPr>
        <w:t xml:space="preserve"> technology </w:t>
      </w:r>
      <w:r w:rsidRPr="00C05CBA">
        <w:rPr>
          <w:rStyle w:val="Emphasis"/>
          <w:rFonts w:cs="Calibri"/>
          <w:highlight w:val="green"/>
        </w:rPr>
        <w:t>transfer hub</w:t>
      </w:r>
      <w:r w:rsidRPr="00C05CBA">
        <w:rPr>
          <w:rStyle w:val="Emphasis"/>
          <w:rFonts w:cs="Calibri"/>
        </w:rPr>
        <w:t xml:space="preserve"> model</w:t>
      </w:r>
      <w:r w:rsidRPr="00C05CBA">
        <w:rPr>
          <w:rFonts w:cs="Calibri"/>
          <w:sz w:val="16"/>
        </w:rPr>
        <w:t xml:space="preserve"> last month to provide manufacturers in low- and middle-income countries </w:t>
      </w:r>
      <w:r w:rsidRPr="00C05CBA">
        <w:rPr>
          <w:rFonts w:cs="Calibri"/>
          <w:highlight w:val="green"/>
          <w:u w:val="single"/>
        </w:rPr>
        <w:t>with</w:t>
      </w:r>
      <w:r w:rsidRPr="00C05CBA">
        <w:rPr>
          <w:rFonts w:cs="Calibri"/>
          <w:u w:val="single"/>
        </w:rPr>
        <w:t xml:space="preserve"> the </w:t>
      </w:r>
      <w:r w:rsidRPr="00C05CBA">
        <w:rPr>
          <w:rStyle w:val="Emphasis"/>
          <w:rFonts w:cs="Calibri"/>
          <w:highlight w:val="green"/>
        </w:rPr>
        <w:t>financial, training</w:t>
      </w:r>
      <w:r w:rsidRPr="00C05CBA">
        <w:rPr>
          <w:rStyle w:val="Emphasis"/>
          <w:rFonts w:cs="Calibri"/>
        </w:rPr>
        <w:t xml:space="preserve">, and </w:t>
      </w:r>
      <w:r w:rsidRPr="00C05CBA">
        <w:rPr>
          <w:rStyle w:val="Emphasis"/>
          <w:rFonts w:cs="Calibri"/>
          <w:highlight w:val="green"/>
        </w:rPr>
        <w:t>logistical support</w:t>
      </w:r>
      <w:r w:rsidRPr="00C05CBA">
        <w:rPr>
          <w:rStyle w:val="Emphasis"/>
          <w:rFonts w:cs="Calibri"/>
        </w:rPr>
        <w:t xml:space="preserve"> needed</w:t>
      </w:r>
      <w:r w:rsidRPr="00C05CBA">
        <w:rPr>
          <w:rFonts w:cs="Calibri"/>
          <w:u w:val="single"/>
        </w:rPr>
        <w:t xml:space="preserve"> </w:t>
      </w:r>
      <w:r w:rsidRPr="00C05CBA">
        <w:rPr>
          <w:rFonts w:cs="Calibri"/>
          <w:highlight w:val="green"/>
          <w:u w:val="single"/>
        </w:rPr>
        <w:t>to scale up</w:t>
      </w:r>
      <w:r w:rsidRPr="00C05CBA">
        <w:rPr>
          <w:rFonts w:cs="Calibri"/>
          <w:u w:val="single"/>
        </w:rPr>
        <w:t xml:space="preserve"> vaccine manufacturing capacity. Scores of </w:t>
      </w:r>
      <w:r w:rsidRPr="00C05CBA">
        <w:rPr>
          <w:rFonts w:cs="Calibri"/>
          <w:highlight w:val="green"/>
          <w:u w:val="single"/>
        </w:rPr>
        <w:t xml:space="preserve">manufacturers </w:t>
      </w:r>
      <w:r w:rsidRPr="00C05CBA">
        <w:rPr>
          <w:rFonts w:cs="Calibri"/>
          <w:u w:val="single"/>
        </w:rPr>
        <w:t xml:space="preserve">in these countries have already </w:t>
      </w:r>
      <w:r w:rsidRPr="00C05CBA">
        <w:rPr>
          <w:rStyle w:val="Emphasis"/>
          <w:rFonts w:cs="Calibri"/>
          <w:highlight w:val="green"/>
        </w:rPr>
        <w:t>expressed interest</w:t>
      </w:r>
      <w:r w:rsidRPr="00C05CBA">
        <w:rPr>
          <w:rFonts w:cs="Calibri"/>
          <w:highlight w:val="green"/>
          <w:u w:val="single"/>
        </w:rPr>
        <w:t>. This</w:t>
      </w:r>
      <w:r w:rsidRPr="00C05CBA">
        <w:rPr>
          <w:rFonts w:cs="Calibri"/>
          <w:u w:val="single"/>
        </w:rPr>
        <w:t xml:space="preserve"> initiative, however, </w:t>
      </w:r>
      <w:r w:rsidRPr="00C05CBA">
        <w:rPr>
          <w:rFonts w:cs="Calibri"/>
          <w:highlight w:val="green"/>
          <w:u w:val="single"/>
        </w:rPr>
        <w:t>requires</w:t>
      </w:r>
      <w:r w:rsidRPr="00C05CBA">
        <w:rPr>
          <w:rFonts w:cs="Calibri"/>
          <w:u w:val="single"/>
        </w:rPr>
        <w:t xml:space="preserve"> recipient manufacturers to acquire </w:t>
      </w:r>
      <w:r w:rsidRPr="00C05CBA">
        <w:rPr>
          <w:rStyle w:val="Emphasis"/>
          <w:rFonts w:cs="Calibri"/>
        </w:rPr>
        <w:t xml:space="preserve">the </w:t>
      </w:r>
      <w:r w:rsidRPr="00C05CBA">
        <w:rPr>
          <w:rStyle w:val="Emphasis"/>
          <w:rFonts w:cs="Calibri"/>
          <w:highlight w:val="green"/>
        </w:rPr>
        <w:t xml:space="preserve">IP </w:t>
      </w:r>
      <w:r w:rsidRPr="00C05CBA">
        <w:rPr>
          <w:rStyle w:val="Emphasis"/>
          <w:rFonts w:cs="Calibri"/>
        </w:rPr>
        <w:t xml:space="preserve">necessary for mRNA technologies— </w:t>
      </w:r>
      <w:r w:rsidRPr="00C05CBA">
        <w:rPr>
          <w:rStyle w:val="Emphasis"/>
          <w:rFonts w:cs="Calibri"/>
          <w:highlight w:val="green"/>
        </w:rPr>
        <w:t>which is</w:t>
      </w:r>
      <w:r w:rsidRPr="00C05CBA">
        <w:rPr>
          <w:rStyle w:val="Emphasis"/>
          <w:rFonts w:cs="Calibri"/>
        </w:rPr>
        <w:t xml:space="preserve"> currently </w:t>
      </w:r>
      <w:r w:rsidRPr="00C05CBA">
        <w:rPr>
          <w:rStyle w:val="Emphasis"/>
          <w:rFonts w:cs="Calibri"/>
          <w:highlight w:val="green"/>
        </w:rPr>
        <w:t>missing</w:t>
      </w:r>
      <w:r w:rsidRPr="00C05CBA">
        <w:rPr>
          <w:rStyle w:val="Emphasis"/>
          <w:rFonts w:cs="Calibri"/>
        </w:rPr>
        <w:t>.</w:t>
      </w:r>
    </w:p>
    <w:p w14:paraId="5195ACFE" w14:textId="77777777" w:rsidR="00700D41" w:rsidRPr="00C05CBA" w:rsidRDefault="00700D41" w:rsidP="00700D41">
      <w:pPr>
        <w:spacing w:after="40" w:line="276" w:lineRule="auto"/>
        <w:rPr>
          <w:rFonts w:cs="Calibri"/>
        </w:rPr>
      </w:pPr>
    </w:p>
    <w:p w14:paraId="761A6C54" w14:textId="77777777" w:rsidR="00700D41" w:rsidRPr="00907E6C" w:rsidRDefault="00700D41" w:rsidP="00700D41">
      <w:pPr>
        <w:pStyle w:val="Heading4"/>
      </w:pPr>
      <w:r w:rsidRPr="00907E6C">
        <w:t>Independently strategic patenting harms innovation incentives during pandemics – encourages reproduction of generics and decrease breakthroughs.</w:t>
      </w:r>
    </w:p>
    <w:p w14:paraId="6EBACD78" w14:textId="77777777" w:rsidR="00700D41" w:rsidRPr="00C05CBA" w:rsidRDefault="00700D41" w:rsidP="00700D41">
      <w:pPr>
        <w:spacing w:after="40" w:line="276" w:lineRule="auto"/>
        <w:rPr>
          <w:rFonts w:cs="Calibri"/>
        </w:rPr>
      </w:pPr>
      <w:proofErr w:type="spellStart"/>
      <w:r w:rsidRPr="00C05CBA">
        <w:rPr>
          <w:rStyle w:val="Style13ptBold"/>
          <w:rFonts w:cs="Calibri"/>
        </w:rPr>
        <w:t>Gurgula</w:t>
      </w:r>
      <w:proofErr w:type="spellEnd"/>
      <w:r w:rsidRPr="00C05CBA">
        <w:rPr>
          <w:rStyle w:val="Style13ptBold"/>
          <w:rFonts w:cs="Calibri"/>
        </w:rPr>
        <w:t xml:space="preserve"> 20</w:t>
      </w:r>
      <w:r w:rsidRPr="00C05CBA">
        <w:rPr>
          <w:rFonts w:cs="Calibri"/>
        </w:rPr>
        <w:t xml:space="preserve"> [Olga; Lecturer in Intellectual Property Law at Brunel Law School, Brunel University London. She is also a Visiting Fellow at the Oxford Martin </w:t>
      </w:r>
      <w:proofErr w:type="spellStart"/>
      <w:r w:rsidRPr="00C05CBA">
        <w:rPr>
          <w:rFonts w:cs="Calibri"/>
        </w:rPr>
        <w:t>Programme</w:t>
      </w:r>
      <w:proofErr w:type="spellEnd"/>
      <w:r w:rsidRPr="00C05CBA">
        <w:rPr>
          <w:rFonts w:cs="Calibri"/>
        </w:rPr>
        <w:t xml:space="preserve"> on Affordable Medicines, University of Oxford; “Strategic Patenting by Pharmaceutical Companies – Should Competition Law Intervene?” Springer Link; 10/28/20; </w:t>
      </w:r>
      <w:hyperlink r:id="rId24" w:anchor="Sec4" w:history="1">
        <w:r w:rsidRPr="00C05CBA">
          <w:rPr>
            <w:rStyle w:val="Hyperlink"/>
            <w:rFonts w:cs="Calibri"/>
          </w:rPr>
          <w:t>https://link.springer.com/article/10.1007/s40319-020-00985-0#Sec4</w:t>
        </w:r>
      </w:hyperlink>
      <w:r w:rsidRPr="00C05CBA">
        <w:rPr>
          <w:rFonts w:cs="Calibri"/>
        </w:rPr>
        <w:t>] Justin</w:t>
      </w:r>
    </w:p>
    <w:p w14:paraId="0F6977A6" w14:textId="77777777" w:rsidR="00700D41" w:rsidRPr="00C05CBA" w:rsidRDefault="00700D41" w:rsidP="00700D41">
      <w:pPr>
        <w:spacing w:after="40" w:line="276" w:lineRule="auto"/>
        <w:rPr>
          <w:rFonts w:cs="Calibri"/>
          <w:sz w:val="16"/>
        </w:rPr>
      </w:pPr>
      <w:r w:rsidRPr="00C05CBA">
        <w:rPr>
          <w:rFonts w:cs="Calibri"/>
          <w:sz w:val="16"/>
        </w:rPr>
        <w:t xml:space="preserve">As the COVID-19 pandemic is sweeping through the world, thousands of people urgently need access to affordable medicines. </w:t>
      </w:r>
      <w:r w:rsidRPr="00C05CBA">
        <w:rPr>
          <w:rFonts w:cs="Calibri"/>
          <w:u w:val="single"/>
        </w:rPr>
        <w:t xml:space="preserve">Based on </w:t>
      </w:r>
      <w:r w:rsidRPr="00C05CBA">
        <w:rPr>
          <w:rStyle w:val="Emphasis"/>
          <w:rFonts w:cs="Calibri"/>
        </w:rPr>
        <w:t>past experience of treatments for other life-threatening diseases</w:t>
      </w:r>
      <w:r w:rsidRPr="00C05CBA">
        <w:rPr>
          <w:rFonts w:cs="Calibri"/>
          <w:u w:val="single"/>
        </w:rPr>
        <w:t xml:space="preserve">, there is a fear that access to any </w:t>
      </w:r>
      <w:r w:rsidRPr="00C05CBA">
        <w:rPr>
          <w:rStyle w:val="Emphasis"/>
          <w:rFonts w:cs="Calibri"/>
        </w:rPr>
        <w:t>vaccines</w:t>
      </w:r>
      <w:r w:rsidRPr="00C05CBA">
        <w:rPr>
          <w:rFonts w:cs="Calibri"/>
          <w:u w:val="single"/>
        </w:rPr>
        <w:t xml:space="preserve"> and </w:t>
      </w:r>
      <w:r w:rsidRPr="00C05CBA">
        <w:rPr>
          <w:rStyle w:val="Emphasis"/>
          <w:rFonts w:cs="Calibri"/>
        </w:rPr>
        <w:t>treatment</w:t>
      </w:r>
      <w:r w:rsidRPr="00C05CBA">
        <w:rPr>
          <w:rFonts w:cs="Calibri"/>
          <w:u w:val="single"/>
        </w:rPr>
        <w:t xml:space="preserve"> that may be </w:t>
      </w:r>
      <w:r w:rsidRPr="00C05CBA">
        <w:rPr>
          <w:rStyle w:val="Emphasis"/>
          <w:rFonts w:cs="Calibri"/>
        </w:rPr>
        <w:t>developed</w:t>
      </w:r>
      <w:r w:rsidRPr="00C05CBA">
        <w:rPr>
          <w:rFonts w:cs="Calibri"/>
          <w:u w:val="single"/>
        </w:rPr>
        <w:t xml:space="preserve"> in the </w:t>
      </w:r>
      <w:r w:rsidRPr="00C05CBA">
        <w:rPr>
          <w:rStyle w:val="Emphasis"/>
          <w:rFonts w:cs="Calibri"/>
        </w:rPr>
        <w:t>future</w:t>
      </w:r>
      <w:r w:rsidRPr="00C05CBA">
        <w:rPr>
          <w:rFonts w:cs="Calibri"/>
          <w:u w:val="single"/>
        </w:rPr>
        <w:t xml:space="preserve"> will be </w:t>
      </w:r>
      <w:r w:rsidRPr="00C05CBA">
        <w:rPr>
          <w:rStyle w:val="Emphasis"/>
          <w:rFonts w:cs="Calibri"/>
        </w:rPr>
        <w:t>affected by patents</w:t>
      </w:r>
      <w:r w:rsidRPr="00C05CBA">
        <w:rPr>
          <w:rFonts w:cs="Calibri"/>
          <w:u w:val="single"/>
        </w:rPr>
        <w:t xml:space="preserve">, leading to </w:t>
      </w:r>
      <w:proofErr w:type="spellStart"/>
      <w:r w:rsidRPr="00C05CBA">
        <w:rPr>
          <w:rFonts w:cs="Calibri"/>
          <w:u w:val="single"/>
        </w:rPr>
        <w:t>unaffordably</w:t>
      </w:r>
      <w:proofErr w:type="spellEnd"/>
      <w:r w:rsidRPr="00C05CBA">
        <w:rPr>
          <w:rFonts w:cs="Calibri"/>
          <w:u w:val="single"/>
        </w:rPr>
        <w:t xml:space="preserve"> high prices</w:t>
      </w:r>
      <w:r w:rsidRPr="00C05CBA">
        <w:rPr>
          <w:rFonts w:cs="Calibri"/>
          <w:sz w:val="16"/>
        </w:rPr>
        <w:t xml:space="preserve">. However, the problem of high drug prices is not new. It had been inflating healthcare budgets and </w:t>
      </w:r>
      <w:r w:rsidRPr="00C05CBA">
        <w:rPr>
          <w:rFonts w:cs="Calibri"/>
          <w:u w:val="single"/>
        </w:rPr>
        <w:t>posing a serious risk to the affordability and accessibility of medicines for society well before the pandemic</w:t>
      </w:r>
      <w:r w:rsidRPr="00C05CBA">
        <w:rPr>
          <w:rFonts w:cs="Calibri"/>
          <w:sz w:val="16"/>
        </w:rPr>
        <w:t xml:space="preserve">.Footnote3 </w:t>
      </w:r>
      <w:r w:rsidRPr="00C05CBA">
        <w:rPr>
          <w:rFonts w:cs="Calibri"/>
          <w:u w:val="single"/>
        </w:rPr>
        <w:t xml:space="preserve">This problem is further </w:t>
      </w:r>
      <w:r w:rsidRPr="00C05CBA">
        <w:rPr>
          <w:rStyle w:val="Emphasis"/>
          <w:rFonts w:cs="Calibri"/>
        </w:rPr>
        <w:t>exacerbated</w:t>
      </w:r>
      <w:r w:rsidRPr="00C05CBA">
        <w:rPr>
          <w:rFonts w:cs="Calibri"/>
          <w:u w:val="single"/>
        </w:rPr>
        <w:t xml:space="preserve"> by the fact that, despite the </w:t>
      </w:r>
      <w:r w:rsidRPr="00C05CBA">
        <w:rPr>
          <w:rStyle w:val="Emphasis"/>
          <w:rFonts w:cs="Calibri"/>
        </w:rPr>
        <w:t>alleged surge in investments</w:t>
      </w:r>
      <w:r w:rsidRPr="00C05CBA">
        <w:rPr>
          <w:rFonts w:cs="Calibri"/>
          <w:u w:val="single"/>
        </w:rPr>
        <w:t xml:space="preserve"> into pharmaceutical R&amp;D, </w:t>
      </w:r>
      <w:r w:rsidRPr="00C05CBA">
        <w:rPr>
          <w:rStyle w:val="Emphasis"/>
          <w:rFonts w:cs="Calibri"/>
        </w:rPr>
        <w:t>current statistics</w:t>
      </w:r>
      <w:r w:rsidRPr="00C05CBA">
        <w:rPr>
          <w:rFonts w:cs="Calibri"/>
          <w:u w:val="single"/>
        </w:rPr>
        <w:t xml:space="preserve"> indicate that the </w:t>
      </w:r>
      <w:r w:rsidRPr="00C05CBA">
        <w:rPr>
          <w:rStyle w:val="Emphasis"/>
          <w:rFonts w:cs="Calibri"/>
        </w:rPr>
        <w:t>number</w:t>
      </w:r>
      <w:r w:rsidRPr="00C05CBA">
        <w:rPr>
          <w:rFonts w:cs="Calibri"/>
          <w:u w:val="single"/>
        </w:rPr>
        <w:t xml:space="preserve"> of new </w:t>
      </w:r>
      <w:r w:rsidRPr="00C05CBA">
        <w:rPr>
          <w:rStyle w:val="Emphasis"/>
          <w:rFonts w:cs="Calibri"/>
          <w:highlight w:val="green"/>
        </w:rPr>
        <w:t>breakthrough</w:t>
      </w:r>
      <w:r w:rsidRPr="00C05CBA">
        <w:rPr>
          <w:rStyle w:val="Emphasis"/>
          <w:rFonts w:cs="Calibri"/>
        </w:rPr>
        <w:t xml:space="preserve"> medicines </w:t>
      </w:r>
      <w:r w:rsidRPr="00C05CBA">
        <w:rPr>
          <w:rStyle w:val="Emphasis"/>
          <w:rFonts w:cs="Calibri"/>
          <w:highlight w:val="green"/>
        </w:rPr>
        <w:t>is decreasing</w:t>
      </w:r>
      <w:r w:rsidRPr="00C05CBA">
        <w:rPr>
          <w:rFonts w:cs="Calibri"/>
          <w:sz w:val="16"/>
        </w:rPr>
        <w:t xml:space="preserve">.Footnote4 On the other hand, the </w:t>
      </w:r>
      <w:r w:rsidRPr="00C05CBA">
        <w:rPr>
          <w:rFonts w:cs="Calibri"/>
          <w:u w:val="single"/>
        </w:rPr>
        <w:t xml:space="preserve">number of drugs that contain modifications of existing medicines is growing, demonstrating that pharmaceutical companies have been increasingly focusing their research on </w:t>
      </w:r>
      <w:r w:rsidRPr="00C05CBA">
        <w:rPr>
          <w:rStyle w:val="Emphasis"/>
          <w:rFonts w:cs="Calibri"/>
        </w:rPr>
        <w:t>incremental drug development</w:t>
      </w:r>
      <w:r w:rsidRPr="00C05CBA">
        <w:rPr>
          <w:rFonts w:cs="Calibri"/>
          <w:u w:val="single"/>
        </w:rPr>
        <w:t>, rather than on breakthrough</w:t>
      </w:r>
      <w:r w:rsidRPr="00C05CBA">
        <w:rPr>
          <w:rFonts w:cs="Calibri"/>
          <w:sz w:val="16"/>
        </w:rPr>
        <w:t xml:space="preserve"> innovation.Footnote5 Various reasons for high drug prices and the growing focus on incremental innovation are put forward by pharmaceutical companies, including the complexity of drug discovery and development, as well as the expensive and lengthy regulatory procedures involved.Footnote6 While these reasons play an important role in this regard, some practices by pharmaceutical companies substantially contribute to this problem.Footnote7 In particular, </w:t>
      </w:r>
      <w:r w:rsidRPr="00C05CBA">
        <w:rPr>
          <w:rStyle w:val="Emphasis"/>
          <w:rFonts w:cs="Calibri"/>
        </w:rPr>
        <w:t xml:space="preserve">pharmaceutical </w:t>
      </w:r>
      <w:r w:rsidRPr="00C05CBA">
        <w:rPr>
          <w:rStyle w:val="Emphasis"/>
          <w:rFonts w:cs="Calibri"/>
          <w:highlight w:val="green"/>
        </w:rPr>
        <w:t>companies</w:t>
      </w:r>
      <w:r w:rsidRPr="00C05CBA">
        <w:rPr>
          <w:rFonts w:cs="Calibri"/>
          <w:u w:val="single"/>
        </w:rPr>
        <w:t xml:space="preserve"> have been increasingly </w:t>
      </w:r>
      <w:r w:rsidRPr="00C05CBA">
        <w:rPr>
          <w:rStyle w:val="Emphasis"/>
          <w:rFonts w:cs="Calibri"/>
          <w:highlight w:val="green"/>
        </w:rPr>
        <w:t>engaging in strategic patenting</w:t>
      </w:r>
      <w:r w:rsidRPr="00C05CBA">
        <w:rPr>
          <w:rStyle w:val="Emphasis"/>
          <w:rFonts w:cs="Calibri"/>
        </w:rPr>
        <w:t xml:space="preserve"> to delay or even block generic competition</w:t>
      </w:r>
      <w:r w:rsidRPr="00C05CBA">
        <w:rPr>
          <w:rFonts w:cs="Calibri"/>
          <w:sz w:val="16"/>
        </w:rPr>
        <w:t xml:space="preserve">.Footnote8 These practices attracted the attention of the European Commission, which discussed them more than a decade ago in its 2009 Pharmaceutical Sector Inquiry Report.Footnote9 The Commission identified a series of patent strategies which it described as aiming “to extend the breadth and duration of [originators’] patent protection”Footnote10 and “to delay or block the market entry of generic medicine”.Footnote11 Such findings have </w:t>
      </w:r>
      <w:proofErr w:type="spellStart"/>
      <w:r w:rsidRPr="00C05CBA">
        <w:rPr>
          <w:rFonts w:cs="Calibri"/>
          <w:sz w:val="16"/>
        </w:rPr>
        <w:t>fuelled</w:t>
      </w:r>
      <w:proofErr w:type="spellEnd"/>
      <w:r w:rsidRPr="00C05CBA">
        <w:rPr>
          <w:rFonts w:cs="Calibri"/>
          <w:sz w:val="16"/>
        </w:rPr>
        <w:t xml:space="preserve"> debates as to whether these strategies may be deemed unlawful and violate EU competition rules, while also being justifiable business practices under patent law. Until today, no agreement has been reached either on the legality of these practices, or on an efficient legal tool to assess them. As a result, despite there being solid evidence that such strategies may block generic competition, allowing originators to maintain artificially high drug prices and preventing patients from accessing cheaper generics, they remain outside the ambit of the Commission’s activities. Instead, the Commission has been focusing on more straightforward patent-related practices, such as reverse payment agreements.</w:t>
      </w:r>
    </w:p>
    <w:p w14:paraId="5C1FC2F1" w14:textId="77777777" w:rsidR="00700D41" w:rsidRPr="00C05CBA" w:rsidRDefault="00700D41" w:rsidP="00700D41">
      <w:pPr>
        <w:spacing w:after="40" w:line="276" w:lineRule="auto"/>
        <w:rPr>
          <w:rFonts w:cs="Calibri"/>
          <w:sz w:val="16"/>
        </w:rPr>
      </w:pPr>
      <w:r w:rsidRPr="00C05CBA">
        <w:rPr>
          <w:rFonts w:cs="Calibri"/>
          <w:sz w:val="16"/>
        </w:rPr>
        <w:t xml:space="preserve">This article argues that strategic patenting by pharmaceutical companies requires a long-overdue intervention by competition authorities. It aims to attract their attention to the harmful effects of strategic patenting. Specifically, it will contest the argument traditionally put forward by originator pharmaceutical companies that the intervention of competition law into patenting practices will reduce their incentives to innovate. The paper will argue to the contrary that, along with a more immediate negative effect in the form of high drug prices that is widely explored in the </w:t>
      </w:r>
      <w:proofErr w:type="gramStart"/>
      <w:r w:rsidRPr="00C05CBA">
        <w:rPr>
          <w:rFonts w:cs="Calibri"/>
          <w:sz w:val="16"/>
        </w:rPr>
        <w:t>literature,Footnote</w:t>
      </w:r>
      <w:proofErr w:type="gramEnd"/>
      <w:r w:rsidRPr="00C05CBA">
        <w:rPr>
          <w:rFonts w:cs="Calibri"/>
          <w:sz w:val="16"/>
        </w:rPr>
        <w:t xml:space="preserve">12 </w:t>
      </w:r>
      <w:r w:rsidRPr="00C05CBA">
        <w:rPr>
          <w:rFonts w:cs="Calibri"/>
          <w:u w:val="single"/>
        </w:rPr>
        <w:t xml:space="preserve">strategic patenting also affects </w:t>
      </w:r>
      <w:r w:rsidRPr="00C05CBA">
        <w:rPr>
          <w:rStyle w:val="Emphasis"/>
          <w:rFonts w:cs="Calibri"/>
        </w:rPr>
        <w:t xml:space="preserve">dynamic competition by </w:t>
      </w:r>
      <w:r w:rsidRPr="00C05CBA">
        <w:rPr>
          <w:rStyle w:val="Emphasis"/>
          <w:rFonts w:cs="Calibri"/>
          <w:highlight w:val="green"/>
        </w:rPr>
        <w:t>stifling innovation</w:t>
      </w:r>
      <w:r w:rsidRPr="00C05CBA">
        <w:rPr>
          <w:rFonts w:cs="Calibri"/>
          <w:sz w:val="16"/>
        </w:rPr>
        <w:t xml:space="preserve">. Importantly, it will be explained that the </w:t>
      </w:r>
      <w:r w:rsidRPr="00C05CBA">
        <w:rPr>
          <w:rFonts w:cs="Calibri"/>
          <w:u w:val="single"/>
        </w:rPr>
        <w:t xml:space="preserve">assessment of the </w:t>
      </w:r>
      <w:r w:rsidRPr="00C05CBA">
        <w:rPr>
          <w:rStyle w:val="Emphasis"/>
          <w:rFonts w:cs="Calibri"/>
        </w:rPr>
        <w:t>effect of this practice</w:t>
      </w:r>
      <w:r w:rsidRPr="00C05CBA">
        <w:rPr>
          <w:rFonts w:cs="Calibri"/>
          <w:u w:val="single"/>
        </w:rPr>
        <w:t xml:space="preserve"> should </w:t>
      </w:r>
      <w:r w:rsidRPr="00C05CBA">
        <w:rPr>
          <w:rStyle w:val="Emphasis"/>
          <w:rFonts w:cs="Calibri"/>
        </w:rPr>
        <w:t>focus</w:t>
      </w:r>
      <w:r w:rsidRPr="00C05CBA">
        <w:rPr>
          <w:rFonts w:cs="Calibri"/>
          <w:u w:val="single"/>
        </w:rPr>
        <w:t xml:space="preserve"> not only on innovation by originators, but should also </w:t>
      </w:r>
      <w:r w:rsidRPr="00C05CBA">
        <w:rPr>
          <w:rStyle w:val="Emphasis"/>
          <w:rFonts w:cs="Calibri"/>
        </w:rPr>
        <w:t>take a wider market perspective by assessing</w:t>
      </w:r>
      <w:r w:rsidRPr="00C05CBA">
        <w:rPr>
          <w:rFonts w:cs="Calibri"/>
          <w:u w:val="single"/>
        </w:rPr>
        <w:t xml:space="preserve"> its effect on follow-on innovation by generic companies</w:t>
      </w:r>
      <w:r w:rsidRPr="00C05CBA">
        <w:rPr>
          <w:rFonts w:cs="Calibri"/>
          <w:sz w:val="16"/>
        </w:rPr>
        <w:t xml:space="preserve">. The latter argument is often overlooked. The paper will outline the current approach to strategic patenting that considers this practice lawful, and will provide arguments for the intervention of competition law. </w:t>
      </w:r>
      <w:r w:rsidRPr="00C05CBA">
        <w:rPr>
          <w:rFonts w:cs="Calibri"/>
          <w:u w:val="single"/>
        </w:rPr>
        <w:t xml:space="preserve">This, in turn, will open the </w:t>
      </w:r>
      <w:r w:rsidRPr="00C05CBA">
        <w:rPr>
          <w:rStyle w:val="Emphasis"/>
          <w:rFonts w:cs="Calibri"/>
        </w:rPr>
        <w:t>possibility for competition authorities to investigate this practice in order to prevent its harmful effect on innovation</w:t>
      </w:r>
      <w:r w:rsidRPr="00C05CBA">
        <w:rPr>
          <w:rFonts w:cs="Calibri"/>
          <w:u w:val="single"/>
        </w:rPr>
        <w:t xml:space="preserve"> and </w:t>
      </w:r>
      <w:r w:rsidRPr="00C05CBA">
        <w:rPr>
          <w:rStyle w:val="Emphasis"/>
          <w:rFonts w:cs="Calibri"/>
        </w:rPr>
        <w:t>consumer welfare</w:t>
      </w:r>
      <w:r w:rsidRPr="00C05CBA">
        <w:rPr>
          <w:rFonts w:cs="Calibri"/>
          <w:sz w:val="16"/>
        </w:rPr>
        <w:t xml:space="preserve">. Moreover, </w:t>
      </w:r>
      <w:r w:rsidRPr="00C05CBA">
        <w:rPr>
          <w:rFonts w:cs="Calibri"/>
          <w:u w:val="single"/>
        </w:rPr>
        <w:t>while patent law may provide certain mechanisms to deal with strategic patenting, such as raising the bar</w:t>
      </w:r>
      <w:r w:rsidRPr="00C05CBA">
        <w:rPr>
          <w:rFonts w:cs="Calibri"/>
          <w:sz w:val="16"/>
        </w:rPr>
        <w:t xml:space="preserve"> for patentability of pharmaceutical follow-on </w:t>
      </w:r>
      <w:proofErr w:type="gramStart"/>
      <w:r w:rsidRPr="00C05CBA">
        <w:rPr>
          <w:rFonts w:cs="Calibri"/>
          <w:sz w:val="16"/>
        </w:rPr>
        <w:t>inventions,Footnote</w:t>
      </w:r>
      <w:proofErr w:type="gramEnd"/>
      <w:r w:rsidRPr="00C05CBA">
        <w:rPr>
          <w:rFonts w:cs="Calibri"/>
          <w:sz w:val="16"/>
        </w:rPr>
        <w:t xml:space="preserve">13 </w:t>
      </w:r>
      <w:r w:rsidRPr="00C05CBA">
        <w:rPr>
          <w:rFonts w:cs="Calibri"/>
          <w:u w:val="single"/>
        </w:rPr>
        <w:t>these tools may not be effective in all cases</w:t>
      </w:r>
      <w:r w:rsidRPr="00C05CBA">
        <w:rPr>
          <w:rFonts w:cs="Calibri"/>
          <w:sz w:val="16"/>
        </w:rPr>
        <w:t xml:space="preserve">. Therefore, as will be explained further, competition law may be a more suitable tool to address the negative effects of strategic </w:t>
      </w:r>
      <w:proofErr w:type="gramStart"/>
      <w:r w:rsidRPr="00C05CBA">
        <w:rPr>
          <w:rFonts w:cs="Calibri"/>
          <w:sz w:val="16"/>
        </w:rPr>
        <w:t>patenting.Footnote</w:t>
      </w:r>
      <w:proofErr w:type="gramEnd"/>
      <w:r w:rsidRPr="00C05CBA">
        <w:rPr>
          <w:rFonts w:cs="Calibri"/>
          <w:sz w:val="16"/>
        </w:rPr>
        <w:t>14</w:t>
      </w:r>
    </w:p>
    <w:p w14:paraId="498674C3" w14:textId="77777777" w:rsidR="00700D41" w:rsidRPr="00C05CBA" w:rsidRDefault="00700D41" w:rsidP="00700D41">
      <w:pPr>
        <w:spacing w:after="40" w:line="276" w:lineRule="auto"/>
        <w:rPr>
          <w:rFonts w:cs="Calibri"/>
          <w:sz w:val="16"/>
        </w:rPr>
      </w:pPr>
      <w:r w:rsidRPr="00C05CBA">
        <w:rPr>
          <w:rFonts w:cs="Calibri"/>
          <w:sz w:val="16"/>
        </w:rPr>
        <w:t xml:space="preserve">The article will be </w:t>
      </w:r>
      <w:proofErr w:type="spellStart"/>
      <w:r w:rsidRPr="00C05CBA">
        <w:rPr>
          <w:rFonts w:cs="Calibri"/>
          <w:sz w:val="16"/>
        </w:rPr>
        <w:t>organised</w:t>
      </w:r>
      <w:proofErr w:type="spellEnd"/>
      <w:r w:rsidRPr="00C05CBA">
        <w:rPr>
          <w:rFonts w:cs="Calibri"/>
          <w:sz w:val="16"/>
        </w:rPr>
        <w:t xml:space="preserve"> as follows. It will first discuss the complex structure of the pharmaceutical industry, focusing on its key players for the purpose of this article: originators and generic companies. It will further explore patenting practices employed by pharmaceutical companies and will define the notion of strategic patenting. The article will then argue that the latter strategy is against the rationale of patent and competition laws, as it stifles competition by impairing incentives to innovate of both originators and generic companies. Finally, it will discuss the current approach to strategic patenting that considers this practice lawful, and will argue that it should be subject to scrutiny under the rules of competition law, to address its negative effects.</w:t>
      </w:r>
    </w:p>
    <w:p w14:paraId="463A352E" w14:textId="77777777" w:rsidR="00700D41" w:rsidRPr="00C05CBA" w:rsidRDefault="00700D41" w:rsidP="00700D41">
      <w:pPr>
        <w:spacing w:after="40" w:line="276" w:lineRule="auto"/>
        <w:rPr>
          <w:rFonts w:cs="Calibri"/>
          <w:sz w:val="16"/>
        </w:rPr>
      </w:pPr>
      <w:r w:rsidRPr="00C05CBA">
        <w:rPr>
          <w:rFonts w:cs="Calibri"/>
          <w:sz w:val="16"/>
        </w:rPr>
        <w:t>Pharmaceutical Innovation and Generic Competition in the Pharmaceutical Industry</w:t>
      </w:r>
    </w:p>
    <w:p w14:paraId="42170578" w14:textId="77777777" w:rsidR="00700D41" w:rsidRPr="00C05CBA" w:rsidRDefault="00700D41" w:rsidP="00700D41">
      <w:pPr>
        <w:spacing w:after="40" w:line="276" w:lineRule="auto"/>
        <w:rPr>
          <w:rFonts w:cs="Calibri"/>
          <w:sz w:val="16"/>
        </w:rPr>
      </w:pPr>
      <w:r w:rsidRPr="00C05CBA">
        <w:rPr>
          <w:rFonts w:cs="Calibri"/>
          <w:sz w:val="16"/>
        </w:rPr>
        <w:t xml:space="preserve">The pharmaceutical industry is unique in its complexity. It is </w:t>
      </w:r>
      <w:proofErr w:type="spellStart"/>
      <w:r w:rsidRPr="00C05CBA">
        <w:rPr>
          <w:rFonts w:cs="Calibri"/>
          <w:sz w:val="16"/>
        </w:rPr>
        <w:t>characterised</w:t>
      </w:r>
      <w:proofErr w:type="spellEnd"/>
      <w:r w:rsidRPr="00C05CBA">
        <w:rPr>
          <w:rFonts w:cs="Calibri"/>
          <w:sz w:val="16"/>
        </w:rPr>
        <w:t xml:space="preserve"> by heavy state regulation and, sometimes, by the competing interests of the pharmaceutical business and society. It also involves multiple actors, including </w:t>
      </w:r>
      <w:proofErr w:type="gramStart"/>
      <w:r w:rsidRPr="00C05CBA">
        <w:rPr>
          <w:rFonts w:cs="Calibri"/>
          <w:sz w:val="16"/>
        </w:rPr>
        <w:t>originators,Footnote</w:t>
      </w:r>
      <w:proofErr w:type="gramEnd"/>
      <w:r w:rsidRPr="00C05CBA">
        <w:rPr>
          <w:rFonts w:cs="Calibri"/>
          <w:sz w:val="16"/>
        </w:rPr>
        <w:t xml:space="preserve">15 marketing </w:t>
      </w:r>
      <w:proofErr w:type="spellStart"/>
      <w:r w:rsidRPr="00C05CBA">
        <w:rPr>
          <w:rFonts w:cs="Calibri"/>
          <w:sz w:val="16"/>
        </w:rPr>
        <w:t>authorisation</w:t>
      </w:r>
      <w:proofErr w:type="spellEnd"/>
      <w:r w:rsidRPr="00C05CBA">
        <w:rPr>
          <w:rFonts w:cs="Calibri"/>
          <w:sz w:val="16"/>
        </w:rPr>
        <w:t xml:space="preserve"> bodies, generic companies,Footnote16 doctors, pharmacies and patients. Each of them plays their part in the lengthy and complicated process of transforming a chemical compound into an effective and affordable medicine, which is then prescribed, dispensed and consumed. In these complex relationships, the two key players have crucial roles. On the one hand, originators play an important role in developing new and improved medicines for the benefit of society. On the other hand, generic companies benefit society by supplying cheaper equivalents of the originators’ medicines, which leads to the reduction of drug prices and facilitates access to affordable medicines. When the interests of these two players are kept in balance, benefits are </w:t>
      </w:r>
      <w:proofErr w:type="spellStart"/>
      <w:r w:rsidRPr="00C05CBA">
        <w:rPr>
          <w:rFonts w:cs="Calibri"/>
          <w:sz w:val="16"/>
        </w:rPr>
        <w:t>maximised</w:t>
      </w:r>
      <w:proofErr w:type="spellEnd"/>
      <w:r w:rsidRPr="00C05CBA">
        <w:rPr>
          <w:rFonts w:cs="Calibri"/>
          <w:sz w:val="16"/>
        </w:rPr>
        <w:t xml:space="preserve"> for society, which receives innovative and improved medicines, as well as timely access to generic drugs. However, if the balance swings towards one of the players, then society loses out, as there will be insufficient access to either innovative or affordable medicines. Therefore, both pharmaceutical innovation and generic competition must be duly </w:t>
      </w:r>
      <w:proofErr w:type="spellStart"/>
      <w:r w:rsidRPr="00C05CBA">
        <w:rPr>
          <w:rFonts w:cs="Calibri"/>
          <w:sz w:val="16"/>
        </w:rPr>
        <w:t>incentivised</w:t>
      </w:r>
      <w:proofErr w:type="spellEnd"/>
      <w:r w:rsidRPr="00C05CBA">
        <w:rPr>
          <w:rFonts w:cs="Calibri"/>
          <w:sz w:val="16"/>
        </w:rPr>
        <w:t xml:space="preserve"> and protected.</w:t>
      </w:r>
    </w:p>
    <w:p w14:paraId="0839ABAE" w14:textId="77777777" w:rsidR="00700D41" w:rsidRPr="00C05CBA" w:rsidRDefault="00700D41" w:rsidP="00700D41">
      <w:pPr>
        <w:spacing w:after="40" w:line="276" w:lineRule="auto"/>
        <w:rPr>
          <w:rFonts w:cs="Calibri"/>
          <w:sz w:val="16"/>
        </w:rPr>
      </w:pPr>
      <w:r w:rsidRPr="00C05CBA">
        <w:rPr>
          <w:rFonts w:cs="Calibri"/>
          <w:sz w:val="16"/>
        </w:rPr>
        <w:t xml:space="preserve">Moreover, these two elements of the pharmaceutical industry are constantly interacting and have a profound impact on each other. In particular, pharmaceutical innovation is the backbone of the pharmaceutical industry, in which originators play an important role. The process of drug development is long and complicated, requires significant investments, and bears considerable commercial </w:t>
      </w:r>
      <w:proofErr w:type="gramStart"/>
      <w:r w:rsidRPr="00C05CBA">
        <w:rPr>
          <w:rFonts w:cs="Calibri"/>
          <w:sz w:val="16"/>
        </w:rPr>
        <w:t>risks.Footnote</w:t>
      </w:r>
      <w:proofErr w:type="gramEnd"/>
      <w:r w:rsidRPr="00C05CBA">
        <w:rPr>
          <w:rFonts w:cs="Calibri"/>
          <w:sz w:val="16"/>
        </w:rPr>
        <w:t xml:space="preserve">17 It is also highly regulated, including, among other things, the requirement for originators to obtain a special </w:t>
      </w:r>
      <w:proofErr w:type="spellStart"/>
      <w:r w:rsidRPr="00C05CBA">
        <w:rPr>
          <w:rFonts w:cs="Calibri"/>
          <w:sz w:val="16"/>
        </w:rPr>
        <w:t>authorisation</w:t>
      </w:r>
      <w:proofErr w:type="spellEnd"/>
      <w:r w:rsidRPr="00C05CBA">
        <w:rPr>
          <w:rFonts w:cs="Calibri"/>
          <w:sz w:val="16"/>
        </w:rPr>
        <w:t xml:space="preserve"> from a designated state authority to market a drug. Such marketing </w:t>
      </w:r>
      <w:proofErr w:type="spellStart"/>
      <w:r w:rsidRPr="00C05CBA">
        <w:rPr>
          <w:rFonts w:cs="Calibri"/>
          <w:sz w:val="16"/>
        </w:rPr>
        <w:t>authorisations</w:t>
      </w:r>
      <w:proofErr w:type="spellEnd"/>
      <w:r w:rsidRPr="00C05CBA">
        <w:rPr>
          <w:rFonts w:cs="Calibri"/>
          <w:sz w:val="16"/>
        </w:rPr>
        <w:t xml:space="preserve"> are granted to the originators only if they can prove that the drug is safe and effective, which typically requires lengthy and expensive clinical </w:t>
      </w:r>
      <w:proofErr w:type="gramStart"/>
      <w:r w:rsidRPr="00C05CBA">
        <w:rPr>
          <w:rFonts w:cs="Calibri"/>
          <w:sz w:val="16"/>
        </w:rPr>
        <w:t>trials.Footnote</w:t>
      </w:r>
      <w:proofErr w:type="gramEnd"/>
      <w:r w:rsidRPr="00C05CBA">
        <w:rPr>
          <w:rFonts w:cs="Calibri"/>
          <w:sz w:val="16"/>
        </w:rPr>
        <w:t>18</w:t>
      </w:r>
    </w:p>
    <w:p w14:paraId="277BF8F2" w14:textId="77777777" w:rsidR="00700D41" w:rsidRPr="00C05CBA" w:rsidRDefault="00700D41" w:rsidP="00700D41">
      <w:pPr>
        <w:spacing w:after="40" w:line="276" w:lineRule="auto"/>
        <w:rPr>
          <w:rFonts w:cs="Calibri"/>
          <w:sz w:val="16"/>
        </w:rPr>
      </w:pPr>
      <w:r w:rsidRPr="00C05CBA">
        <w:rPr>
          <w:rFonts w:cs="Calibri"/>
          <w:sz w:val="16"/>
        </w:rPr>
        <w:t xml:space="preserve">In order to protect these significant efforts and investments, pharmaceutical companies rely heavily on the exclusivity granted by intellectual property rights, and in particular, </w:t>
      </w:r>
      <w:proofErr w:type="gramStart"/>
      <w:r w:rsidRPr="00C05CBA">
        <w:rPr>
          <w:rFonts w:cs="Calibri"/>
          <w:sz w:val="16"/>
        </w:rPr>
        <w:t>patents.Footnote</w:t>
      </w:r>
      <w:proofErr w:type="gramEnd"/>
      <w:r w:rsidRPr="00C05CBA">
        <w:rPr>
          <w:rFonts w:cs="Calibri"/>
          <w:sz w:val="16"/>
        </w:rPr>
        <w:t xml:space="preserve">19 Patents provide a 20-year monopoly right, during which a pharmaceutical company enjoys market exclusivity and can charge a monopoly price for its products. Originators argue that strong patent protection is essential in order to recoup investments, as well as to </w:t>
      </w:r>
      <w:proofErr w:type="spellStart"/>
      <w:r w:rsidRPr="00C05CBA">
        <w:rPr>
          <w:rFonts w:cs="Calibri"/>
          <w:sz w:val="16"/>
        </w:rPr>
        <w:t>incentivise</w:t>
      </w:r>
      <w:proofErr w:type="spellEnd"/>
      <w:r w:rsidRPr="00C05CBA">
        <w:rPr>
          <w:rFonts w:cs="Calibri"/>
          <w:sz w:val="16"/>
        </w:rPr>
        <w:t xml:space="preserve"> them to engage in further </w:t>
      </w:r>
      <w:proofErr w:type="gramStart"/>
      <w:r w:rsidRPr="00C05CBA">
        <w:rPr>
          <w:rFonts w:cs="Calibri"/>
          <w:sz w:val="16"/>
        </w:rPr>
        <w:t>innovation.Footnote</w:t>
      </w:r>
      <w:proofErr w:type="gramEnd"/>
      <w:r w:rsidRPr="00C05CBA">
        <w:rPr>
          <w:rFonts w:cs="Calibri"/>
          <w:sz w:val="16"/>
        </w:rPr>
        <w:t xml:space="preserve">20 Once such patent protection expires, however, other companies may develop generics of a branded drug, and start competing with the originator for the market. This is called generic competition. Generic drugs are bioequivalent versions of a branded drug that has lost its patent protection.Footnote21 It is estimated that the generic entry typically leads to, on average, an 80 per cent market share loss and a 20–30 per cent reduction of a drug price, with further price decreases with each additional generic entrant, leading, in some instances, to a fall in price of up to 90 per cent.Footnote22 A representative example of the effect of generic competition on the originators’ drug prices is the significant decrease in price and dramatic loss of profits by Eli Lilly. The expiration of a patent protecting its blockbusterFootnote23 antidepressant Prozac in 2001 resulted in a loss of almost 70 per cent of its market and $2.4 billion in annual U.S. </w:t>
      </w:r>
      <w:proofErr w:type="gramStart"/>
      <w:r w:rsidRPr="00C05CBA">
        <w:rPr>
          <w:rFonts w:cs="Calibri"/>
          <w:sz w:val="16"/>
        </w:rPr>
        <w:t>sales.Footnote</w:t>
      </w:r>
      <w:proofErr w:type="gramEnd"/>
      <w:r w:rsidRPr="00C05CBA">
        <w:rPr>
          <w:rFonts w:cs="Calibri"/>
          <w:sz w:val="16"/>
        </w:rPr>
        <w:t>24 This effect of generic competition is beneficial for society, as it reduces the financial pressure on healthcare budgets and increases the accessibility of drugs.</w:t>
      </w:r>
    </w:p>
    <w:p w14:paraId="5A0A215F" w14:textId="77777777" w:rsidR="00700D41" w:rsidRPr="00C05CBA" w:rsidRDefault="00700D41" w:rsidP="00700D41">
      <w:pPr>
        <w:spacing w:after="40" w:line="276" w:lineRule="auto"/>
        <w:rPr>
          <w:rFonts w:cs="Calibri"/>
          <w:sz w:val="16"/>
        </w:rPr>
      </w:pPr>
      <w:r w:rsidRPr="00C05CBA">
        <w:rPr>
          <w:rFonts w:cs="Calibri"/>
          <w:sz w:val="16"/>
        </w:rPr>
        <w:t>Patenting Practices by Pharmaceutical Companies</w:t>
      </w:r>
    </w:p>
    <w:p w14:paraId="51AF21F6" w14:textId="77777777" w:rsidR="00700D41" w:rsidRPr="00C05CBA" w:rsidRDefault="00700D41" w:rsidP="00700D41">
      <w:pPr>
        <w:spacing w:after="40" w:line="276" w:lineRule="auto"/>
        <w:rPr>
          <w:rFonts w:cs="Calibri"/>
          <w:sz w:val="16"/>
        </w:rPr>
      </w:pPr>
      <w:r w:rsidRPr="00C05CBA">
        <w:rPr>
          <w:rFonts w:cs="Calibri"/>
          <w:sz w:val="16"/>
        </w:rPr>
        <w:t>As was mentioned above, generic competition is prevented during the life of a patent protecting an active compound of a drug (a so-called “basic” or “primary” patent</w:t>
      </w:r>
      <w:proofErr w:type="gramStart"/>
      <w:r w:rsidRPr="00C05CBA">
        <w:rPr>
          <w:rFonts w:cs="Calibri"/>
          <w:sz w:val="16"/>
        </w:rPr>
        <w:t>).Footnote</w:t>
      </w:r>
      <w:proofErr w:type="gramEnd"/>
      <w:r w:rsidRPr="00C05CBA">
        <w:rPr>
          <w:rFonts w:cs="Calibri"/>
          <w:sz w:val="16"/>
        </w:rPr>
        <w:t xml:space="preserve">25 Such a basic patent covers an active ingredient itself and, therefore, provides the strongest protection for the product. Therefore, generic competition normally starts only after the basic patent expires, or if a generic company succeeds in invalidating it. While </w:t>
      </w:r>
      <w:r w:rsidRPr="00C05CBA">
        <w:rPr>
          <w:rFonts w:cs="Calibri"/>
          <w:u w:val="single"/>
        </w:rPr>
        <w:t xml:space="preserve">in the past pharmaceutical companies </w:t>
      </w:r>
      <w:r w:rsidRPr="00C05CBA">
        <w:rPr>
          <w:rStyle w:val="Emphasis"/>
          <w:rFonts w:cs="Calibri"/>
        </w:rPr>
        <w:t>mainly protected their products</w:t>
      </w:r>
      <w:r w:rsidRPr="00C05CBA">
        <w:rPr>
          <w:rFonts w:cs="Calibri"/>
          <w:u w:val="single"/>
        </w:rPr>
        <w:t xml:space="preserve"> with a single patent covering an active compound</w:t>
      </w:r>
      <w:r w:rsidRPr="00C05CBA">
        <w:rPr>
          <w:rFonts w:cs="Calibri"/>
          <w:sz w:val="16"/>
        </w:rPr>
        <w:t xml:space="preserve">,Footnote26 </w:t>
      </w:r>
      <w:r w:rsidRPr="00C05CBA">
        <w:rPr>
          <w:rFonts w:cs="Calibri"/>
          <w:u w:val="single"/>
        </w:rPr>
        <w:t xml:space="preserve">they now increasingly </w:t>
      </w:r>
      <w:r w:rsidRPr="00C05CBA">
        <w:rPr>
          <w:rFonts w:cs="Calibri"/>
          <w:highlight w:val="green"/>
          <w:u w:val="single"/>
        </w:rPr>
        <w:t xml:space="preserve">seek </w:t>
      </w:r>
      <w:r w:rsidRPr="00C05CBA">
        <w:rPr>
          <w:rStyle w:val="Emphasis"/>
          <w:rFonts w:cs="Calibri"/>
          <w:highlight w:val="green"/>
        </w:rPr>
        <w:t>additional patent</w:t>
      </w:r>
      <w:r w:rsidRPr="00C05CBA">
        <w:rPr>
          <w:rStyle w:val="Emphasis"/>
          <w:rFonts w:cs="Calibri"/>
        </w:rPr>
        <w:t xml:space="preserve"> protection</w:t>
      </w:r>
      <w:r w:rsidRPr="00C05CBA">
        <w:rPr>
          <w:rFonts w:cs="Calibri"/>
          <w:sz w:val="16"/>
        </w:rPr>
        <w:t xml:space="preserve"> on various aspects of a drugFootnote27 </w:t>
      </w:r>
      <w:r w:rsidRPr="00C05CBA">
        <w:rPr>
          <w:rFonts w:cs="Calibri"/>
          <w:u w:val="single"/>
        </w:rPr>
        <w:t>in order to protect their market position</w:t>
      </w:r>
      <w:r w:rsidRPr="00C05CBA">
        <w:rPr>
          <w:rFonts w:cs="Calibri"/>
          <w:sz w:val="16"/>
        </w:rPr>
        <w:t xml:space="preserve">.Footnote28 </w:t>
      </w:r>
      <w:r w:rsidRPr="00C05CBA">
        <w:rPr>
          <w:rFonts w:cs="Calibri"/>
          <w:u w:val="single"/>
        </w:rPr>
        <w:t>Such additional patents are often called secondary patents</w:t>
      </w:r>
      <w:r w:rsidRPr="00C05CBA">
        <w:rPr>
          <w:rFonts w:cs="Calibri"/>
          <w:sz w:val="16"/>
        </w:rPr>
        <w:t xml:space="preserve">.Footnote29 A pharmaceutical company may want to obtain secondary patents, which protect such aspects of a drug as, for example, its process of manufacture, formulation and/or specific form, etc. Therefore, </w:t>
      </w:r>
      <w:r w:rsidRPr="00C05CBA">
        <w:rPr>
          <w:rFonts w:cs="Calibri"/>
          <w:u w:val="single"/>
        </w:rPr>
        <w:t xml:space="preserve">even </w:t>
      </w:r>
      <w:r w:rsidRPr="00C05CBA">
        <w:rPr>
          <w:rFonts w:cs="Calibri"/>
          <w:highlight w:val="green"/>
          <w:u w:val="single"/>
        </w:rPr>
        <w:t>after</w:t>
      </w:r>
      <w:r w:rsidRPr="00C05CBA">
        <w:rPr>
          <w:rFonts w:cs="Calibri"/>
          <w:u w:val="single"/>
        </w:rPr>
        <w:t xml:space="preserve"> the </w:t>
      </w:r>
      <w:r w:rsidRPr="00C05CBA">
        <w:rPr>
          <w:rFonts w:cs="Calibri"/>
          <w:highlight w:val="green"/>
          <w:u w:val="single"/>
        </w:rPr>
        <w:t>basic patent</w:t>
      </w:r>
      <w:r w:rsidRPr="00C05CBA">
        <w:rPr>
          <w:rFonts w:cs="Calibri"/>
          <w:u w:val="single"/>
        </w:rPr>
        <w:t xml:space="preserve"> protecting an active compound </w:t>
      </w:r>
      <w:r w:rsidRPr="00C05CBA">
        <w:rPr>
          <w:rFonts w:cs="Calibri"/>
          <w:highlight w:val="green"/>
          <w:u w:val="single"/>
        </w:rPr>
        <w:t>expires</w:t>
      </w:r>
      <w:r w:rsidRPr="00C05CBA">
        <w:rPr>
          <w:rFonts w:cs="Calibri"/>
          <w:u w:val="single"/>
        </w:rPr>
        <w:t xml:space="preserve">, a </w:t>
      </w:r>
      <w:r w:rsidRPr="00C05CBA">
        <w:rPr>
          <w:rStyle w:val="Emphasis"/>
          <w:rFonts w:cs="Calibri"/>
          <w:highlight w:val="green"/>
        </w:rPr>
        <w:t>drug</w:t>
      </w:r>
      <w:r w:rsidRPr="00C05CBA">
        <w:rPr>
          <w:rStyle w:val="Emphasis"/>
          <w:rFonts w:cs="Calibri"/>
        </w:rPr>
        <w:t xml:space="preserve"> may still be </w:t>
      </w:r>
      <w:r w:rsidRPr="00C05CBA">
        <w:rPr>
          <w:rStyle w:val="Emphasis"/>
          <w:rFonts w:cs="Calibri"/>
          <w:highlight w:val="green"/>
        </w:rPr>
        <w:t>protected by other</w:t>
      </w:r>
      <w:r w:rsidRPr="00C05CBA">
        <w:rPr>
          <w:rStyle w:val="Emphasis"/>
          <w:rFonts w:cs="Calibri"/>
        </w:rPr>
        <w:t xml:space="preserve"> secondary </w:t>
      </w:r>
      <w:r w:rsidRPr="00C05CBA">
        <w:rPr>
          <w:rStyle w:val="Emphasis"/>
          <w:rFonts w:cs="Calibri"/>
          <w:highlight w:val="green"/>
        </w:rPr>
        <w:t>patents</w:t>
      </w:r>
      <w:r w:rsidRPr="00C05CBA">
        <w:rPr>
          <w:rStyle w:val="Emphasis"/>
          <w:rFonts w:cs="Calibri"/>
        </w:rPr>
        <w:t>.</w:t>
      </w:r>
      <w:r w:rsidRPr="00C05CBA">
        <w:rPr>
          <w:rFonts w:cs="Calibri"/>
          <w:u w:val="single"/>
        </w:rPr>
        <w:t xml:space="preserve"> This may </w:t>
      </w:r>
      <w:r w:rsidRPr="00C05CBA">
        <w:rPr>
          <w:rStyle w:val="Emphasis"/>
          <w:rFonts w:cs="Calibri"/>
          <w:highlight w:val="green"/>
        </w:rPr>
        <w:t>result in</w:t>
      </w:r>
      <w:r w:rsidRPr="00C05CBA">
        <w:rPr>
          <w:rStyle w:val="Emphasis"/>
          <w:rFonts w:cs="Calibri"/>
        </w:rPr>
        <w:t xml:space="preserve"> the </w:t>
      </w:r>
      <w:r w:rsidRPr="00C05CBA">
        <w:rPr>
          <w:rStyle w:val="Emphasis"/>
          <w:rFonts w:cs="Calibri"/>
          <w:highlight w:val="green"/>
        </w:rPr>
        <w:t>extension of</w:t>
      </w:r>
      <w:r w:rsidRPr="00C05CBA">
        <w:rPr>
          <w:rStyle w:val="Emphasis"/>
          <w:rFonts w:cs="Calibri"/>
        </w:rPr>
        <w:t xml:space="preserve"> the scope and length of the protection of a product</w:t>
      </w:r>
      <w:r w:rsidRPr="00C05CBA">
        <w:rPr>
          <w:rFonts w:cs="Calibri"/>
          <w:u w:val="single"/>
        </w:rPr>
        <w:t xml:space="preserve">, especially if secondary </w:t>
      </w:r>
      <w:r w:rsidRPr="00C05CBA">
        <w:rPr>
          <w:rStyle w:val="Emphasis"/>
          <w:rFonts w:cs="Calibri"/>
          <w:highlight w:val="green"/>
        </w:rPr>
        <w:t>patents</w:t>
      </w:r>
      <w:r w:rsidRPr="00C05CBA">
        <w:rPr>
          <w:rStyle w:val="Emphasis"/>
          <w:rFonts w:cs="Calibri"/>
        </w:rPr>
        <w:t xml:space="preserve"> have a later expiration date</w:t>
      </w:r>
      <w:r w:rsidRPr="00C05CBA">
        <w:rPr>
          <w:rFonts w:cs="Calibri"/>
          <w:sz w:val="16"/>
        </w:rPr>
        <w:t xml:space="preserve"> than a basic patent.Footnote30 This, in particular, may occur if, for example, the process of producing an active compound disclosed in the basic patent is sufficient only for reproducing this compound in a laboratory, but it is unsuitable for producing it on a large commercial scale.Footnote31 </w:t>
      </w:r>
      <w:r w:rsidRPr="00C05CBA">
        <w:rPr>
          <w:rFonts w:cs="Calibri"/>
          <w:u w:val="single"/>
        </w:rPr>
        <w:t xml:space="preserve">If the originator was able to secure a secondary patent that protects such a large scale manufacturing process, it would </w:t>
      </w:r>
      <w:r w:rsidRPr="00C05CBA">
        <w:rPr>
          <w:rStyle w:val="Emphasis"/>
          <w:rFonts w:cs="Calibri"/>
          <w:highlight w:val="green"/>
        </w:rPr>
        <w:t>prevent generics</w:t>
      </w:r>
      <w:r w:rsidRPr="00C05CBA">
        <w:rPr>
          <w:rStyle w:val="Emphasis"/>
          <w:rFonts w:cs="Calibri"/>
        </w:rPr>
        <w:t xml:space="preserve"> from using this process for producing their generic versions</w:t>
      </w:r>
      <w:r w:rsidRPr="00C05CBA">
        <w:rPr>
          <w:rFonts w:cs="Calibri"/>
          <w:u w:val="single"/>
        </w:rPr>
        <w:t xml:space="preserve"> of a drug; otherwise they would </w:t>
      </w:r>
      <w:r w:rsidRPr="00C05CBA">
        <w:rPr>
          <w:rStyle w:val="Emphasis"/>
          <w:rFonts w:cs="Calibri"/>
          <w:highlight w:val="green"/>
        </w:rPr>
        <w:t>risk infringing</w:t>
      </w:r>
      <w:r w:rsidRPr="00C05CBA">
        <w:rPr>
          <w:rStyle w:val="Emphasis"/>
          <w:rFonts w:cs="Calibri"/>
        </w:rPr>
        <w:t xml:space="preserve"> this secondary patent</w:t>
      </w:r>
      <w:r w:rsidRPr="00C05CBA">
        <w:rPr>
          <w:rFonts w:cs="Calibri"/>
          <w:sz w:val="16"/>
        </w:rPr>
        <w:t xml:space="preserve">.Footnote32 However, a unique feature of pharmaceuticals is that an </w:t>
      </w:r>
      <w:r w:rsidRPr="00C05CBA">
        <w:rPr>
          <w:rFonts w:cs="Calibri"/>
          <w:highlight w:val="green"/>
          <w:u w:val="single"/>
        </w:rPr>
        <w:t>active ingredient</w:t>
      </w:r>
      <w:r w:rsidRPr="00C05CBA">
        <w:rPr>
          <w:rFonts w:cs="Calibri"/>
          <w:u w:val="single"/>
        </w:rPr>
        <w:t xml:space="preserve"> can be </w:t>
      </w:r>
      <w:r w:rsidRPr="00C05CBA">
        <w:rPr>
          <w:rFonts w:cs="Calibri"/>
          <w:highlight w:val="green"/>
          <w:u w:val="single"/>
        </w:rPr>
        <w:t xml:space="preserve">manufactured using </w:t>
      </w:r>
      <w:r w:rsidRPr="00C05CBA">
        <w:rPr>
          <w:rStyle w:val="Emphasis"/>
          <w:rFonts w:cs="Calibri"/>
          <w:highlight w:val="green"/>
        </w:rPr>
        <w:t>different</w:t>
      </w:r>
      <w:r w:rsidRPr="00C05CBA">
        <w:rPr>
          <w:rStyle w:val="Emphasis"/>
          <w:rFonts w:cs="Calibri"/>
        </w:rPr>
        <w:t xml:space="preserve"> methods and </w:t>
      </w:r>
      <w:r w:rsidRPr="00C05CBA">
        <w:rPr>
          <w:rStyle w:val="Emphasis"/>
          <w:rFonts w:cs="Calibri"/>
          <w:highlight w:val="green"/>
        </w:rPr>
        <w:t>processes</w:t>
      </w:r>
      <w:r w:rsidRPr="00C05CBA">
        <w:rPr>
          <w:rFonts w:cs="Calibri"/>
          <w:u w:val="single"/>
        </w:rPr>
        <w:t>, can exist in different forms or can be used in different formulations</w:t>
      </w:r>
      <w:r w:rsidRPr="00C05CBA">
        <w:rPr>
          <w:rFonts w:cs="Calibri"/>
          <w:sz w:val="16"/>
        </w:rPr>
        <w:t xml:space="preserve">. Therefore, </w:t>
      </w:r>
      <w:r w:rsidRPr="00C05CBA">
        <w:rPr>
          <w:rFonts w:cs="Calibri"/>
          <w:u w:val="single"/>
        </w:rPr>
        <w:t>when a basic patent on an active ingredient expires, other companies can develop alternative methods of production, forms or formulations</w:t>
      </w:r>
      <w:r w:rsidRPr="00C05CBA">
        <w:rPr>
          <w:rFonts w:cs="Calibri"/>
          <w:sz w:val="16"/>
        </w:rPr>
        <w:t xml:space="preserve"> of this active compound and start competing with the originator </w:t>
      </w:r>
      <w:proofErr w:type="gramStart"/>
      <w:r w:rsidRPr="00C05CBA">
        <w:rPr>
          <w:rFonts w:cs="Calibri"/>
          <w:sz w:val="16"/>
        </w:rPr>
        <w:t>company.Footnote</w:t>
      </w:r>
      <w:proofErr w:type="gramEnd"/>
      <w:r w:rsidRPr="00C05CBA">
        <w:rPr>
          <w:rFonts w:cs="Calibri"/>
          <w:sz w:val="16"/>
        </w:rPr>
        <w:t xml:space="preserve">33 While such patenting strategies by originators are lawful in principle, some of them may be problematic. In particular, </w:t>
      </w:r>
      <w:r w:rsidRPr="00C05CBA">
        <w:rPr>
          <w:rFonts w:cs="Calibri"/>
          <w:u w:val="single"/>
        </w:rPr>
        <w:t xml:space="preserve">in anticipation of the loss of patent protection, originators may engage in strategic patenting which </w:t>
      </w:r>
      <w:r w:rsidRPr="00C05CBA">
        <w:rPr>
          <w:rStyle w:val="Emphasis"/>
          <w:rFonts w:cs="Calibri"/>
          <w:highlight w:val="green"/>
        </w:rPr>
        <w:t>artificially prevents</w:t>
      </w:r>
      <w:r w:rsidRPr="00C05CBA">
        <w:rPr>
          <w:rStyle w:val="Emphasis"/>
          <w:rFonts w:cs="Calibri"/>
        </w:rPr>
        <w:t xml:space="preserve"> generic </w:t>
      </w:r>
      <w:r w:rsidRPr="00C05CBA">
        <w:rPr>
          <w:rStyle w:val="Emphasis"/>
          <w:rFonts w:cs="Calibri"/>
          <w:highlight w:val="green"/>
        </w:rPr>
        <w:t>competition</w:t>
      </w:r>
      <w:r w:rsidRPr="00C05CBA">
        <w:rPr>
          <w:rStyle w:val="Emphasis"/>
          <w:rFonts w:cs="Calibri"/>
        </w:rPr>
        <w:t xml:space="preserve"> and results in an extension of their market </w:t>
      </w:r>
      <w:proofErr w:type="gramStart"/>
      <w:r w:rsidRPr="00C05CBA">
        <w:rPr>
          <w:rStyle w:val="Emphasis"/>
          <w:rFonts w:cs="Calibri"/>
        </w:rPr>
        <w:t>monopoly</w:t>
      </w:r>
      <w:r w:rsidRPr="00C05CBA">
        <w:rPr>
          <w:rFonts w:cs="Calibri"/>
          <w:sz w:val="16"/>
        </w:rPr>
        <w:t>.Footnote</w:t>
      </w:r>
      <w:proofErr w:type="gramEnd"/>
      <w:r w:rsidRPr="00C05CBA">
        <w:rPr>
          <w:rFonts w:cs="Calibri"/>
          <w:sz w:val="16"/>
        </w:rPr>
        <w:t>34</w:t>
      </w:r>
    </w:p>
    <w:p w14:paraId="46B6BC26" w14:textId="77777777" w:rsidR="00700D41" w:rsidRPr="00C05CBA" w:rsidRDefault="00700D41" w:rsidP="00700D41">
      <w:pPr>
        <w:spacing w:after="40" w:line="276" w:lineRule="auto"/>
        <w:rPr>
          <w:rFonts w:cs="Calibri"/>
          <w:sz w:val="16"/>
        </w:rPr>
      </w:pPr>
      <w:r w:rsidRPr="00C05CBA">
        <w:rPr>
          <w:rFonts w:cs="Calibri"/>
          <w:sz w:val="16"/>
        </w:rPr>
        <w:t>Defining Strategic Patenting</w:t>
      </w:r>
    </w:p>
    <w:p w14:paraId="6B5CD937" w14:textId="77777777" w:rsidR="00700D41" w:rsidRPr="00C05CBA" w:rsidRDefault="00700D41" w:rsidP="00700D41">
      <w:pPr>
        <w:spacing w:after="40" w:line="276" w:lineRule="auto"/>
        <w:rPr>
          <w:rFonts w:cs="Calibri"/>
          <w:sz w:val="16"/>
        </w:rPr>
      </w:pPr>
      <w:r w:rsidRPr="00C05CBA">
        <w:rPr>
          <w:rFonts w:cs="Calibri"/>
          <w:sz w:val="16"/>
        </w:rPr>
        <w:t>In its Sector Inquiry Report, the European Commission explained that the drug development process consists of three main stages: (</w:t>
      </w:r>
      <w:proofErr w:type="spellStart"/>
      <w:r w:rsidRPr="00C05CBA">
        <w:rPr>
          <w:rFonts w:cs="Calibri"/>
          <w:sz w:val="16"/>
        </w:rPr>
        <w:t>i</w:t>
      </w:r>
      <w:proofErr w:type="spellEnd"/>
      <w:r w:rsidRPr="00C05CBA">
        <w:rPr>
          <w:rFonts w:cs="Calibri"/>
          <w:sz w:val="16"/>
        </w:rPr>
        <w:t xml:space="preserve">) the R&amp;D stage, which ends with the launch of a drug on the market; (ii) the period between the launch and the patent expiry; and (iii) the period after the patent expiration, when generics can enter the market.Footnote35 During the second stage, i.e. after the launch of a drug, originators seek to </w:t>
      </w:r>
      <w:proofErr w:type="spellStart"/>
      <w:r w:rsidRPr="00C05CBA">
        <w:rPr>
          <w:rFonts w:cs="Calibri"/>
          <w:sz w:val="16"/>
        </w:rPr>
        <w:t>maximise</w:t>
      </w:r>
      <w:proofErr w:type="spellEnd"/>
      <w:r w:rsidRPr="00C05CBA">
        <w:rPr>
          <w:rFonts w:cs="Calibri"/>
          <w:sz w:val="16"/>
        </w:rPr>
        <w:t xml:space="preserve"> their income from the product in order to recoup their R&amp;D investments and earn profits before the commencement of generic competition.Footnote36 It is also during this stage that pharmaceutical companies seek to prolong their market exclusivity.</w:t>
      </w:r>
    </w:p>
    <w:p w14:paraId="640603E5" w14:textId="77777777" w:rsidR="00700D41" w:rsidRPr="00C05CBA" w:rsidRDefault="00700D41" w:rsidP="00700D41">
      <w:pPr>
        <w:spacing w:after="40" w:line="276" w:lineRule="auto"/>
        <w:rPr>
          <w:rFonts w:cs="Calibri"/>
          <w:sz w:val="16"/>
        </w:rPr>
      </w:pPr>
      <w:r w:rsidRPr="00C05CBA">
        <w:rPr>
          <w:rFonts w:cs="Calibri"/>
          <w:sz w:val="16"/>
        </w:rPr>
        <w:t xml:space="preserve">In recent years, </w:t>
      </w:r>
      <w:r w:rsidRPr="00C05CBA">
        <w:rPr>
          <w:rFonts w:cs="Calibri"/>
          <w:u w:val="single"/>
        </w:rPr>
        <w:t xml:space="preserve">pharmaceutical companies have been increasingly relying on the </w:t>
      </w:r>
      <w:r w:rsidRPr="00C05CBA">
        <w:rPr>
          <w:rStyle w:val="Emphasis"/>
          <w:rFonts w:cs="Calibri"/>
        </w:rPr>
        <w:t>strategic use of the patent system to combat the pressure of generic competition</w:t>
      </w:r>
      <w:r w:rsidRPr="00C05CBA">
        <w:rPr>
          <w:rFonts w:cs="Calibri"/>
          <w:u w:val="single"/>
        </w:rPr>
        <w:t>. Such practices are often called “life cycle management”</w:t>
      </w:r>
      <w:r w:rsidRPr="00C05CBA">
        <w:rPr>
          <w:rFonts w:cs="Calibri"/>
          <w:sz w:val="16"/>
        </w:rPr>
        <w:t xml:space="preserve"> by originators and proponents of the practice. For example, as Burdon and </w:t>
      </w:r>
      <w:proofErr w:type="spellStart"/>
      <w:r w:rsidRPr="00C05CBA">
        <w:rPr>
          <w:rFonts w:cs="Calibri"/>
          <w:sz w:val="16"/>
        </w:rPr>
        <w:t>Sloper</w:t>
      </w:r>
      <w:proofErr w:type="spellEnd"/>
      <w:r w:rsidRPr="00C05CBA">
        <w:rPr>
          <w:rFonts w:cs="Calibri"/>
          <w:sz w:val="16"/>
        </w:rPr>
        <w:t xml:space="preserve"> explained, “[a] key element of any life cycle management strategy … is to extend patent protection beyond the basic patent term for as long as possible, by filing secondary patents which are effective to keep generics off the market”.Footnote37 However, </w:t>
      </w:r>
      <w:r w:rsidRPr="00C05CBA">
        <w:rPr>
          <w:rFonts w:cs="Calibri"/>
          <w:u w:val="single"/>
        </w:rPr>
        <w:t xml:space="preserve">critics have </w:t>
      </w:r>
      <w:proofErr w:type="spellStart"/>
      <w:r w:rsidRPr="00C05CBA">
        <w:rPr>
          <w:rFonts w:cs="Calibri"/>
          <w:u w:val="single"/>
        </w:rPr>
        <w:t>characterised</w:t>
      </w:r>
      <w:proofErr w:type="spellEnd"/>
      <w:r w:rsidRPr="00C05CBA">
        <w:rPr>
          <w:rFonts w:cs="Calibri"/>
          <w:u w:val="single"/>
        </w:rPr>
        <w:t xml:space="preserve"> the practice as “</w:t>
      </w:r>
      <w:r w:rsidRPr="00C05CBA">
        <w:rPr>
          <w:rStyle w:val="Emphasis"/>
          <w:rFonts w:cs="Calibri"/>
        </w:rPr>
        <w:t>evergreening</w:t>
      </w:r>
      <w:r w:rsidRPr="00C05CBA">
        <w:rPr>
          <w:rFonts w:cs="Calibri"/>
          <w:u w:val="single"/>
        </w:rPr>
        <w:t>”</w:t>
      </w:r>
      <w:r w:rsidRPr="00C05CBA">
        <w:rPr>
          <w:rFonts w:cs="Calibri"/>
          <w:sz w:val="16"/>
        </w:rPr>
        <w:t xml:space="preserve">,Footnote38 </w:t>
      </w:r>
      <w:r w:rsidRPr="00C05CBA">
        <w:rPr>
          <w:rFonts w:cs="Calibri"/>
          <w:u w:val="single"/>
        </w:rPr>
        <w:t>as it essentially evergreens the patent protection and the exclusivity of a product</w:t>
      </w:r>
      <w:r w:rsidRPr="00C05CBA">
        <w:rPr>
          <w:rFonts w:cs="Calibri"/>
          <w:sz w:val="16"/>
        </w:rPr>
        <w:t xml:space="preserve">.Footnote39 For instance, Bansal et al. explain that </w:t>
      </w:r>
      <w:proofErr w:type="spellStart"/>
      <w:r w:rsidRPr="00C05CBA">
        <w:rPr>
          <w:rFonts w:cs="Calibri"/>
          <w:sz w:val="16"/>
        </w:rPr>
        <w:t>evergreening</w:t>
      </w:r>
      <w:proofErr w:type="spellEnd"/>
      <w:r w:rsidRPr="00C05CBA">
        <w:rPr>
          <w:rFonts w:cs="Calibri"/>
          <w:sz w:val="16"/>
        </w:rPr>
        <w:t xml:space="preserve"> “refers to different ways wherein patent owners take undue advantage of the law and associated regulatory processes to </w:t>
      </w:r>
      <w:r w:rsidRPr="00C05CBA">
        <w:rPr>
          <w:rStyle w:val="Emphasis"/>
          <w:rFonts w:cs="Calibri"/>
        </w:rPr>
        <w:t>extend their IP monopoly</w:t>
      </w:r>
      <w:r w:rsidRPr="00C05CBA">
        <w:rPr>
          <w:rFonts w:cs="Calibri"/>
          <w:u w:val="single"/>
        </w:rPr>
        <w:t>, particularly over highly lucrative ‘blockbuster’ drugs, by filing disguised/artful patents on an already patent-protected invention shortly before expiry of the ‘parent’ patent</w:t>
      </w:r>
      <w:r w:rsidRPr="00C05CBA">
        <w:rPr>
          <w:rFonts w:cs="Calibri"/>
          <w:sz w:val="16"/>
        </w:rPr>
        <w:t>”.Footnote40</w:t>
      </w:r>
    </w:p>
    <w:p w14:paraId="55D05E34" w14:textId="77777777" w:rsidR="00700D41" w:rsidRPr="00C05CBA" w:rsidRDefault="00700D41" w:rsidP="00700D41">
      <w:pPr>
        <w:spacing w:after="40" w:line="276" w:lineRule="auto"/>
        <w:rPr>
          <w:rFonts w:cs="Calibri"/>
          <w:sz w:val="16"/>
        </w:rPr>
      </w:pPr>
      <w:r w:rsidRPr="00C05CBA">
        <w:rPr>
          <w:rFonts w:cs="Calibri"/>
          <w:sz w:val="16"/>
        </w:rPr>
        <w:t xml:space="preserve">During its investigation into the pharmaceutical industry, the European Commission found that </w:t>
      </w:r>
      <w:r w:rsidRPr="00C05CBA">
        <w:rPr>
          <w:rFonts w:cs="Calibri"/>
          <w:u w:val="single"/>
        </w:rPr>
        <w:t>the number of patents granted and pending applications significantly increases with the value of a drug, i.e. “blockbuster medicines can even be protected by up to nearly 100</w:t>
      </w:r>
      <w:r w:rsidRPr="00C05CBA">
        <w:rPr>
          <w:rFonts w:cs="Calibri"/>
          <w:sz w:val="16"/>
        </w:rPr>
        <w:t xml:space="preserve"> INNFootnote41-specific EPO </w:t>
      </w:r>
      <w:r w:rsidRPr="00C05CBA">
        <w:rPr>
          <w:rStyle w:val="Emphasis"/>
          <w:rFonts w:cs="Calibri"/>
        </w:rPr>
        <w:t>patented bundles and applications</w:t>
      </w:r>
      <w:r w:rsidRPr="00C05CBA">
        <w:rPr>
          <w:rFonts w:cs="Calibri"/>
          <w:sz w:val="16"/>
        </w:rPr>
        <w:t xml:space="preserve"> …, which in one particular case led to 1,300 patents and applications across all the EU Member States”.Footnote42 The Commission also found that the ratio of primary to secondary patents is 1:7, where the latter “mostly concern formulations, processes and non-formulation products…, such as salts, polymorphic forms, particles, solvates and hydrates”.Footnote43 As a result, the Commission concluded that </w:t>
      </w:r>
      <w:r w:rsidRPr="00C05CBA">
        <w:rPr>
          <w:rFonts w:cs="Calibri"/>
          <w:u w:val="single"/>
        </w:rPr>
        <w:t>the practice of “</w:t>
      </w:r>
      <w:proofErr w:type="spellStart"/>
      <w:r w:rsidRPr="00C05CBA">
        <w:rPr>
          <w:rFonts w:cs="Calibri"/>
          <w:u w:val="single"/>
        </w:rPr>
        <w:t>maximising</w:t>
      </w:r>
      <w:proofErr w:type="spellEnd"/>
      <w:r w:rsidRPr="00C05CBA">
        <w:rPr>
          <w:rFonts w:cs="Calibri"/>
          <w:u w:val="single"/>
        </w:rPr>
        <w:t xml:space="preserve"> patent coverage in such a way is the creation of a web of patents”, which affects the generics’ ability to “develop a generic version of the medicine in form of a salt, crystalline or amorphous form”, because it “would inevitably infringe a patent</w:t>
      </w:r>
      <w:r w:rsidRPr="00C05CBA">
        <w:rPr>
          <w:rFonts w:cs="Calibri"/>
          <w:sz w:val="16"/>
        </w:rPr>
        <w:t xml:space="preserve"> (for example, a patent for the relevant salt, crystalline or amorphous form of the medicine)”.Footnote44 </w:t>
      </w:r>
      <w:r w:rsidRPr="00C05CBA">
        <w:rPr>
          <w:rFonts w:cs="Calibri"/>
          <w:u w:val="single"/>
        </w:rPr>
        <w:t>Each of such patents would typically have a later expiration date, which effectively extends a period of market exclusivity beyond the expiration of a basic patent</w:t>
      </w:r>
      <w:r w:rsidRPr="00C05CBA">
        <w:rPr>
          <w:rFonts w:cs="Calibri"/>
          <w:sz w:val="16"/>
        </w:rPr>
        <w:t xml:space="preserve">.Footnote45 In addition, </w:t>
      </w:r>
      <w:r w:rsidRPr="00C05CBA">
        <w:rPr>
          <w:rFonts w:cs="Calibri"/>
          <w:u w:val="single"/>
        </w:rPr>
        <w:t>most of these patents that protect such follow-on modifications are so-called “sleeping” patents</w:t>
      </w:r>
      <w:r w:rsidRPr="00C05CBA">
        <w:rPr>
          <w:rFonts w:cs="Calibri"/>
          <w:sz w:val="16"/>
        </w:rPr>
        <w:t xml:space="preserve">, i.e. patents which a </w:t>
      </w:r>
      <w:r w:rsidRPr="00C05CBA">
        <w:rPr>
          <w:rFonts w:cs="Calibri"/>
          <w:u w:val="single"/>
        </w:rPr>
        <w:t>company has no intention of commercialising</w:t>
      </w:r>
      <w:r w:rsidRPr="00C05CBA">
        <w:rPr>
          <w:rFonts w:cs="Calibri"/>
          <w:sz w:val="16"/>
        </w:rPr>
        <w:t xml:space="preserve">.Footnote46 Moreover, </w:t>
      </w:r>
      <w:r w:rsidRPr="00C05CBA">
        <w:rPr>
          <w:rFonts w:cs="Calibri"/>
          <w:u w:val="single"/>
        </w:rPr>
        <w:t xml:space="preserve">such </w:t>
      </w:r>
      <w:r w:rsidRPr="00C05CBA">
        <w:rPr>
          <w:rFonts w:cs="Calibri"/>
          <w:highlight w:val="green"/>
          <w:u w:val="single"/>
        </w:rPr>
        <w:t>modifications</w:t>
      </w:r>
      <w:r w:rsidRPr="00C05CBA">
        <w:rPr>
          <w:rFonts w:cs="Calibri"/>
          <w:u w:val="single"/>
        </w:rPr>
        <w:t xml:space="preserve"> may </w:t>
      </w:r>
      <w:r w:rsidRPr="00C05CBA">
        <w:rPr>
          <w:rStyle w:val="Emphasis"/>
          <w:rFonts w:cs="Calibri"/>
          <w:highlight w:val="green"/>
        </w:rPr>
        <w:t>provide</w:t>
      </w:r>
      <w:r w:rsidRPr="00C05CBA">
        <w:rPr>
          <w:rStyle w:val="Emphasis"/>
          <w:rFonts w:cs="Calibri"/>
        </w:rPr>
        <w:t xml:space="preserve"> little or </w:t>
      </w:r>
      <w:r w:rsidRPr="00C05CBA">
        <w:rPr>
          <w:rStyle w:val="Emphasis"/>
          <w:rFonts w:cs="Calibri"/>
          <w:highlight w:val="green"/>
        </w:rPr>
        <w:t>no</w:t>
      </w:r>
      <w:r w:rsidRPr="00C05CBA">
        <w:rPr>
          <w:rStyle w:val="Emphasis"/>
          <w:rFonts w:cs="Calibri"/>
        </w:rPr>
        <w:t xml:space="preserve"> therapeutic </w:t>
      </w:r>
      <w:r w:rsidRPr="00C05CBA">
        <w:rPr>
          <w:rStyle w:val="Emphasis"/>
          <w:rFonts w:cs="Calibri"/>
          <w:highlight w:val="green"/>
        </w:rPr>
        <w:t>benefits</w:t>
      </w:r>
      <w:r w:rsidRPr="00C05CBA">
        <w:rPr>
          <w:rStyle w:val="Emphasis"/>
          <w:rFonts w:cs="Calibri"/>
        </w:rPr>
        <w:t xml:space="preserve"> to the patient compared to the original drug</w:t>
      </w:r>
      <w:r w:rsidRPr="00C05CBA">
        <w:rPr>
          <w:rFonts w:cs="Calibri"/>
          <w:sz w:val="16"/>
        </w:rPr>
        <w:t>.Footnote47 Nevertheless, such patents allow originators to secure the most efficient, broadest and longest possible protection for their successful products.Footnote48</w:t>
      </w:r>
    </w:p>
    <w:p w14:paraId="35BACDF4" w14:textId="77777777" w:rsidR="00700D41" w:rsidRPr="00C05CBA" w:rsidRDefault="00700D41" w:rsidP="00700D41">
      <w:pPr>
        <w:spacing w:after="40" w:line="276" w:lineRule="auto"/>
        <w:rPr>
          <w:rFonts w:cs="Calibri"/>
          <w:sz w:val="16"/>
        </w:rPr>
      </w:pPr>
      <w:r w:rsidRPr="00C05CBA">
        <w:rPr>
          <w:rFonts w:cs="Calibri"/>
          <w:u w:val="single"/>
        </w:rPr>
        <w:t xml:space="preserve">The </w:t>
      </w:r>
      <w:r w:rsidRPr="00C05CBA">
        <w:rPr>
          <w:rFonts w:cs="Calibri"/>
          <w:highlight w:val="green"/>
          <w:u w:val="single"/>
        </w:rPr>
        <w:t>denser</w:t>
      </w:r>
      <w:r w:rsidRPr="00C05CBA">
        <w:rPr>
          <w:rFonts w:cs="Calibri"/>
          <w:u w:val="single"/>
        </w:rPr>
        <w:t xml:space="preserve"> the </w:t>
      </w:r>
      <w:r w:rsidRPr="00C05CBA">
        <w:rPr>
          <w:rFonts w:cs="Calibri"/>
          <w:highlight w:val="green"/>
          <w:u w:val="single"/>
        </w:rPr>
        <w:t>web</w:t>
      </w:r>
      <w:r w:rsidRPr="00C05CBA">
        <w:rPr>
          <w:rFonts w:cs="Calibri"/>
          <w:u w:val="single"/>
        </w:rPr>
        <w:t xml:space="preserve"> of secondary patents, the </w:t>
      </w:r>
      <w:r w:rsidRPr="00C05CBA">
        <w:rPr>
          <w:rFonts w:cs="Calibri"/>
          <w:highlight w:val="green"/>
          <w:u w:val="single"/>
        </w:rPr>
        <w:t xml:space="preserve">more </w:t>
      </w:r>
      <w:r w:rsidRPr="00C05CBA">
        <w:rPr>
          <w:rStyle w:val="Emphasis"/>
          <w:rFonts w:cs="Calibri"/>
          <w:highlight w:val="green"/>
        </w:rPr>
        <w:t>difficult</w:t>
      </w:r>
      <w:r w:rsidRPr="00C05CBA">
        <w:rPr>
          <w:rStyle w:val="Emphasis"/>
          <w:rFonts w:cs="Calibri"/>
        </w:rPr>
        <w:t xml:space="preserve"> it is </w:t>
      </w:r>
      <w:r w:rsidRPr="00C05CBA">
        <w:rPr>
          <w:rStyle w:val="Emphasis"/>
          <w:rFonts w:cs="Calibri"/>
          <w:highlight w:val="green"/>
        </w:rPr>
        <w:t>for generics</w:t>
      </w:r>
      <w:r w:rsidRPr="00C05CBA">
        <w:rPr>
          <w:rStyle w:val="Emphasis"/>
          <w:rFonts w:cs="Calibri"/>
        </w:rPr>
        <w:t xml:space="preserve"> to develop their generic equivalents</w:t>
      </w:r>
      <w:r w:rsidRPr="00C05CBA">
        <w:rPr>
          <w:rFonts w:cs="Calibri"/>
          <w:sz w:val="16"/>
        </w:rPr>
        <w:t>, even if they know that only a few patents of a large portfolio would, in fact, be valid and infringed by their products.Footnote49 Despite such knowledge, it is impossible to be certain before introducing a generic whether this will be the case and, thus, whether the generic company will be subject to injunctions preventing the sale of their generic products.Footnote50 Such practice, therefore, provides an appreciable competitive advantage for originators by creating a significant legal and commercial uncertainty for generics in relation to the possibility of their market entry.Footnote51</w:t>
      </w:r>
    </w:p>
    <w:p w14:paraId="5A7BD40B" w14:textId="77777777" w:rsidR="00700D41" w:rsidRPr="00C05CBA" w:rsidRDefault="00700D41" w:rsidP="00700D41">
      <w:pPr>
        <w:spacing w:after="40" w:line="276" w:lineRule="auto"/>
        <w:rPr>
          <w:rFonts w:cs="Calibri"/>
          <w:sz w:val="16"/>
        </w:rPr>
      </w:pPr>
      <w:r w:rsidRPr="00C05CBA">
        <w:rPr>
          <w:rFonts w:cs="Calibri"/>
          <w:sz w:val="16"/>
        </w:rPr>
        <w:t>This paper argues that such a strategic use of the patent system by pharmaceutical companies is against the shared goal of patent and competition laws of facilitating innovation for the benefit of society. As will be explained further, in addition to a more immediate negative effect in the form of high drug prices, strategic patenting may also impair innovation by reducing originators’ incentives to innovate, and affecting generics’ ability to develop alternative generic products. Strategic patenting, therefore, may enable originators to avoid competitive pressures by preventing generic competition without a need to engage in genuine innovation.</w:t>
      </w:r>
    </w:p>
    <w:p w14:paraId="5B8291FF" w14:textId="77777777" w:rsidR="00700D41" w:rsidRPr="00C05CBA" w:rsidRDefault="00700D41" w:rsidP="00700D41">
      <w:pPr>
        <w:spacing w:after="40" w:line="276" w:lineRule="auto"/>
        <w:rPr>
          <w:rFonts w:cs="Calibri"/>
          <w:sz w:val="16"/>
        </w:rPr>
      </w:pPr>
      <w:r w:rsidRPr="00C05CBA">
        <w:rPr>
          <w:rFonts w:cs="Calibri"/>
          <w:u w:val="single"/>
        </w:rPr>
        <w:t xml:space="preserve">Strategic Patenting </w:t>
      </w:r>
      <w:r w:rsidRPr="00C05CBA">
        <w:rPr>
          <w:rStyle w:val="Emphasis"/>
          <w:rFonts w:cs="Calibri"/>
        </w:rPr>
        <w:t>Contradicts the Rationale of the Patent System</w:t>
      </w:r>
      <w:r w:rsidRPr="00C05CBA">
        <w:rPr>
          <w:rFonts w:cs="Calibri"/>
          <w:u w:val="single"/>
        </w:rPr>
        <w:t xml:space="preserve"> </w:t>
      </w:r>
      <w:r w:rsidRPr="00C05CBA">
        <w:rPr>
          <w:rFonts w:cs="Calibri"/>
          <w:sz w:val="16"/>
        </w:rPr>
        <w:t>and Competition Law</w:t>
      </w:r>
    </w:p>
    <w:p w14:paraId="3B27C1F9" w14:textId="77777777" w:rsidR="00700D41" w:rsidRPr="00C05CBA" w:rsidRDefault="00700D41" w:rsidP="00700D41">
      <w:pPr>
        <w:spacing w:after="40" w:line="276" w:lineRule="auto"/>
        <w:rPr>
          <w:rFonts w:cs="Calibri"/>
          <w:sz w:val="16"/>
        </w:rPr>
      </w:pPr>
      <w:r w:rsidRPr="00C05CBA">
        <w:rPr>
          <w:rFonts w:cs="Calibri"/>
          <w:sz w:val="16"/>
        </w:rPr>
        <w:t xml:space="preserve">In the competitive markets, </w:t>
      </w:r>
      <w:r w:rsidRPr="00C05CBA">
        <w:rPr>
          <w:rFonts w:cs="Calibri"/>
          <w:u w:val="single"/>
        </w:rPr>
        <w:t xml:space="preserve">the success of a company is based on its business </w:t>
      </w:r>
      <w:proofErr w:type="gramStart"/>
      <w:r w:rsidRPr="00C05CBA">
        <w:rPr>
          <w:rFonts w:cs="Calibri"/>
          <w:u w:val="single"/>
        </w:rPr>
        <w:t>performance</w:t>
      </w:r>
      <w:r w:rsidRPr="00C05CBA">
        <w:rPr>
          <w:rFonts w:cs="Calibri"/>
          <w:sz w:val="16"/>
        </w:rPr>
        <w:t>.Footnote</w:t>
      </w:r>
      <w:proofErr w:type="gramEnd"/>
      <w:r w:rsidRPr="00C05CBA">
        <w:rPr>
          <w:rFonts w:cs="Calibri"/>
          <w:sz w:val="16"/>
        </w:rPr>
        <w:t xml:space="preserve">52 </w:t>
      </w:r>
      <w:r w:rsidRPr="00C05CBA">
        <w:rPr>
          <w:rFonts w:cs="Calibri"/>
          <w:u w:val="single"/>
        </w:rPr>
        <w:t>In order to compete on performance by “offering better quality and a wider choice of new and improved goods and services”</w:t>
      </w:r>
      <w:r w:rsidRPr="00C05CBA">
        <w:rPr>
          <w:rFonts w:cs="Calibri"/>
          <w:sz w:val="16"/>
        </w:rPr>
        <w:t xml:space="preserve">Footnote53 </w:t>
      </w:r>
      <w:r w:rsidRPr="00C05CBA">
        <w:rPr>
          <w:rFonts w:cs="Calibri"/>
          <w:u w:val="single"/>
        </w:rPr>
        <w:t xml:space="preserve">firms must innovate. </w:t>
      </w:r>
      <w:proofErr w:type="spellStart"/>
      <w:r w:rsidRPr="00C05CBA">
        <w:rPr>
          <w:rFonts w:cs="Calibri"/>
          <w:u w:val="single"/>
        </w:rPr>
        <w:t>Realising</w:t>
      </w:r>
      <w:proofErr w:type="spellEnd"/>
      <w:r w:rsidRPr="00C05CBA">
        <w:rPr>
          <w:rFonts w:cs="Calibri"/>
          <w:u w:val="single"/>
        </w:rPr>
        <w:t xml:space="preserve"> the importance of protecting innovation, which is considered to be the main driver of economic </w:t>
      </w:r>
      <w:proofErr w:type="gramStart"/>
      <w:r w:rsidRPr="00C05CBA">
        <w:rPr>
          <w:rFonts w:cs="Calibri"/>
          <w:u w:val="single"/>
        </w:rPr>
        <w:t>growth</w:t>
      </w:r>
      <w:r w:rsidRPr="00C05CBA">
        <w:rPr>
          <w:rFonts w:cs="Calibri"/>
          <w:sz w:val="16"/>
        </w:rPr>
        <w:t>,Footnote</w:t>
      </w:r>
      <w:proofErr w:type="gramEnd"/>
      <w:r w:rsidRPr="00C05CBA">
        <w:rPr>
          <w:rFonts w:cs="Calibri"/>
          <w:sz w:val="16"/>
        </w:rPr>
        <w:t xml:space="preserve">54 </w:t>
      </w:r>
      <w:r w:rsidRPr="00C05CBA">
        <w:rPr>
          <w:rFonts w:cs="Calibri"/>
          <w:u w:val="single"/>
        </w:rPr>
        <w:t>states have put in place various mechanisms to ensure a suitable environment for its advancement. These include granting the property rights</w:t>
      </w:r>
      <w:r w:rsidRPr="00C05CBA">
        <w:rPr>
          <w:rFonts w:cs="Calibri"/>
          <w:sz w:val="16"/>
        </w:rPr>
        <w:t xml:space="preserve"> to the results of innovation in the form of patents, as well as implementing competition law rules to stimulate dynamic </w:t>
      </w:r>
      <w:proofErr w:type="gramStart"/>
      <w:r w:rsidRPr="00C05CBA">
        <w:rPr>
          <w:rFonts w:cs="Calibri"/>
          <w:sz w:val="16"/>
        </w:rPr>
        <w:t>competition.Footnote</w:t>
      </w:r>
      <w:proofErr w:type="gramEnd"/>
      <w:r w:rsidRPr="00C05CBA">
        <w:rPr>
          <w:rFonts w:cs="Calibri"/>
          <w:sz w:val="16"/>
        </w:rPr>
        <w:t>55</w:t>
      </w:r>
    </w:p>
    <w:p w14:paraId="7F493B3B" w14:textId="77777777" w:rsidR="00700D41" w:rsidRPr="00C05CBA" w:rsidRDefault="00700D41" w:rsidP="00700D41">
      <w:pPr>
        <w:spacing w:after="40" w:line="276" w:lineRule="auto"/>
        <w:rPr>
          <w:rFonts w:cs="Calibri"/>
          <w:sz w:val="16"/>
        </w:rPr>
      </w:pPr>
      <w:r w:rsidRPr="00C05CBA">
        <w:rPr>
          <w:rFonts w:cs="Calibri"/>
          <w:sz w:val="16"/>
        </w:rPr>
        <w:t xml:space="preserve">Specifically, one of the main justifications for the patent system is the encouragement of innovationFootnote56 that serves as an engine for economic growth and development.Footnote57 The patent system pursues this aim by offering the patent owners a period of exclusive rights as a reward for their innovative efforts and an incentive to engage in further innovation.Footnote58 Therefore, </w:t>
      </w:r>
      <w:r w:rsidRPr="00C05CBA">
        <w:rPr>
          <w:rFonts w:cs="Calibri"/>
          <w:u w:val="single"/>
        </w:rPr>
        <w:t xml:space="preserve">intellectual property rules, and patents in particular, are seen as an </w:t>
      </w:r>
      <w:r w:rsidRPr="00C05CBA">
        <w:rPr>
          <w:rStyle w:val="Emphasis"/>
          <w:rFonts w:cs="Calibri"/>
        </w:rPr>
        <w:t>essential element of undistorted competition on the internal market</w:t>
      </w:r>
      <w:r w:rsidRPr="00C05CBA">
        <w:rPr>
          <w:rFonts w:cs="Calibri"/>
          <w:sz w:val="16"/>
        </w:rPr>
        <w:t>.Footnote59 These exclusive rights are considered to be a necessary incentive to invest in R&amp;D and innovation, particularly in such sectors as pharmaceuticals, where the R&amp;D costs are high, but the costs of copying the R&amp;D results are marginal.Footnote60 At the same time, the “innovation theory”, embodied in the EU competition law rules and policy, is designed to stimulate innovation by fostering competition on the markets.Footnote61 The competition law rules keep markets innovative by maintaining effective competition through preventing the foreclosure of markets and maintaining access to them.Footnote62 The rationale is that firms react to pressures of competition by continuously seeking to innovate.Footnote63 Therefore, patent and competition laws complement each other, as on the one hand, existing competition creates pressures on firms, forcing them to innovate, the so-called “stick”, while on the other hand, patent law provides a “carrot” in the form of the exclusive right, thus inducing innovators to innovate.Footnote64 These two bodies of laws are seen as “complementary efforts to promote an efficient marketplace and long-run, dynamic competition through innovation”.Footnote65 As the European Commission noted “both intellectual property rights and competition are necessary to promote innovation and ensure a competitive exploitation thereof”.Footnote66 These two bodies of laws, therefore, have the same fundamental goal of enhancing innovation for the benefit of consumer welfare.</w:t>
      </w:r>
    </w:p>
    <w:p w14:paraId="3772351B" w14:textId="77777777" w:rsidR="00700D41" w:rsidRPr="00C05CBA" w:rsidRDefault="00700D41" w:rsidP="00700D41">
      <w:pPr>
        <w:spacing w:after="40" w:line="276" w:lineRule="auto"/>
        <w:rPr>
          <w:rFonts w:cs="Calibri"/>
          <w:sz w:val="16"/>
        </w:rPr>
      </w:pPr>
      <w:r w:rsidRPr="00C05CBA">
        <w:rPr>
          <w:rFonts w:cs="Calibri"/>
          <w:sz w:val="16"/>
        </w:rPr>
        <w:t>Importantly, patent and competition laws are designed to stimulate not only innovation of “pioneer” innovators, but they are also aimed at facilitating follow-on innovation.Footnote67 Patent law contains provisions that require inventors to disclose information about their inventions, as well as providing exceptions such as experimental use and compulsory licensing, which allow third parties to access the inventions still under patent protection.Footnote68 Therefore, along with pioneer innovators, the rationale of incentives to innovate in patent law also applies to follow-on innovators, balancing the interests of these two types of inventors.Footnote69 Similarly, competition law aims at stimulating all types of innovation, including follow-on innovation.</w:t>
      </w:r>
    </w:p>
    <w:p w14:paraId="336C0B3A" w14:textId="77777777" w:rsidR="00700D41" w:rsidRPr="00C05CBA" w:rsidRDefault="00700D41" w:rsidP="00700D41">
      <w:pPr>
        <w:spacing w:after="40" w:line="276" w:lineRule="auto"/>
        <w:rPr>
          <w:rFonts w:cs="Calibri"/>
          <w:sz w:val="16"/>
        </w:rPr>
      </w:pPr>
      <w:r w:rsidRPr="00C05CBA">
        <w:rPr>
          <w:rFonts w:cs="Calibri"/>
          <w:sz w:val="16"/>
        </w:rPr>
        <w:t xml:space="preserve">On the other hand, </w:t>
      </w:r>
      <w:r w:rsidRPr="00C05CBA">
        <w:rPr>
          <w:rFonts w:cs="Calibri"/>
          <w:u w:val="single"/>
        </w:rPr>
        <w:t xml:space="preserve">EU competition law proscribes practices that </w:t>
      </w:r>
      <w:r w:rsidRPr="00C05CBA">
        <w:rPr>
          <w:rFonts w:cs="Calibri"/>
          <w:highlight w:val="green"/>
          <w:u w:val="single"/>
        </w:rPr>
        <w:t xml:space="preserve">reduce </w:t>
      </w:r>
      <w:r w:rsidRPr="00C05CBA">
        <w:rPr>
          <w:rStyle w:val="Emphasis"/>
          <w:rFonts w:cs="Calibri"/>
          <w:highlight w:val="green"/>
        </w:rPr>
        <w:t>incentives to innovate</w:t>
      </w:r>
      <w:r w:rsidRPr="00C05CBA">
        <w:rPr>
          <w:rStyle w:val="Emphasis"/>
          <w:rFonts w:cs="Calibri"/>
        </w:rPr>
        <w:t xml:space="preserve"> both for “pioneer” and follow-on innovators</w:t>
      </w:r>
      <w:r w:rsidRPr="00C05CBA">
        <w:rPr>
          <w:rFonts w:cs="Calibri"/>
          <w:sz w:val="16"/>
        </w:rPr>
        <w:t xml:space="preserve">. This is enshrined in Art. 102(b) TFEU, which prohibits abuses that consist of, inter alia, limiting technological development. For example, </w:t>
      </w:r>
      <w:r w:rsidRPr="00C05CBA">
        <w:rPr>
          <w:rFonts w:cs="Calibri"/>
          <w:u w:val="single"/>
        </w:rPr>
        <w:t xml:space="preserve">in AstraZeneca the General Court considered that the company’s practice of misusing the patent system had the potential of reducing its incentives to innovate and was </w:t>
      </w:r>
      <w:proofErr w:type="gramStart"/>
      <w:r w:rsidRPr="00C05CBA">
        <w:rPr>
          <w:rFonts w:cs="Calibri"/>
          <w:u w:val="single"/>
        </w:rPr>
        <w:t>anticompetitive</w:t>
      </w:r>
      <w:r w:rsidRPr="00C05CBA">
        <w:rPr>
          <w:rFonts w:cs="Calibri"/>
          <w:sz w:val="16"/>
        </w:rPr>
        <w:t>.Footnote</w:t>
      </w:r>
      <w:proofErr w:type="gramEnd"/>
      <w:r w:rsidRPr="00C05CBA">
        <w:rPr>
          <w:rFonts w:cs="Calibri"/>
          <w:sz w:val="16"/>
        </w:rPr>
        <w:t xml:space="preserve">70 In MagillFootnote71 and Microsoft,Footnote72 the courts found that the </w:t>
      </w:r>
      <w:r w:rsidRPr="00C05CBA">
        <w:rPr>
          <w:rFonts w:cs="Calibri"/>
          <w:highlight w:val="green"/>
          <w:u w:val="single"/>
        </w:rPr>
        <w:t>IP</w:t>
      </w:r>
      <w:r w:rsidRPr="00C05CBA">
        <w:rPr>
          <w:rFonts w:cs="Calibri"/>
          <w:u w:val="single"/>
        </w:rPr>
        <w:t xml:space="preserve"> rights </w:t>
      </w:r>
      <w:r w:rsidRPr="00C05CBA">
        <w:rPr>
          <w:rFonts w:cs="Calibri"/>
          <w:highlight w:val="green"/>
          <w:u w:val="single"/>
        </w:rPr>
        <w:t>owners</w:t>
      </w:r>
      <w:r w:rsidRPr="00C05CBA">
        <w:rPr>
          <w:rFonts w:cs="Calibri"/>
          <w:u w:val="single"/>
        </w:rPr>
        <w:t xml:space="preserve"> </w:t>
      </w:r>
      <w:r w:rsidRPr="00C05CBA">
        <w:rPr>
          <w:rStyle w:val="Emphasis"/>
          <w:rFonts w:cs="Calibri"/>
        </w:rPr>
        <w:t xml:space="preserve">abused their dominant positions by </w:t>
      </w:r>
      <w:r w:rsidRPr="00C05CBA">
        <w:rPr>
          <w:rStyle w:val="Emphasis"/>
          <w:rFonts w:cs="Calibri"/>
          <w:highlight w:val="green"/>
        </w:rPr>
        <w:t>blocking</w:t>
      </w:r>
      <w:r w:rsidRPr="00C05CBA">
        <w:rPr>
          <w:rStyle w:val="Emphasis"/>
          <w:rFonts w:cs="Calibri"/>
        </w:rPr>
        <w:t xml:space="preserve"> innovation of their potential </w:t>
      </w:r>
      <w:r w:rsidRPr="00C05CBA">
        <w:rPr>
          <w:rStyle w:val="Emphasis"/>
          <w:rFonts w:cs="Calibri"/>
          <w:highlight w:val="green"/>
        </w:rPr>
        <w:t>competitors</w:t>
      </w:r>
      <w:r w:rsidRPr="00C05CBA">
        <w:rPr>
          <w:rFonts w:cs="Calibri"/>
          <w:sz w:val="16"/>
        </w:rPr>
        <w:t xml:space="preserve">. More recently, several decisions by the European Commission also </w:t>
      </w:r>
      <w:proofErr w:type="spellStart"/>
      <w:r w:rsidRPr="00C05CBA">
        <w:rPr>
          <w:rFonts w:cs="Calibri"/>
          <w:sz w:val="16"/>
        </w:rPr>
        <w:t>emphasised</w:t>
      </w:r>
      <w:proofErr w:type="spellEnd"/>
      <w:r w:rsidRPr="00C05CBA">
        <w:rPr>
          <w:rFonts w:cs="Calibri"/>
          <w:sz w:val="16"/>
        </w:rPr>
        <w:t xml:space="preserve"> the importance of protecting innovation. In January 2018, the Commission fined QualcommFootnote73 €997 million for abusing its market dominance in LTEFootnote74 baseband chipsets.Footnote75 The Commission considered that the exclusivity payments that Qualcomm paid to Apple denied rivals the possibility to compete on the merits, and deprived European consumers of genuine choice and innovation.Footnote76 Furthermore, in July 2018, the Commission found in Google Android that Google abused its dominant position, and fined the company €4.34 billion for anticompetitive restrictions it had imposed on mobile device manufacturers and network operators to strengthen its dominant position in general internet search.Footnote77 The Commission considered that Google’s restrictive practices denied other companies the chance to compete on the merits and innovate.Footnote78 Finally, in 2017 the Commission issued its decision, in which it took the view that Amazon abused its dominant positions on the markets for the retail distribution of e-books by inserting the so-called “parity clauses” in the agreements with its e-book suppliers.Footnote79 It concluded that these clauses had the potential of reducing the incentives to innovate both by e-book suppliers and retailers.Footnote80</w:t>
      </w:r>
    </w:p>
    <w:p w14:paraId="52F76F4F" w14:textId="77777777" w:rsidR="00700D41" w:rsidRPr="00C05CBA" w:rsidRDefault="00700D41" w:rsidP="00700D41">
      <w:pPr>
        <w:spacing w:after="40" w:line="276" w:lineRule="auto"/>
        <w:rPr>
          <w:rFonts w:cs="Calibri"/>
          <w:sz w:val="16"/>
        </w:rPr>
      </w:pPr>
      <w:r w:rsidRPr="00C05CBA">
        <w:rPr>
          <w:rFonts w:cs="Calibri"/>
          <w:sz w:val="16"/>
        </w:rPr>
        <w:t xml:space="preserve">These decisions demonstrate that the European Commission </w:t>
      </w:r>
      <w:proofErr w:type="spellStart"/>
      <w:r w:rsidRPr="00C05CBA">
        <w:rPr>
          <w:rFonts w:cs="Calibri"/>
          <w:sz w:val="16"/>
        </w:rPr>
        <w:t>recognises</w:t>
      </w:r>
      <w:proofErr w:type="spellEnd"/>
      <w:r w:rsidRPr="00C05CBA">
        <w:rPr>
          <w:rFonts w:cs="Calibri"/>
          <w:sz w:val="16"/>
        </w:rPr>
        <w:t xml:space="preserve"> the fundamental importance of protecting innovation. They confirm that strategies that are capable of stifling innovation and reducing the incentives to innovate may constitute an abuse of dominance under Art. 102 TFEU. It is argued in this article that, along with the practices condemned by the Commission in the decisions discussed above, strategic patenting can also harm innovation by impairing incentives to innovate of both originators and generic companies, and therefore should raise competition law concerns.</w:t>
      </w:r>
    </w:p>
    <w:p w14:paraId="79760F39" w14:textId="77777777" w:rsidR="00700D41" w:rsidRPr="00C05CBA" w:rsidRDefault="00700D41" w:rsidP="00700D41">
      <w:pPr>
        <w:spacing w:after="40" w:line="276" w:lineRule="auto"/>
        <w:rPr>
          <w:rStyle w:val="Emphasis"/>
          <w:rFonts w:cs="Calibri"/>
        </w:rPr>
      </w:pPr>
      <w:r w:rsidRPr="00C05CBA">
        <w:rPr>
          <w:rFonts w:cs="Calibri"/>
          <w:u w:val="single"/>
        </w:rPr>
        <w:t xml:space="preserve">Strategic Patenting </w:t>
      </w:r>
      <w:r w:rsidRPr="00C05CBA">
        <w:rPr>
          <w:rStyle w:val="Emphasis"/>
          <w:rFonts w:cs="Calibri"/>
          <w:highlight w:val="green"/>
        </w:rPr>
        <w:t>Impairs</w:t>
      </w:r>
      <w:r w:rsidRPr="00C05CBA">
        <w:rPr>
          <w:rStyle w:val="Emphasis"/>
          <w:rFonts w:cs="Calibri"/>
        </w:rPr>
        <w:t xml:space="preserve"> Originators’ </w:t>
      </w:r>
      <w:r w:rsidRPr="00C05CBA">
        <w:rPr>
          <w:rStyle w:val="Emphasis"/>
          <w:rFonts w:cs="Calibri"/>
          <w:highlight w:val="green"/>
        </w:rPr>
        <w:t>Incentives to Innovate</w:t>
      </w:r>
    </w:p>
    <w:p w14:paraId="413302A1" w14:textId="77777777" w:rsidR="00700D41" w:rsidRPr="00C05CBA" w:rsidRDefault="00700D41" w:rsidP="00700D41">
      <w:pPr>
        <w:spacing w:after="40" w:line="276" w:lineRule="auto"/>
        <w:rPr>
          <w:rFonts w:cs="Calibri"/>
          <w:u w:val="single"/>
        </w:rPr>
      </w:pPr>
      <w:r w:rsidRPr="00C05CBA">
        <w:rPr>
          <w:rFonts w:cs="Calibri"/>
          <w:sz w:val="16"/>
        </w:rPr>
        <w:t xml:space="preserve">While originator companies typically argue that the competition law intervention into their patenting practices will reduce their incentives to </w:t>
      </w:r>
      <w:proofErr w:type="gramStart"/>
      <w:r w:rsidRPr="00C05CBA">
        <w:rPr>
          <w:rFonts w:cs="Calibri"/>
          <w:sz w:val="16"/>
        </w:rPr>
        <w:t>innovate,Footnote</w:t>
      </w:r>
      <w:proofErr w:type="gramEnd"/>
      <w:r w:rsidRPr="00C05CBA">
        <w:rPr>
          <w:rFonts w:cs="Calibri"/>
          <w:sz w:val="16"/>
        </w:rPr>
        <w:t xml:space="preserve">81 this article asserts that </w:t>
      </w:r>
      <w:r w:rsidRPr="00C05CBA">
        <w:rPr>
          <w:rFonts w:cs="Calibri"/>
          <w:u w:val="single"/>
        </w:rPr>
        <w:t>strategic patenting itself reduces originators’ incentives</w:t>
      </w:r>
      <w:r w:rsidRPr="00C05CBA">
        <w:rPr>
          <w:rFonts w:cs="Calibri"/>
          <w:sz w:val="16"/>
        </w:rPr>
        <w:t xml:space="preserve">. Thus, in a properly functioning system, </w:t>
      </w:r>
      <w:r w:rsidRPr="00C05CBA">
        <w:rPr>
          <w:rFonts w:cs="Calibri"/>
          <w:highlight w:val="green"/>
          <w:u w:val="single"/>
        </w:rPr>
        <w:t xml:space="preserve">when a </w:t>
      </w:r>
      <w:r w:rsidRPr="00C05CBA">
        <w:rPr>
          <w:rStyle w:val="Emphasis"/>
          <w:rFonts w:cs="Calibri"/>
          <w:highlight w:val="green"/>
        </w:rPr>
        <w:t>patent</w:t>
      </w:r>
      <w:r w:rsidRPr="00C05CBA">
        <w:rPr>
          <w:rStyle w:val="Emphasis"/>
          <w:rFonts w:cs="Calibri"/>
        </w:rPr>
        <w:t xml:space="preserve"> protecting a product is close to </w:t>
      </w:r>
      <w:r w:rsidRPr="00C05CBA">
        <w:rPr>
          <w:rStyle w:val="Emphasis"/>
          <w:rFonts w:cs="Calibri"/>
          <w:highlight w:val="green"/>
        </w:rPr>
        <w:t>expir</w:t>
      </w:r>
      <w:r w:rsidRPr="00C05CBA">
        <w:rPr>
          <w:rStyle w:val="Emphasis"/>
          <w:rFonts w:cs="Calibri"/>
        </w:rPr>
        <w:t xml:space="preserve">ation the </w:t>
      </w:r>
      <w:r w:rsidRPr="00C05CBA">
        <w:rPr>
          <w:rStyle w:val="Emphasis"/>
          <w:rFonts w:cs="Calibri"/>
          <w:highlight w:val="green"/>
        </w:rPr>
        <w:t>originator</w:t>
      </w:r>
      <w:r w:rsidRPr="00C05CBA">
        <w:rPr>
          <w:rFonts w:cs="Calibri"/>
          <w:u w:val="single"/>
        </w:rPr>
        <w:t xml:space="preserve"> would be </w:t>
      </w:r>
      <w:r w:rsidRPr="00C05CBA">
        <w:rPr>
          <w:rStyle w:val="Emphasis"/>
          <w:rFonts w:cs="Calibri"/>
          <w:highlight w:val="green"/>
        </w:rPr>
        <w:t>encouraged to innovate</w:t>
      </w:r>
      <w:r w:rsidRPr="00C05CBA">
        <w:rPr>
          <w:rFonts w:cs="Calibri"/>
          <w:u w:val="single"/>
        </w:rPr>
        <w:t xml:space="preserve"> further in order to introduce a new product on the market and maintain its competitive position. However, by engaging in </w:t>
      </w:r>
      <w:r w:rsidRPr="00C05CBA">
        <w:rPr>
          <w:rFonts w:cs="Calibri"/>
          <w:highlight w:val="green"/>
          <w:u w:val="single"/>
        </w:rPr>
        <w:t>strategic patenting</w:t>
      </w:r>
      <w:r w:rsidRPr="00C05CBA">
        <w:rPr>
          <w:rFonts w:cs="Calibri"/>
          <w:u w:val="single"/>
        </w:rPr>
        <w:t xml:space="preserve">, the originator’s incentive to innovate </w:t>
      </w:r>
      <w:r w:rsidRPr="00C05CBA">
        <w:rPr>
          <w:rFonts w:cs="Calibri"/>
          <w:highlight w:val="green"/>
          <w:u w:val="single"/>
        </w:rPr>
        <w:t xml:space="preserve">diminishes as it </w:t>
      </w:r>
      <w:r w:rsidRPr="00C05CBA">
        <w:rPr>
          <w:rStyle w:val="Emphasis"/>
          <w:rFonts w:cs="Calibri"/>
          <w:highlight w:val="green"/>
        </w:rPr>
        <w:t>enjoys</w:t>
      </w:r>
      <w:r w:rsidRPr="00C05CBA">
        <w:rPr>
          <w:rStyle w:val="Emphasis"/>
          <w:rFonts w:cs="Calibri"/>
        </w:rPr>
        <w:t xml:space="preserve"> its </w:t>
      </w:r>
      <w:r w:rsidRPr="00C05CBA">
        <w:rPr>
          <w:rStyle w:val="Emphasis"/>
          <w:rFonts w:cs="Calibri"/>
          <w:highlight w:val="green"/>
        </w:rPr>
        <w:t>monopoly position by</w:t>
      </w:r>
      <w:r w:rsidRPr="00C05CBA">
        <w:rPr>
          <w:rStyle w:val="Emphasis"/>
          <w:rFonts w:cs="Calibri"/>
        </w:rPr>
        <w:t xml:space="preserve"> merely </w:t>
      </w:r>
      <w:r w:rsidRPr="00C05CBA">
        <w:rPr>
          <w:rStyle w:val="Emphasis"/>
          <w:rFonts w:cs="Calibri"/>
          <w:highlight w:val="green"/>
        </w:rPr>
        <w:t>procuring</w:t>
      </w:r>
      <w:r w:rsidRPr="00C05CBA">
        <w:rPr>
          <w:rStyle w:val="Emphasis"/>
          <w:rFonts w:cs="Calibri"/>
        </w:rPr>
        <w:t xml:space="preserve"> numerous </w:t>
      </w:r>
      <w:r w:rsidRPr="00C05CBA">
        <w:rPr>
          <w:rStyle w:val="Emphasis"/>
          <w:rFonts w:cs="Calibri"/>
          <w:highlight w:val="green"/>
        </w:rPr>
        <w:t>secondary patents</w:t>
      </w:r>
      <w:r w:rsidRPr="00C05CBA">
        <w:rPr>
          <w:rFonts w:cs="Calibri"/>
          <w:u w:val="single"/>
        </w:rPr>
        <w:t xml:space="preserve"> that shield its current product</w:t>
      </w:r>
      <w:r w:rsidRPr="00C05CBA">
        <w:rPr>
          <w:rFonts w:cs="Calibri"/>
          <w:sz w:val="16"/>
        </w:rPr>
        <w:t xml:space="preserve"> from generic competition. Therefore, </w:t>
      </w:r>
      <w:r w:rsidRPr="00C05CBA">
        <w:rPr>
          <w:rFonts w:cs="Calibri"/>
          <w:u w:val="single"/>
        </w:rPr>
        <w:t>when companies engage in such strategic patenting, they are</w:t>
      </w:r>
      <w:r w:rsidRPr="00C05CBA">
        <w:rPr>
          <w:rFonts w:cs="Calibri"/>
          <w:sz w:val="16"/>
        </w:rPr>
        <w:t xml:space="preserve"> merely </w:t>
      </w:r>
      <w:r w:rsidRPr="00C05CBA">
        <w:rPr>
          <w:rFonts w:cs="Calibri"/>
          <w:highlight w:val="green"/>
          <w:u w:val="single"/>
        </w:rPr>
        <w:t>protecting</w:t>
      </w:r>
      <w:r w:rsidRPr="00C05CBA">
        <w:rPr>
          <w:rFonts w:cs="Calibri"/>
          <w:u w:val="single"/>
        </w:rPr>
        <w:t xml:space="preserve"> themselves </w:t>
      </w:r>
      <w:r w:rsidRPr="00C05CBA">
        <w:rPr>
          <w:rFonts w:cs="Calibri"/>
          <w:highlight w:val="green"/>
          <w:u w:val="single"/>
        </w:rPr>
        <w:t>from</w:t>
      </w:r>
      <w:r w:rsidRPr="00C05CBA">
        <w:rPr>
          <w:rFonts w:cs="Calibri"/>
          <w:u w:val="single"/>
        </w:rPr>
        <w:t xml:space="preserve"> the </w:t>
      </w:r>
      <w:r w:rsidRPr="00C05CBA">
        <w:rPr>
          <w:rStyle w:val="Emphasis"/>
          <w:rFonts w:cs="Calibri"/>
          <w:highlight w:val="green"/>
        </w:rPr>
        <w:t>competitive pressur</w:t>
      </w:r>
      <w:r w:rsidRPr="00C05CBA">
        <w:rPr>
          <w:rFonts w:cs="Calibri"/>
          <w:highlight w:val="green"/>
          <w:u w:val="single"/>
        </w:rPr>
        <w:t>es</w:t>
      </w:r>
      <w:r w:rsidRPr="00C05CBA">
        <w:rPr>
          <w:rFonts w:cs="Calibri"/>
          <w:u w:val="single"/>
        </w:rPr>
        <w:t xml:space="preserve"> that competition law aims to establish.</w:t>
      </w:r>
    </w:p>
    <w:p w14:paraId="5CF8BD51" w14:textId="77777777" w:rsidR="00700D41" w:rsidRPr="00C05CBA" w:rsidRDefault="00700D41" w:rsidP="00700D41">
      <w:pPr>
        <w:spacing w:after="40" w:line="276" w:lineRule="auto"/>
        <w:rPr>
          <w:rFonts w:cs="Calibri"/>
          <w:sz w:val="16"/>
        </w:rPr>
      </w:pPr>
      <w:r w:rsidRPr="00C05CBA">
        <w:rPr>
          <w:rFonts w:cs="Calibri"/>
          <w:sz w:val="16"/>
        </w:rPr>
        <w:t xml:space="preserve">Maintaining that this practice is lawful, originators argue that strong patent protection is essential for recouping their investments, as well as for </w:t>
      </w:r>
      <w:proofErr w:type="spellStart"/>
      <w:r w:rsidRPr="00C05CBA">
        <w:rPr>
          <w:rFonts w:cs="Calibri"/>
          <w:sz w:val="16"/>
        </w:rPr>
        <w:t>incentivising</w:t>
      </w:r>
      <w:proofErr w:type="spellEnd"/>
      <w:r w:rsidRPr="00C05CBA">
        <w:rPr>
          <w:rFonts w:cs="Calibri"/>
          <w:sz w:val="16"/>
        </w:rPr>
        <w:t xml:space="preserve"> them to engage in further </w:t>
      </w:r>
      <w:proofErr w:type="gramStart"/>
      <w:r w:rsidRPr="00C05CBA">
        <w:rPr>
          <w:rFonts w:cs="Calibri"/>
          <w:sz w:val="16"/>
        </w:rPr>
        <w:t>innovation.Footnote</w:t>
      </w:r>
      <w:proofErr w:type="gramEnd"/>
      <w:r w:rsidRPr="00C05CBA">
        <w:rPr>
          <w:rFonts w:cs="Calibri"/>
          <w:sz w:val="16"/>
        </w:rPr>
        <w:t>82 Such a position may find some support in the arguments put forward by Joseph Schumpeter and his followers, who claimed that since monopoly increases the reward of the innovator, monopolists are more prone to innovation.Footnote83 However, as Lowe noted:Footnote84</w:t>
      </w:r>
    </w:p>
    <w:p w14:paraId="4D83BCAB" w14:textId="77777777" w:rsidR="00700D41" w:rsidRPr="00C05CBA" w:rsidRDefault="00700D41" w:rsidP="00700D41">
      <w:pPr>
        <w:spacing w:after="40" w:line="276" w:lineRule="auto"/>
        <w:rPr>
          <w:rFonts w:cs="Calibri"/>
          <w:u w:val="single"/>
        </w:rPr>
      </w:pPr>
      <w:r w:rsidRPr="00C05CBA">
        <w:rPr>
          <w:rFonts w:cs="Calibri"/>
          <w:sz w:val="16"/>
        </w:rPr>
        <w:t xml:space="preserve">the empirical evidence of the past few decades has worked against Schumpeter and in favor of Kenneth Arrow, who contends that in favoring monopolies Schumpeter underestimated the incentives for innovation that competition can offer. </w:t>
      </w:r>
      <w:r w:rsidRPr="00C05CBA">
        <w:rPr>
          <w:rFonts w:cs="Calibri"/>
          <w:u w:val="single"/>
        </w:rPr>
        <w:t xml:space="preserve">Monopolists tend to want to keep their monopolies by </w:t>
      </w:r>
      <w:r w:rsidRPr="00C05CBA">
        <w:rPr>
          <w:rStyle w:val="Emphasis"/>
          <w:rFonts w:cs="Calibri"/>
        </w:rPr>
        <w:t>resorting to any measures that can keep new entrants</w:t>
      </w:r>
      <w:r w:rsidRPr="00C05CBA">
        <w:rPr>
          <w:rFonts w:cs="Calibri"/>
          <w:u w:val="single"/>
        </w:rPr>
        <w:t xml:space="preserve"> out. </w:t>
      </w:r>
      <w:r w:rsidRPr="00C05CBA">
        <w:rPr>
          <w:rFonts w:cs="Calibri"/>
          <w:highlight w:val="green"/>
          <w:u w:val="single"/>
        </w:rPr>
        <w:t xml:space="preserve">Firms </w:t>
      </w:r>
      <w:r w:rsidRPr="00C05CBA">
        <w:rPr>
          <w:rStyle w:val="Emphasis"/>
          <w:rFonts w:cs="Calibri"/>
          <w:highlight w:val="green"/>
        </w:rPr>
        <w:t>under</w:t>
      </w:r>
      <w:r w:rsidRPr="00C05CBA">
        <w:rPr>
          <w:rStyle w:val="Emphasis"/>
          <w:rFonts w:cs="Calibri"/>
        </w:rPr>
        <w:t xml:space="preserve"> competitive </w:t>
      </w:r>
      <w:r w:rsidRPr="00C05CBA">
        <w:rPr>
          <w:rStyle w:val="Emphasis"/>
          <w:rFonts w:cs="Calibri"/>
          <w:highlight w:val="green"/>
        </w:rPr>
        <w:t>pressure</w:t>
      </w:r>
      <w:r w:rsidRPr="00C05CBA">
        <w:rPr>
          <w:rStyle w:val="Emphasis"/>
          <w:rFonts w:cs="Calibri"/>
        </w:rPr>
        <w:t xml:space="preserve"> from actual or potential competition</w:t>
      </w:r>
      <w:r w:rsidRPr="00C05CBA">
        <w:rPr>
          <w:rFonts w:cs="Calibri"/>
          <w:sz w:val="16"/>
        </w:rPr>
        <w:t xml:space="preserve">, on the other hand, </w:t>
      </w:r>
      <w:r w:rsidRPr="00C05CBA">
        <w:rPr>
          <w:rFonts w:cs="Calibri"/>
          <w:highlight w:val="green"/>
          <w:u w:val="single"/>
        </w:rPr>
        <w:t xml:space="preserve">are </w:t>
      </w:r>
      <w:r w:rsidRPr="00C05CBA">
        <w:rPr>
          <w:rStyle w:val="Emphasis"/>
          <w:rFonts w:cs="Calibri"/>
          <w:highlight w:val="green"/>
        </w:rPr>
        <w:t>less complacent</w:t>
      </w:r>
      <w:r w:rsidRPr="00C05CBA">
        <w:rPr>
          <w:rFonts w:cs="Calibri"/>
          <w:u w:val="single"/>
        </w:rPr>
        <w:t xml:space="preserve"> and know that inventing a new product is their best strategy for maintaining and increasing their market share.</w:t>
      </w:r>
    </w:p>
    <w:p w14:paraId="51E9C9B5" w14:textId="77777777" w:rsidR="00700D41" w:rsidRPr="00C05CBA" w:rsidRDefault="00700D41" w:rsidP="00700D41">
      <w:pPr>
        <w:spacing w:after="40" w:line="276" w:lineRule="auto"/>
        <w:rPr>
          <w:rFonts w:cs="Calibri"/>
          <w:sz w:val="16"/>
        </w:rPr>
      </w:pPr>
      <w:r w:rsidRPr="00C05CBA">
        <w:rPr>
          <w:rFonts w:cs="Calibri"/>
          <w:sz w:val="16"/>
        </w:rPr>
        <w:t xml:space="preserve">In the same vein, the Commission </w:t>
      </w:r>
      <w:proofErr w:type="spellStart"/>
      <w:r w:rsidRPr="00C05CBA">
        <w:rPr>
          <w:rFonts w:cs="Calibri"/>
          <w:sz w:val="16"/>
        </w:rPr>
        <w:t>emphasises</w:t>
      </w:r>
      <w:proofErr w:type="spellEnd"/>
      <w:r w:rsidRPr="00C05CBA">
        <w:rPr>
          <w:rFonts w:cs="Calibri"/>
          <w:sz w:val="16"/>
        </w:rPr>
        <w:t xml:space="preserve"> the importance of competition for the incentives to innovate, stating that: “[r]</w:t>
      </w:r>
      <w:proofErr w:type="spellStart"/>
      <w:r w:rsidRPr="00C05CBA">
        <w:rPr>
          <w:rFonts w:cs="Calibri"/>
          <w:sz w:val="16"/>
        </w:rPr>
        <w:t>ivalry</w:t>
      </w:r>
      <w:proofErr w:type="spellEnd"/>
      <w:r w:rsidRPr="00C05CBA">
        <w:rPr>
          <w:rFonts w:cs="Calibri"/>
          <w:sz w:val="16"/>
        </w:rPr>
        <w:t xml:space="preserve"> between undertakings is an essential driver of economic efficiency, including dynamic efficiencies in the form of innovation. In its absence the dominant undertaking will lack adequate incentives to continue to create and pass on efficiency gains</w:t>
      </w:r>
      <w:proofErr w:type="gramStart"/>
      <w:r w:rsidRPr="00C05CBA">
        <w:rPr>
          <w:rFonts w:cs="Calibri"/>
          <w:sz w:val="16"/>
        </w:rPr>
        <w:t>.”Footnote</w:t>
      </w:r>
      <w:proofErr w:type="gramEnd"/>
      <w:r w:rsidRPr="00C05CBA">
        <w:rPr>
          <w:rFonts w:cs="Calibri"/>
          <w:sz w:val="16"/>
        </w:rPr>
        <w:t>85</w:t>
      </w:r>
    </w:p>
    <w:p w14:paraId="10EBF993" w14:textId="77777777" w:rsidR="00700D41" w:rsidRPr="00C05CBA" w:rsidRDefault="00700D41" w:rsidP="00700D41">
      <w:pPr>
        <w:spacing w:after="40" w:line="276" w:lineRule="auto"/>
        <w:rPr>
          <w:rFonts w:cs="Calibri"/>
          <w:sz w:val="16"/>
        </w:rPr>
      </w:pPr>
      <w:r w:rsidRPr="00C05CBA">
        <w:rPr>
          <w:rFonts w:cs="Calibri"/>
          <w:sz w:val="16"/>
        </w:rPr>
        <w:t xml:space="preserve">Evidence from the pharmaceutical industry confirms that strategic patenting reduces incentives to engage in genuine and meritorious innovation. In many cases, </w:t>
      </w:r>
      <w:r w:rsidRPr="00C05CBA">
        <w:rPr>
          <w:rFonts w:cs="Calibri"/>
          <w:u w:val="single"/>
        </w:rPr>
        <w:t>strategically accumulated secondary patents are of marginal quality and are typically the result of routine research activities</w:t>
      </w:r>
      <w:r w:rsidRPr="00C05CBA">
        <w:rPr>
          <w:rFonts w:cs="Calibri"/>
          <w:sz w:val="16"/>
        </w:rPr>
        <w:t xml:space="preserve">.Footnote86 For example, in Perindopril the </w:t>
      </w:r>
      <w:r w:rsidRPr="00C05CBA">
        <w:rPr>
          <w:rFonts w:cs="Calibri"/>
          <w:u w:val="single"/>
        </w:rPr>
        <w:t>European Commission revealed that most of the secondary patents, procured as part of the originator company’s anti-generic strategy, were seen by the company as “blocking” or “paper”, some of which it considered involved “</w:t>
      </w:r>
      <w:r w:rsidRPr="00C05CBA">
        <w:rPr>
          <w:rStyle w:val="Emphasis"/>
          <w:rFonts w:cs="Calibri"/>
        </w:rPr>
        <w:t>zero inventive step</w:t>
      </w:r>
      <w:r w:rsidRPr="00C05CBA">
        <w:rPr>
          <w:rFonts w:cs="Calibri"/>
          <w:u w:val="single"/>
        </w:rPr>
        <w:t>”</w:t>
      </w:r>
      <w:r w:rsidRPr="00C05CBA">
        <w:rPr>
          <w:rFonts w:cs="Calibri"/>
          <w:sz w:val="16"/>
        </w:rPr>
        <w:t>Footnote87 and a purely editorial task.Footnote88 Moreover, these follow-on pharmaceutical inventions are specifically timed around the expiration of the basic patent and can be developed on demand.Footnote89 In AstraZeneca the Commission noted that the company designed to “[f]</w:t>
      </w:r>
      <w:proofErr w:type="spellStart"/>
      <w:r w:rsidRPr="00C05CBA">
        <w:rPr>
          <w:rFonts w:cs="Calibri"/>
          <w:sz w:val="16"/>
        </w:rPr>
        <w:t>ile</w:t>
      </w:r>
      <w:proofErr w:type="spellEnd"/>
      <w:r w:rsidRPr="00C05CBA">
        <w:rPr>
          <w:rFonts w:cs="Calibri"/>
          <w:sz w:val="16"/>
        </w:rPr>
        <w:t xml:space="preserve"> a patent-cloud of mixtures, uses, formulations, new indications, and chemistry” in relation to its blockbuster product omeprazole to slow down generic entry at a specifically defined time, close to the expiration of the basic patent.Footnote90 The main aim of these patents is to increase uncertainty for generic companies as to the possibility of their market entry.Footnote91 Therefore, </w:t>
      </w:r>
      <w:r w:rsidRPr="00C05CBA">
        <w:rPr>
          <w:rFonts w:cs="Calibri"/>
          <w:u w:val="single"/>
        </w:rPr>
        <w:t>while many of these secondary patents may be trivial and potentially invalid, the originator pursues them to protect its current successful product from generic competition</w:t>
      </w:r>
      <w:r w:rsidRPr="00C05CBA">
        <w:rPr>
          <w:rFonts w:cs="Calibri"/>
          <w:sz w:val="16"/>
        </w:rPr>
        <w:t>.Footnote92</w:t>
      </w:r>
    </w:p>
    <w:p w14:paraId="47D2478E" w14:textId="77777777" w:rsidR="00700D41" w:rsidRPr="00C05CBA" w:rsidRDefault="00700D41" w:rsidP="00700D41">
      <w:pPr>
        <w:spacing w:after="40" w:line="276" w:lineRule="auto"/>
        <w:rPr>
          <w:rFonts w:cs="Calibri"/>
          <w:sz w:val="16"/>
        </w:rPr>
      </w:pPr>
      <w:r w:rsidRPr="00C05CBA">
        <w:rPr>
          <w:rFonts w:cs="Calibri"/>
          <w:sz w:val="16"/>
        </w:rPr>
        <w:t xml:space="preserve">Even if a company continues to engage in innovation in parallel to pursuing strategic patenting, it still </w:t>
      </w:r>
      <w:r w:rsidRPr="00C05CBA">
        <w:rPr>
          <w:rFonts w:cs="Calibri"/>
          <w:u w:val="single"/>
        </w:rPr>
        <w:t xml:space="preserve">protects itself from the </w:t>
      </w:r>
      <w:r w:rsidRPr="00C05CBA">
        <w:rPr>
          <w:rStyle w:val="Emphasis"/>
          <w:rFonts w:cs="Calibri"/>
        </w:rPr>
        <w:t>pressures of competition</w:t>
      </w:r>
      <w:r w:rsidRPr="00C05CBA">
        <w:rPr>
          <w:rFonts w:cs="Calibri"/>
          <w:u w:val="single"/>
        </w:rPr>
        <w:t xml:space="preserve">, which would have forced the company to innovate faster and would thus provide consumers with better products and/or access to </w:t>
      </w:r>
      <w:r w:rsidRPr="00C05CBA">
        <w:rPr>
          <w:rStyle w:val="Emphasis"/>
          <w:rFonts w:cs="Calibri"/>
        </w:rPr>
        <w:t>cheaper generic versions earlier</w:t>
      </w:r>
      <w:r w:rsidRPr="00C05CBA">
        <w:rPr>
          <w:rFonts w:cs="Calibri"/>
          <w:sz w:val="16"/>
        </w:rPr>
        <w:t xml:space="preserve">. As </w:t>
      </w:r>
      <w:proofErr w:type="spellStart"/>
      <w:r w:rsidRPr="00C05CBA">
        <w:rPr>
          <w:rFonts w:cs="Calibri"/>
          <w:sz w:val="16"/>
        </w:rPr>
        <w:t>Ullrich</w:t>
      </w:r>
      <w:proofErr w:type="spellEnd"/>
      <w:r w:rsidRPr="00C05CBA">
        <w:rPr>
          <w:rFonts w:cs="Calibri"/>
          <w:sz w:val="16"/>
        </w:rPr>
        <w:t xml:space="preserve"> </w:t>
      </w:r>
      <w:proofErr w:type="gramStart"/>
      <w:r w:rsidRPr="00C05CBA">
        <w:rPr>
          <w:rFonts w:cs="Calibri"/>
          <w:sz w:val="16"/>
        </w:rPr>
        <w:t>argues:Footnote</w:t>
      </w:r>
      <w:proofErr w:type="gramEnd"/>
      <w:r w:rsidRPr="00C05CBA">
        <w:rPr>
          <w:rFonts w:cs="Calibri"/>
          <w:sz w:val="16"/>
        </w:rPr>
        <w:t>93</w:t>
      </w:r>
    </w:p>
    <w:p w14:paraId="690FF38A" w14:textId="77777777" w:rsidR="00700D41" w:rsidRPr="00C05CBA" w:rsidRDefault="00700D41" w:rsidP="00700D41">
      <w:pPr>
        <w:spacing w:after="40" w:line="276" w:lineRule="auto"/>
        <w:rPr>
          <w:rFonts w:cs="Calibri"/>
          <w:sz w:val="16"/>
        </w:rPr>
      </w:pPr>
      <w:r w:rsidRPr="00C05CBA">
        <w:rPr>
          <w:rFonts w:cs="Calibri"/>
          <w:sz w:val="16"/>
        </w:rPr>
        <w:t>A slowdown in the transition of the new medicines from the protected status of a proprietary medicine to the status of generic products manufactured and distributed in open competition does not simply mean a loss of static efficiency, namely a loss of consumer well-being due to a slowdown in the reduction of process. Rather, such a slowdown also involves the risk of a loss of dynamic efficiency in that it extends the duration of a monopoly rent situation, thus reducing the pressure to innovate more quickly.</w:t>
      </w:r>
    </w:p>
    <w:p w14:paraId="23FEF6FC" w14:textId="77777777" w:rsidR="00700D41" w:rsidRPr="00C05CBA" w:rsidRDefault="00700D41" w:rsidP="00700D41">
      <w:pPr>
        <w:spacing w:after="40" w:line="276" w:lineRule="auto"/>
        <w:rPr>
          <w:rFonts w:cs="Calibri"/>
          <w:sz w:val="16"/>
        </w:rPr>
      </w:pPr>
      <w:r w:rsidRPr="00C05CBA">
        <w:rPr>
          <w:rFonts w:cs="Calibri"/>
          <w:sz w:val="16"/>
        </w:rPr>
        <w:t>Following the rationale of the General Court’s statement in AstraZeneca, the practice of the originator that extends its market monopoly by relying on the patent system “potentially reduces the incentive to engage in innovation, since it enables the company in a dominant position to maintain its exclusivity beyond the period envisaged by the legislator”.Footnote94 Such practices, according to the Court, act “contrary to the public interest”.Footnote95 Therefore, the practice of strategic patenting that protects originators’ monopolies from competitive pressures and significantly reduces their incentives to engage in genuine innovation is contrary to the rationale of the patent system, has a significant negative effect on competition and should raise competition law concerns.</w:t>
      </w:r>
    </w:p>
    <w:p w14:paraId="0755F313" w14:textId="77777777" w:rsidR="00700D41" w:rsidRPr="00C05CBA" w:rsidRDefault="00700D41" w:rsidP="00700D41">
      <w:pPr>
        <w:spacing w:after="40" w:line="276" w:lineRule="auto"/>
        <w:rPr>
          <w:rStyle w:val="Emphasis"/>
          <w:rFonts w:cs="Calibri"/>
        </w:rPr>
      </w:pPr>
      <w:r w:rsidRPr="00C05CBA">
        <w:rPr>
          <w:rStyle w:val="Emphasis"/>
          <w:rFonts w:cs="Calibri"/>
        </w:rPr>
        <w:t>Strategic Patenting</w:t>
      </w:r>
      <w:r w:rsidRPr="00C05CBA">
        <w:rPr>
          <w:rFonts w:cs="Calibri"/>
          <w:u w:val="single"/>
        </w:rPr>
        <w:t xml:space="preserve"> Impairs </w:t>
      </w:r>
      <w:r w:rsidRPr="00C05CBA">
        <w:rPr>
          <w:rStyle w:val="Emphasis"/>
          <w:rFonts w:cs="Calibri"/>
        </w:rPr>
        <w:t>Follow-on Innovation of Generic Companies</w:t>
      </w:r>
    </w:p>
    <w:p w14:paraId="075AC4FF" w14:textId="77777777" w:rsidR="00700D41" w:rsidRPr="00C05CBA" w:rsidRDefault="00700D41" w:rsidP="00700D41">
      <w:pPr>
        <w:spacing w:after="40" w:line="276" w:lineRule="auto"/>
        <w:rPr>
          <w:rFonts w:cs="Calibri"/>
          <w:sz w:val="16"/>
        </w:rPr>
      </w:pPr>
      <w:r w:rsidRPr="00C05CBA">
        <w:rPr>
          <w:rFonts w:cs="Calibri"/>
          <w:sz w:val="16"/>
        </w:rPr>
        <w:t xml:space="preserve">Strategic patenting also has a </w:t>
      </w:r>
      <w:r w:rsidRPr="00C05CBA">
        <w:rPr>
          <w:rStyle w:val="Emphasis"/>
          <w:rFonts w:cs="Calibri"/>
          <w:highlight w:val="green"/>
        </w:rPr>
        <w:t>chilling effect</w:t>
      </w:r>
      <w:r w:rsidRPr="00C05CBA">
        <w:rPr>
          <w:rStyle w:val="Emphasis"/>
          <w:rFonts w:cs="Calibri"/>
        </w:rPr>
        <w:t xml:space="preserve"> on follow-on innovation</w:t>
      </w:r>
      <w:r w:rsidRPr="00C05CBA">
        <w:rPr>
          <w:rFonts w:cs="Calibri"/>
          <w:u w:val="single"/>
        </w:rPr>
        <w:t xml:space="preserve"> by generic competitors in the form of </w:t>
      </w:r>
      <w:r w:rsidRPr="00C05CBA">
        <w:rPr>
          <w:rStyle w:val="Emphasis"/>
          <w:rFonts w:cs="Calibri"/>
        </w:rPr>
        <w:t>developing alternative versions of an off-patent compound</w:t>
      </w:r>
      <w:r w:rsidRPr="00C05CBA">
        <w:rPr>
          <w:rFonts w:cs="Calibri"/>
          <w:sz w:val="16"/>
        </w:rPr>
        <w:t xml:space="preserve">. As was discussed earlier, </w:t>
      </w:r>
      <w:r w:rsidRPr="00C05CBA">
        <w:rPr>
          <w:rFonts w:cs="Calibri"/>
          <w:u w:val="single"/>
        </w:rPr>
        <w:t>the expiry of a basic patent that protects an active compound facilitates generic competition</w:t>
      </w:r>
      <w:r w:rsidRPr="00C05CBA">
        <w:rPr>
          <w:rFonts w:cs="Calibri"/>
          <w:sz w:val="16"/>
        </w:rPr>
        <w:t xml:space="preserve">. This is because </w:t>
      </w:r>
      <w:r w:rsidRPr="00C05CBA">
        <w:rPr>
          <w:rFonts w:cs="Calibri"/>
          <w:u w:val="single"/>
        </w:rPr>
        <w:t>even if the product is still protected by process, specific form or formulation patents, generic companies may develop alternative ways of producing or formulating the product and start competing with the originator</w:t>
      </w:r>
      <w:r w:rsidRPr="00C05CBA">
        <w:rPr>
          <w:rFonts w:cs="Calibri"/>
          <w:sz w:val="16"/>
        </w:rPr>
        <w:t xml:space="preserve">. In the absence of </w:t>
      </w:r>
      <w:r w:rsidRPr="00C05CBA">
        <w:rPr>
          <w:rStyle w:val="Emphasis"/>
          <w:rFonts w:cs="Calibri"/>
        </w:rPr>
        <w:t>strategically accumulated patents by the originator</w:t>
      </w:r>
      <w:r w:rsidRPr="00C05CBA">
        <w:rPr>
          <w:rFonts w:cs="Calibri"/>
          <w:u w:val="single"/>
        </w:rPr>
        <w:t>, generic companies are typically open to innovating to launch alternative generic products</w:t>
      </w:r>
      <w:r w:rsidRPr="00C05CBA">
        <w:rPr>
          <w:rFonts w:cs="Calibri"/>
          <w:sz w:val="16"/>
        </w:rPr>
        <w:t xml:space="preserve"> as soon as the basic patent expires. However, by pursuing strategic patenting, </w:t>
      </w:r>
      <w:r w:rsidRPr="00C05CBA">
        <w:rPr>
          <w:rFonts w:cs="Calibri"/>
          <w:u w:val="single"/>
        </w:rPr>
        <w:t xml:space="preserve">originators may </w:t>
      </w:r>
      <w:r w:rsidRPr="00C05CBA">
        <w:rPr>
          <w:rStyle w:val="Emphasis"/>
          <w:rFonts w:cs="Calibri"/>
          <w:highlight w:val="green"/>
        </w:rPr>
        <w:t>discourage generics</w:t>
      </w:r>
      <w:r w:rsidRPr="00C05CBA">
        <w:rPr>
          <w:rStyle w:val="Emphasis"/>
          <w:rFonts w:cs="Calibri"/>
        </w:rPr>
        <w:t xml:space="preserve"> from engaging in </w:t>
      </w:r>
      <w:r w:rsidRPr="00C05CBA">
        <w:rPr>
          <w:rStyle w:val="Emphasis"/>
          <w:rFonts w:cs="Calibri"/>
          <w:highlight w:val="green"/>
        </w:rPr>
        <w:t>follow-on innovation</w:t>
      </w:r>
      <w:r w:rsidRPr="00C05CBA">
        <w:rPr>
          <w:rStyle w:val="Emphasis"/>
          <w:rFonts w:cs="Calibri"/>
        </w:rPr>
        <w:t xml:space="preserve"> because of the uncertainty about the patent protection and a fear of infringing on one of the numerous </w:t>
      </w:r>
      <w:proofErr w:type="gramStart"/>
      <w:r w:rsidRPr="00C05CBA">
        <w:rPr>
          <w:rStyle w:val="Emphasis"/>
          <w:rFonts w:cs="Calibri"/>
        </w:rPr>
        <w:t>patents</w:t>
      </w:r>
      <w:r w:rsidRPr="00C05CBA">
        <w:rPr>
          <w:rFonts w:cs="Calibri"/>
          <w:sz w:val="16"/>
        </w:rPr>
        <w:t>.Footnote</w:t>
      </w:r>
      <w:proofErr w:type="gramEnd"/>
      <w:r w:rsidRPr="00C05CBA">
        <w:rPr>
          <w:rFonts w:cs="Calibri"/>
          <w:sz w:val="16"/>
        </w:rPr>
        <w:t>96 In its Sector Inquiry Report, the Commission cited the following quote from one of the originators:</w:t>
      </w:r>
    </w:p>
    <w:p w14:paraId="40441ABE" w14:textId="77777777" w:rsidR="00700D41" w:rsidRPr="00C05CBA" w:rsidRDefault="00700D41" w:rsidP="00700D41">
      <w:pPr>
        <w:spacing w:after="40" w:line="276" w:lineRule="auto"/>
        <w:rPr>
          <w:rFonts w:cs="Calibri"/>
          <w:sz w:val="16"/>
        </w:rPr>
      </w:pPr>
      <w:r w:rsidRPr="00C05CBA">
        <w:rPr>
          <w:rFonts w:cs="Calibri"/>
          <w:sz w:val="16"/>
        </w:rPr>
        <w:t xml:space="preserve">The entire point of the patenting strategy adopted by many originators is to remove legal certainty. The strategy is to file as many patents as possible on all areas of the drug and create a “minefield” for the generics to navigate. All generics know that very few patents in that larger group will be valid and infringed by the product they propose to make, but it is impossible to be certain prior to launch that your product will not infringe and you will not be the subject of an interim </w:t>
      </w:r>
      <w:proofErr w:type="gramStart"/>
      <w:r w:rsidRPr="00C05CBA">
        <w:rPr>
          <w:rFonts w:cs="Calibri"/>
          <w:sz w:val="16"/>
        </w:rPr>
        <w:t>injunction.Footnote</w:t>
      </w:r>
      <w:proofErr w:type="gramEnd"/>
      <w:r w:rsidRPr="00C05CBA">
        <w:rPr>
          <w:rFonts w:cs="Calibri"/>
          <w:sz w:val="16"/>
        </w:rPr>
        <w:t>97</w:t>
      </w:r>
    </w:p>
    <w:p w14:paraId="0FC2B608" w14:textId="77777777" w:rsidR="00700D41" w:rsidRPr="00C05CBA" w:rsidRDefault="00700D41" w:rsidP="00700D41">
      <w:pPr>
        <w:spacing w:after="40" w:line="276" w:lineRule="auto"/>
        <w:rPr>
          <w:rFonts w:cs="Calibri"/>
          <w:sz w:val="16"/>
        </w:rPr>
      </w:pPr>
      <w:r w:rsidRPr="00C05CBA">
        <w:rPr>
          <w:rFonts w:cs="Calibri"/>
          <w:sz w:val="16"/>
        </w:rPr>
        <w:t xml:space="preserve">Therefore, as a result of creating an impenetrable ring of patent protection by the </w:t>
      </w:r>
      <w:proofErr w:type="gramStart"/>
      <w:r w:rsidRPr="00C05CBA">
        <w:rPr>
          <w:rFonts w:cs="Calibri"/>
          <w:sz w:val="16"/>
        </w:rPr>
        <w:t>originator,Footnote</w:t>
      </w:r>
      <w:proofErr w:type="gramEnd"/>
      <w:r w:rsidRPr="00C05CBA">
        <w:rPr>
          <w:rFonts w:cs="Calibri"/>
          <w:sz w:val="16"/>
        </w:rPr>
        <w:t xml:space="preserve">98 generic competitors may be prevented from developing alternative generic versions of an off-patent compound. One of the examples revealed by the Commission during its Pharmaceutical Sector Inquiry was the filing by an originator company of “more than 30 patent families translating into several hundreds of patents in the Member States in relation to one product”, many of which were filed after the introduction of the </w:t>
      </w:r>
      <w:proofErr w:type="gramStart"/>
      <w:r w:rsidRPr="00C05CBA">
        <w:rPr>
          <w:rFonts w:cs="Calibri"/>
          <w:sz w:val="16"/>
        </w:rPr>
        <w:t>product.Footnote</w:t>
      </w:r>
      <w:proofErr w:type="gramEnd"/>
      <w:r w:rsidRPr="00C05CBA">
        <w:rPr>
          <w:rFonts w:cs="Calibri"/>
          <w:sz w:val="16"/>
        </w:rPr>
        <w:t>99 This affected the intentions of several generic companies that planned to develop and bring their generic versions of the original product to the market.Footnote100</w:t>
      </w:r>
    </w:p>
    <w:p w14:paraId="3BCDFD90" w14:textId="77777777" w:rsidR="00700D41" w:rsidRPr="00C05CBA" w:rsidRDefault="00700D41" w:rsidP="00700D41">
      <w:pPr>
        <w:spacing w:after="40" w:line="276" w:lineRule="auto"/>
        <w:rPr>
          <w:rFonts w:cs="Calibri"/>
          <w:sz w:val="16"/>
        </w:rPr>
      </w:pPr>
      <w:r w:rsidRPr="00C05CBA">
        <w:rPr>
          <w:rFonts w:cs="Calibri"/>
          <w:sz w:val="16"/>
        </w:rPr>
        <w:t xml:space="preserve">As a result, in addition to the already high barriers to entry into the pharmaceutical market due to patents that protect an existing product and the need to obtain a marketing </w:t>
      </w:r>
      <w:proofErr w:type="spellStart"/>
      <w:r w:rsidRPr="00C05CBA">
        <w:rPr>
          <w:rFonts w:cs="Calibri"/>
          <w:sz w:val="16"/>
        </w:rPr>
        <w:t>authorisation</w:t>
      </w:r>
      <w:proofErr w:type="spellEnd"/>
      <w:r w:rsidRPr="00C05CBA">
        <w:rPr>
          <w:rFonts w:cs="Calibri"/>
          <w:sz w:val="16"/>
        </w:rPr>
        <w:t>, strategic patenting raises these entry barriers further, making it very difficult for generic companies to overcome them. This strategy, therefore, “may without further enforcement action by originator companies, … delay generic entry until the patent situation is clearer or even discourage more risk-sensitive generic companies from entering altogether</w:t>
      </w:r>
      <w:proofErr w:type="gramStart"/>
      <w:r w:rsidRPr="00C05CBA">
        <w:rPr>
          <w:rFonts w:cs="Calibri"/>
          <w:sz w:val="16"/>
        </w:rPr>
        <w:t>”.Footnote</w:t>
      </w:r>
      <w:proofErr w:type="gramEnd"/>
      <w:r w:rsidRPr="00C05CBA">
        <w:rPr>
          <w:rFonts w:cs="Calibri"/>
          <w:sz w:val="16"/>
        </w:rPr>
        <w:t xml:space="preserve">101 Consequently, the fact that actual or potential competitors of originators would not be able to develop alternative generic products means that no one could enter the market and challenge originators’ monopoly positions. This results in a weakening of competition in the relevant market and a strengthening of the originator’s already dominant position. As </w:t>
      </w:r>
      <w:proofErr w:type="spellStart"/>
      <w:r w:rsidRPr="00C05CBA">
        <w:rPr>
          <w:rFonts w:cs="Calibri"/>
          <w:sz w:val="16"/>
        </w:rPr>
        <w:t>Maggiolino</w:t>
      </w:r>
      <w:proofErr w:type="spellEnd"/>
      <w:r w:rsidRPr="00C05CBA">
        <w:rPr>
          <w:rFonts w:cs="Calibri"/>
          <w:sz w:val="16"/>
        </w:rPr>
        <w:t xml:space="preserve"> put it, “patent accumulation … may work as a pre-emptive entry-deterrence strategy to protect monopoly power and … lower consumer welfare by allowing dominant firms to keep on charging over-competitive prices”.Footnote102 Therefore, when an array of accumulated secondary patents “blocks monopolists’ rivals from producing follow-on innovations, this strategy prevents the whole society from enjoying … these further innovations”.Footnote103 While practices that facilitate innovation are encouraged by competition law, practices that are aimed at blocking follow-on innovation by competitors should raise competition law concerns.</w:t>
      </w:r>
    </w:p>
    <w:p w14:paraId="6885610A" w14:textId="77777777" w:rsidR="00700D41" w:rsidRPr="00C05CBA" w:rsidRDefault="00700D41" w:rsidP="00700D41">
      <w:pPr>
        <w:spacing w:after="40" w:line="276" w:lineRule="auto"/>
        <w:rPr>
          <w:rFonts w:cs="Calibri"/>
        </w:rPr>
      </w:pPr>
    </w:p>
    <w:p w14:paraId="5FE8B3C4" w14:textId="77777777" w:rsidR="00700D41" w:rsidRPr="00C05CBA" w:rsidRDefault="00700D41" w:rsidP="00700D41">
      <w:pPr>
        <w:pStyle w:val="Heading4"/>
        <w:spacing w:before="0" w:after="40" w:line="276" w:lineRule="auto"/>
        <w:rPr>
          <w:rFonts w:cs="Calibri"/>
        </w:rPr>
      </w:pPr>
      <w:r w:rsidRPr="00C05CBA">
        <w:rPr>
          <w:rFonts w:cs="Calibri"/>
        </w:rPr>
        <w:t xml:space="preserve">Corona escalates </w:t>
      </w:r>
      <w:r w:rsidRPr="00C05CBA">
        <w:rPr>
          <w:rFonts w:cs="Calibri"/>
          <w:u w:val="single"/>
        </w:rPr>
        <w:t>security threats</w:t>
      </w:r>
      <w:r w:rsidRPr="00C05CBA">
        <w:rPr>
          <w:rFonts w:cs="Calibri"/>
        </w:rPr>
        <w:t xml:space="preserve"> that cause </w:t>
      </w:r>
      <w:r w:rsidRPr="00C05CBA">
        <w:rPr>
          <w:rFonts w:cs="Calibri"/>
          <w:u w:val="single"/>
        </w:rPr>
        <w:t>extinction</w:t>
      </w:r>
      <w:r w:rsidRPr="00C05CBA">
        <w:rPr>
          <w:rFonts w:cs="Calibri"/>
        </w:rPr>
        <w:t xml:space="preserve"> – cooperation thesis is </w:t>
      </w:r>
      <w:r w:rsidRPr="00C05CBA">
        <w:rPr>
          <w:rFonts w:cs="Calibri"/>
          <w:u w:val="single"/>
        </w:rPr>
        <w:t>wrong</w:t>
      </w:r>
      <w:r w:rsidRPr="00C05CBA">
        <w:rPr>
          <w:rFonts w:cs="Calibri"/>
        </w:rPr>
        <w:t>.</w:t>
      </w:r>
    </w:p>
    <w:p w14:paraId="7D455F0F" w14:textId="77777777" w:rsidR="00700D41" w:rsidRPr="00C05CBA" w:rsidRDefault="00700D41" w:rsidP="00700D41">
      <w:pPr>
        <w:spacing w:after="40" w:line="276" w:lineRule="auto"/>
        <w:rPr>
          <w:rFonts w:cs="Calibri"/>
        </w:rPr>
      </w:pPr>
      <w:proofErr w:type="spellStart"/>
      <w:r w:rsidRPr="00C05CBA">
        <w:rPr>
          <w:rStyle w:val="Style13ptBold"/>
          <w:rFonts w:cs="Calibri"/>
        </w:rPr>
        <w:t>Recna</w:t>
      </w:r>
      <w:proofErr w:type="spellEnd"/>
      <w:r w:rsidRPr="00C05CBA">
        <w:rPr>
          <w:rStyle w:val="Style13ptBold"/>
          <w:rFonts w:cs="Calibri"/>
        </w:rPr>
        <w:t xml:space="preserve"> 21</w:t>
      </w:r>
      <w:r w:rsidRPr="00C05CBA">
        <w:rPr>
          <w:rFonts w:cs="Calibri"/>
        </w:rPr>
        <w:t xml:space="preserve"> [Research Center for Nuclear Weapon Abolition; Nagasaki, Japan; “Pandemic Futures and Nuclear Weapon Risks: The Nagasaki 75th Anniversary pandemic-nuclear nexus scenarios final report,” Journal for Peace and Nuclear Disarmament; 5/28/21; </w:t>
      </w:r>
      <w:hyperlink r:id="rId25" w:history="1">
        <w:r w:rsidRPr="00C05CBA">
          <w:rPr>
            <w:rStyle w:val="Hyperlink"/>
            <w:rFonts w:cs="Calibri"/>
          </w:rPr>
          <w:t>https://www.tandfonline.com/doi/full/10.1080/25751654.2021.1890867</w:t>
        </w:r>
      </w:hyperlink>
      <w:r w:rsidRPr="00C05CBA">
        <w:rPr>
          <w:rFonts w:cs="Calibri"/>
        </w:rPr>
        <w:t>] Justin</w:t>
      </w:r>
    </w:p>
    <w:p w14:paraId="695CC220" w14:textId="77777777" w:rsidR="00700D41" w:rsidRPr="00C05CBA" w:rsidRDefault="00700D41" w:rsidP="00700D41">
      <w:pPr>
        <w:spacing w:after="40" w:line="276" w:lineRule="auto"/>
        <w:rPr>
          <w:rStyle w:val="Emphasis"/>
          <w:rFonts w:cs="Calibri"/>
        </w:rPr>
      </w:pPr>
      <w:r w:rsidRPr="00C05CBA">
        <w:rPr>
          <w:rFonts w:cs="Calibri"/>
          <w:sz w:val="16"/>
        </w:rPr>
        <w:t xml:space="preserve">The Challenge: </w:t>
      </w:r>
      <w:r w:rsidRPr="00C05CBA">
        <w:rPr>
          <w:rStyle w:val="Emphasis"/>
          <w:rFonts w:cs="Calibri"/>
        </w:rPr>
        <w:t xml:space="preserve">Multiple </w:t>
      </w:r>
      <w:r w:rsidRPr="00C05CBA">
        <w:rPr>
          <w:rStyle w:val="Emphasis"/>
          <w:rFonts w:cs="Calibri"/>
          <w:highlight w:val="green"/>
        </w:rPr>
        <w:t>Existential Threats</w:t>
      </w:r>
    </w:p>
    <w:p w14:paraId="2690333F" w14:textId="77777777" w:rsidR="00700D41" w:rsidRPr="00C05CBA" w:rsidRDefault="00700D41" w:rsidP="00700D41">
      <w:pPr>
        <w:spacing w:after="40" w:line="276" w:lineRule="auto"/>
        <w:rPr>
          <w:rFonts w:cs="Calibri"/>
          <w:sz w:val="16"/>
        </w:rPr>
      </w:pPr>
      <w:r w:rsidRPr="00C05CBA">
        <w:rPr>
          <w:rFonts w:cs="Calibri"/>
          <w:sz w:val="16"/>
        </w:rPr>
        <w:t xml:space="preserve">The relationship between pandemics and war is as long as human history. Past </w:t>
      </w:r>
      <w:r w:rsidRPr="00C05CBA">
        <w:rPr>
          <w:rFonts w:cs="Calibri"/>
          <w:highlight w:val="green"/>
          <w:u w:val="single"/>
        </w:rPr>
        <w:t>pandemics</w:t>
      </w:r>
      <w:r w:rsidRPr="00C05CBA">
        <w:rPr>
          <w:rFonts w:cs="Calibri"/>
          <w:u w:val="single"/>
        </w:rPr>
        <w:t xml:space="preserve"> have </w:t>
      </w:r>
      <w:r w:rsidRPr="00C05CBA">
        <w:rPr>
          <w:rStyle w:val="Emphasis"/>
          <w:rFonts w:cs="Calibri"/>
        </w:rPr>
        <w:t>set the scene for wars</w:t>
      </w:r>
      <w:r w:rsidRPr="00C05CBA">
        <w:rPr>
          <w:rFonts w:cs="Calibri"/>
          <w:u w:val="single"/>
        </w:rPr>
        <w:t xml:space="preserve"> by </w:t>
      </w:r>
      <w:r w:rsidRPr="00C05CBA">
        <w:rPr>
          <w:rStyle w:val="Emphasis"/>
          <w:rFonts w:cs="Calibri"/>
          <w:highlight w:val="green"/>
        </w:rPr>
        <w:t>weaken</w:t>
      </w:r>
      <w:r w:rsidRPr="00C05CBA">
        <w:rPr>
          <w:rStyle w:val="Emphasis"/>
          <w:rFonts w:cs="Calibri"/>
        </w:rPr>
        <w:t xml:space="preserve">ing </w:t>
      </w:r>
      <w:r w:rsidRPr="00C05CBA">
        <w:rPr>
          <w:rStyle w:val="Emphasis"/>
          <w:rFonts w:cs="Calibri"/>
          <w:highlight w:val="green"/>
        </w:rPr>
        <w:t>societies</w:t>
      </w:r>
      <w:r w:rsidRPr="00C05CBA">
        <w:rPr>
          <w:rFonts w:cs="Calibri"/>
          <w:u w:val="single"/>
        </w:rPr>
        <w:t xml:space="preserve">, undermining </w:t>
      </w:r>
      <w:r w:rsidRPr="00C05CBA">
        <w:rPr>
          <w:rStyle w:val="Emphasis"/>
          <w:rFonts w:cs="Calibri"/>
        </w:rPr>
        <w:t>resilience</w:t>
      </w:r>
      <w:r w:rsidRPr="00C05CBA">
        <w:rPr>
          <w:rFonts w:cs="Calibri"/>
          <w:u w:val="single"/>
        </w:rPr>
        <w:t xml:space="preserve">, and </w:t>
      </w:r>
      <w:r w:rsidRPr="00C05CBA">
        <w:rPr>
          <w:rStyle w:val="Emphasis"/>
          <w:rFonts w:cs="Calibri"/>
          <w:highlight w:val="green"/>
        </w:rPr>
        <w:t>exacerbating</w:t>
      </w:r>
      <w:r w:rsidRPr="00C05CBA">
        <w:rPr>
          <w:rStyle w:val="Emphasis"/>
          <w:rFonts w:cs="Calibri"/>
        </w:rPr>
        <w:t xml:space="preserve"> civil and inter-state </w:t>
      </w:r>
      <w:r w:rsidRPr="00C05CBA">
        <w:rPr>
          <w:rStyle w:val="Emphasis"/>
          <w:rFonts w:cs="Calibri"/>
          <w:highlight w:val="green"/>
        </w:rPr>
        <w:t>conflict</w:t>
      </w:r>
      <w:r w:rsidRPr="00C05CBA">
        <w:rPr>
          <w:rFonts w:cs="Calibri"/>
          <w:u w:val="single"/>
        </w:rPr>
        <w:t>.</w:t>
      </w:r>
      <w:r w:rsidRPr="00C05CBA">
        <w:rPr>
          <w:rFonts w:cs="Calibri"/>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w:t>
      </w:r>
    </w:p>
    <w:p w14:paraId="050AC7C4" w14:textId="77777777" w:rsidR="00700D41" w:rsidRPr="00C05CBA" w:rsidRDefault="00700D41" w:rsidP="00700D41">
      <w:pPr>
        <w:spacing w:after="40" w:line="276" w:lineRule="auto"/>
        <w:rPr>
          <w:rStyle w:val="Emphasis"/>
          <w:rFonts w:cs="Calibri"/>
        </w:rPr>
      </w:pPr>
      <w:r w:rsidRPr="00C05CBA">
        <w:rPr>
          <w:rFonts w:cs="Calibri"/>
          <w:u w:val="single"/>
        </w:rPr>
        <w:t xml:space="preserve">The COVID-19 is the most </w:t>
      </w:r>
      <w:r w:rsidRPr="00C05CBA">
        <w:rPr>
          <w:rStyle w:val="Emphasis"/>
          <w:rFonts w:cs="Calibri"/>
        </w:rPr>
        <w:t>demonic pandemic threat in modern history</w:t>
      </w:r>
      <w:r w:rsidRPr="00C05CBA">
        <w:rPr>
          <w:rFonts w:cs="Calibri"/>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C05CBA">
        <w:rPr>
          <w:rStyle w:val="Emphasis"/>
          <w:rFonts w:cs="Calibri"/>
        </w:rPr>
        <w:t>increase or decrease the risks associated with these twin threats, climate change effects, and the next use of nuclear weapons in war.5</w:t>
      </w:r>
    </w:p>
    <w:p w14:paraId="099E4F72" w14:textId="77777777" w:rsidR="00700D41" w:rsidRPr="00C05CBA" w:rsidRDefault="00700D41" w:rsidP="00700D41">
      <w:pPr>
        <w:spacing w:after="40" w:line="276" w:lineRule="auto"/>
        <w:rPr>
          <w:rStyle w:val="Emphasis"/>
          <w:rFonts w:cs="Calibri"/>
        </w:rPr>
      </w:pPr>
      <w:r w:rsidRPr="00C05CBA">
        <w:rPr>
          <w:rFonts w:cs="Calibri"/>
          <w:sz w:val="16"/>
        </w:rPr>
        <w:t xml:space="preserve">Today, the nine </w:t>
      </w:r>
      <w:r w:rsidRPr="00C05CBA">
        <w:rPr>
          <w:rStyle w:val="Emphasis"/>
          <w:rFonts w:cs="Calibri"/>
          <w:highlight w:val="green"/>
        </w:rPr>
        <w:t>nuclear weapons</w:t>
      </w:r>
      <w:r w:rsidRPr="00C05CBA">
        <w:rPr>
          <w:rStyle w:val="Emphasis"/>
          <w:rFonts w:cs="Calibri"/>
        </w:rPr>
        <w:t xml:space="preserve"> arsenals</w:t>
      </w:r>
      <w:r w:rsidRPr="00C05CBA">
        <w:rPr>
          <w:rFonts w:cs="Calibri"/>
          <w:u w:val="single"/>
        </w:rPr>
        <w:t xml:space="preserve"> not only can </w:t>
      </w:r>
      <w:r w:rsidRPr="00C05CBA">
        <w:rPr>
          <w:rStyle w:val="Heading3Char"/>
          <w:rFonts w:cs="Calibri"/>
          <w:sz w:val="22"/>
          <w:highlight w:val="green"/>
        </w:rPr>
        <w:t>annihilate</w:t>
      </w:r>
      <w:r w:rsidRPr="00C05CBA">
        <w:rPr>
          <w:rStyle w:val="Heading3Char"/>
          <w:rFonts w:cs="Calibri"/>
          <w:sz w:val="22"/>
        </w:rPr>
        <w:t xml:space="preserve"> hundreds of </w:t>
      </w:r>
      <w:r w:rsidRPr="00C05CBA">
        <w:rPr>
          <w:rStyle w:val="Heading3Char"/>
          <w:rFonts w:cs="Calibri"/>
          <w:sz w:val="22"/>
          <w:highlight w:val="green"/>
        </w:rPr>
        <w:t>cities</w:t>
      </w:r>
      <w:r w:rsidRPr="00C05CBA">
        <w:rPr>
          <w:rFonts w:cs="Calibri"/>
          <w:u w:val="single"/>
        </w:rPr>
        <w:t xml:space="preserve">, but also </w:t>
      </w:r>
      <w:r w:rsidRPr="00C05CBA">
        <w:rPr>
          <w:rFonts w:cs="Calibri"/>
          <w:highlight w:val="green"/>
          <w:u w:val="single"/>
        </w:rPr>
        <w:t xml:space="preserve">cause </w:t>
      </w:r>
      <w:r w:rsidRPr="00C05CBA">
        <w:rPr>
          <w:rStyle w:val="Emphasis"/>
          <w:rFonts w:cs="Calibri"/>
        </w:rPr>
        <w:t xml:space="preserve">nuclear </w:t>
      </w:r>
      <w:r w:rsidRPr="00C05CBA">
        <w:rPr>
          <w:rStyle w:val="Emphasis"/>
          <w:rFonts w:cs="Calibri"/>
          <w:highlight w:val="green"/>
        </w:rPr>
        <w:t xml:space="preserve">winter and </w:t>
      </w:r>
      <w:r w:rsidRPr="00C05CBA">
        <w:rPr>
          <w:rStyle w:val="Emphasis"/>
          <w:rFonts w:cs="Calibri"/>
        </w:rPr>
        <w:t xml:space="preserve">mass </w:t>
      </w:r>
      <w:r w:rsidRPr="00C05CBA">
        <w:rPr>
          <w:rStyle w:val="Emphasis"/>
          <w:rFonts w:cs="Calibri"/>
          <w:highlight w:val="green"/>
        </w:rPr>
        <w:t>starvation</w:t>
      </w:r>
      <w:r w:rsidRPr="00C05CBA">
        <w:rPr>
          <w:rFonts w:cs="Calibri"/>
          <w:highlight w:val="green"/>
          <w:u w:val="single"/>
        </w:rPr>
        <w:t xml:space="preserve"> of</w:t>
      </w:r>
      <w:r w:rsidRPr="00C05CBA">
        <w:rPr>
          <w:rFonts w:cs="Calibri"/>
          <w:u w:val="single"/>
        </w:rPr>
        <w:t xml:space="preserve"> a billion or more people, if not </w:t>
      </w:r>
      <w:r w:rsidRPr="00C05CBA">
        <w:rPr>
          <w:rFonts w:cs="Calibri"/>
          <w:highlight w:val="green"/>
          <w:u w:val="single"/>
        </w:rPr>
        <w:t xml:space="preserve">the </w:t>
      </w:r>
      <w:r w:rsidRPr="00C05CBA">
        <w:rPr>
          <w:rStyle w:val="Heading3Char"/>
          <w:rFonts w:cs="Calibri"/>
          <w:sz w:val="22"/>
          <w:highlight w:val="green"/>
        </w:rPr>
        <w:t>entire</w:t>
      </w:r>
      <w:r w:rsidRPr="00C05CBA">
        <w:rPr>
          <w:rStyle w:val="Heading3Char"/>
          <w:rFonts w:cs="Calibri"/>
          <w:sz w:val="22"/>
        </w:rPr>
        <w:t xml:space="preserve"> human </w:t>
      </w:r>
      <w:r w:rsidRPr="00C05CBA">
        <w:rPr>
          <w:rStyle w:val="Heading3Char"/>
          <w:rFonts w:cs="Calibri"/>
          <w:sz w:val="22"/>
          <w:highlight w:val="green"/>
        </w:rPr>
        <w:t>species</w:t>
      </w:r>
      <w:r w:rsidRPr="00C05CBA">
        <w:rPr>
          <w:rFonts w:cs="Calibri"/>
          <w:u w:val="single"/>
        </w:rPr>
        <w:t xml:space="preserve">. </w:t>
      </w:r>
      <w:r w:rsidRPr="00C05CBA">
        <w:rPr>
          <w:rFonts w:cs="Calibri"/>
          <w:sz w:val="16"/>
        </w:rPr>
        <w:t xml:space="preserve">Concurrently, </w:t>
      </w:r>
      <w:r w:rsidRPr="00C05CBA">
        <w:rPr>
          <w:rFonts w:cs="Calibri"/>
          <w:u w:val="single"/>
        </w:rPr>
        <w:t xml:space="preserve">climate change is </w:t>
      </w:r>
      <w:r w:rsidRPr="00C05CBA">
        <w:rPr>
          <w:rStyle w:val="Emphasis"/>
          <w:rFonts w:cs="Calibri"/>
        </w:rPr>
        <w:t>enveloping the planet with more frequent</w:t>
      </w:r>
      <w:r w:rsidRPr="00C05CBA">
        <w:rPr>
          <w:rFonts w:cs="Calibri"/>
          <w:u w:val="single"/>
        </w:rPr>
        <w:t xml:space="preserve"> and </w:t>
      </w:r>
      <w:r w:rsidRPr="00C05CBA">
        <w:rPr>
          <w:rStyle w:val="Emphasis"/>
          <w:rFonts w:cs="Calibri"/>
        </w:rPr>
        <w:t>intense storms</w:t>
      </w:r>
      <w:r w:rsidRPr="00C05CBA">
        <w:rPr>
          <w:rFonts w:cs="Calibri"/>
          <w:u w:val="single"/>
        </w:rPr>
        <w:t xml:space="preserve">, accelerating </w:t>
      </w:r>
      <w:r w:rsidRPr="00C05CBA">
        <w:rPr>
          <w:rStyle w:val="Emphasis"/>
          <w:rFonts w:cs="Calibri"/>
        </w:rPr>
        <w:t>sea level rise</w:t>
      </w:r>
      <w:r w:rsidRPr="00C05CBA">
        <w:rPr>
          <w:rFonts w:cs="Calibri"/>
          <w:u w:val="single"/>
        </w:rPr>
        <w:t xml:space="preserve">, and advancing </w:t>
      </w:r>
      <w:r w:rsidRPr="00C05CBA">
        <w:rPr>
          <w:rStyle w:val="Emphasis"/>
          <w:rFonts w:cs="Calibri"/>
        </w:rPr>
        <w:t>rapid ecological change</w:t>
      </w:r>
      <w:r w:rsidRPr="00C05CBA">
        <w:rPr>
          <w:rFonts w:cs="Calibri"/>
          <w:u w:val="single"/>
        </w:rPr>
        <w:t xml:space="preserve">, expressed in </w:t>
      </w:r>
      <w:r w:rsidRPr="00C05CBA">
        <w:rPr>
          <w:rStyle w:val="Emphasis"/>
          <w:rFonts w:cs="Calibri"/>
        </w:rPr>
        <w:t>unprecedented forest fires</w:t>
      </w:r>
      <w:r w:rsidRPr="00C05CBA">
        <w:rPr>
          <w:rFonts w:cs="Calibri"/>
          <w:u w:val="single"/>
        </w:rPr>
        <w:t xml:space="preserve"> across the world</w:t>
      </w:r>
      <w:r w:rsidRPr="00C05CBA">
        <w:rPr>
          <w:rFonts w:cs="Calibri"/>
          <w:sz w:val="16"/>
        </w:rPr>
        <w:t xml:space="preserve">. </w:t>
      </w:r>
      <w:r w:rsidRPr="00C05CBA">
        <w:rPr>
          <w:rFonts w:cs="Calibri"/>
          <w:u w:val="single"/>
        </w:rPr>
        <w:t xml:space="preserve">Already </w:t>
      </w:r>
      <w:r w:rsidRPr="00C05CBA">
        <w:rPr>
          <w:rStyle w:val="Emphasis"/>
          <w:rFonts w:cs="Calibri"/>
        </w:rPr>
        <w:t>stretched</w:t>
      </w:r>
      <w:r w:rsidRPr="00C05CBA">
        <w:rPr>
          <w:rFonts w:cs="Calibri"/>
          <w:u w:val="single"/>
        </w:rPr>
        <w:t xml:space="preserve"> to a breaking point</w:t>
      </w:r>
      <w:r w:rsidRPr="00C05CBA">
        <w:rPr>
          <w:rFonts w:cs="Calibri"/>
          <w:sz w:val="16"/>
        </w:rPr>
        <w:t xml:space="preserve"> in many countries, </w:t>
      </w:r>
      <w:r w:rsidRPr="00C05CBA">
        <w:rPr>
          <w:rFonts w:cs="Calibri"/>
          <w:u w:val="single"/>
        </w:rPr>
        <w:t xml:space="preserve">the current pandemic may overcome resilience to the point of near or </w:t>
      </w:r>
      <w:r w:rsidRPr="00C05CBA">
        <w:rPr>
          <w:rStyle w:val="Emphasis"/>
          <w:rFonts w:cs="Calibri"/>
        </w:rPr>
        <w:t>actual collapse of social, economic, and political order.</w:t>
      </w:r>
    </w:p>
    <w:p w14:paraId="195A8675" w14:textId="77777777" w:rsidR="00700D41" w:rsidRPr="00C05CBA" w:rsidRDefault="00700D41" w:rsidP="00700D41">
      <w:pPr>
        <w:spacing w:after="40" w:line="276" w:lineRule="auto"/>
        <w:rPr>
          <w:rFonts w:cs="Calibri"/>
          <w:u w:val="single"/>
        </w:rPr>
      </w:pPr>
      <w:r w:rsidRPr="00C05CBA">
        <w:rPr>
          <w:rFonts w:cs="Calibri"/>
          <w:sz w:val="16"/>
        </w:rPr>
        <w:t xml:space="preserve">In this extraordinary moment, </w:t>
      </w:r>
      <w:r w:rsidRPr="00C05CBA">
        <w:rPr>
          <w:rFonts w:cs="Calibri"/>
          <w:u w:val="single"/>
        </w:rPr>
        <w:t xml:space="preserve">it is timely to </w:t>
      </w:r>
      <w:r w:rsidRPr="00C05CBA">
        <w:rPr>
          <w:rStyle w:val="Emphasis"/>
          <w:rFonts w:cs="Calibri"/>
        </w:rPr>
        <w:t>reflect</w:t>
      </w:r>
      <w:r w:rsidRPr="00C05CBA">
        <w:rPr>
          <w:rFonts w:cs="Calibri"/>
          <w:u w:val="single"/>
        </w:rPr>
        <w:t xml:space="preserve"> on the existence and </w:t>
      </w:r>
      <w:r w:rsidRPr="00C05CBA">
        <w:rPr>
          <w:rStyle w:val="Emphasis"/>
          <w:rFonts w:cs="Calibri"/>
        </w:rPr>
        <w:t xml:space="preserve">possible uses of </w:t>
      </w:r>
      <w:r w:rsidRPr="00C05CBA">
        <w:rPr>
          <w:rStyle w:val="Emphasis"/>
          <w:rFonts w:cs="Calibri"/>
          <w:highlight w:val="green"/>
        </w:rPr>
        <w:t>w</w:t>
      </w:r>
      <w:r w:rsidRPr="00C05CBA">
        <w:rPr>
          <w:rStyle w:val="Emphasis"/>
          <w:rFonts w:cs="Calibri"/>
        </w:rPr>
        <w:t xml:space="preserve">eapons of </w:t>
      </w:r>
      <w:r w:rsidRPr="00C05CBA">
        <w:rPr>
          <w:rStyle w:val="Emphasis"/>
          <w:rFonts w:cs="Calibri"/>
          <w:highlight w:val="green"/>
        </w:rPr>
        <w:t>m</w:t>
      </w:r>
      <w:r w:rsidRPr="00C05CBA">
        <w:rPr>
          <w:rStyle w:val="Emphasis"/>
          <w:rFonts w:cs="Calibri"/>
        </w:rPr>
        <w:t xml:space="preserve">ass </w:t>
      </w:r>
      <w:r w:rsidRPr="00C05CBA">
        <w:rPr>
          <w:rStyle w:val="Emphasis"/>
          <w:rFonts w:cs="Calibri"/>
          <w:highlight w:val="green"/>
        </w:rPr>
        <w:t>d</w:t>
      </w:r>
      <w:r w:rsidRPr="00C05CBA">
        <w:rPr>
          <w:rStyle w:val="Emphasis"/>
          <w:rFonts w:cs="Calibri"/>
        </w:rPr>
        <w:t xml:space="preserve">estruction </w:t>
      </w:r>
      <w:r w:rsidRPr="00C05CBA">
        <w:rPr>
          <w:rStyle w:val="Emphasis"/>
          <w:rFonts w:cs="Calibri"/>
          <w:highlight w:val="green"/>
        </w:rPr>
        <w:t>under pandemic</w:t>
      </w:r>
      <w:r w:rsidRPr="00C05CBA">
        <w:rPr>
          <w:rStyle w:val="Emphasis"/>
          <w:rFonts w:cs="Calibri"/>
        </w:rPr>
        <w:t xml:space="preserve"> conditions</w:t>
      </w:r>
      <w:r w:rsidRPr="00C05CBA">
        <w:rPr>
          <w:rFonts w:cs="Calibri"/>
          <w:sz w:val="16"/>
        </w:rPr>
        <w:t xml:space="preserve"> – most importantly, </w:t>
      </w:r>
      <w:r w:rsidRPr="00C05CBA">
        <w:rPr>
          <w:rStyle w:val="Emphasis"/>
          <w:rFonts w:cs="Calibri"/>
        </w:rPr>
        <w:t>nuclear weapons</w:t>
      </w:r>
      <w:r w:rsidRPr="00C05CBA">
        <w:rPr>
          <w:rFonts w:cs="Calibri"/>
          <w:u w:val="single"/>
        </w:rPr>
        <w:t xml:space="preserve">, but also </w:t>
      </w:r>
      <w:r w:rsidRPr="00C05CBA">
        <w:rPr>
          <w:rStyle w:val="Emphasis"/>
          <w:rFonts w:cs="Calibri"/>
        </w:rPr>
        <w:t>chemical</w:t>
      </w:r>
      <w:r w:rsidRPr="00C05CBA">
        <w:rPr>
          <w:rFonts w:cs="Calibri"/>
          <w:u w:val="single"/>
        </w:rPr>
        <w:t xml:space="preserve"> and </w:t>
      </w:r>
      <w:r w:rsidRPr="00C05CBA">
        <w:rPr>
          <w:rStyle w:val="Emphasis"/>
          <w:rFonts w:cs="Calibri"/>
        </w:rPr>
        <w:t>biological</w:t>
      </w:r>
      <w:r w:rsidRPr="00C05CBA">
        <w:rPr>
          <w:rFonts w:cs="Calibri"/>
          <w:u w:val="single"/>
        </w:rPr>
        <w:t xml:space="preserve"> weapons</w:t>
      </w:r>
      <w:r w:rsidRPr="00C05CBA">
        <w:rPr>
          <w:rFonts w:cs="Calibri"/>
          <w:sz w:val="16"/>
        </w:rPr>
        <w:t xml:space="preserve">. Moments of </w:t>
      </w:r>
      <w:r w:rsidRPr="00C05CBA">
        <w:rPr>
          <w:rStyle w:val="Emphasis"/>
          <w:rFonts w:cs="Calibri"/>
        </w:rPr>
        <w:t xml:space="preserve">extreme </w:t>
      </w:r>
      <w:r w:rsidRPr="00C05CBA">
        <w:rPr>
          <w:rStyle w:val="Emphasis"/>
          <w:rFonts w:cs="Calibri"/>
          <w:highlight w:val="green"/>
        </w:rPr>
        <w:t xml:space="preserve">crisis </w:t>
      </w:r>
      <w:r w:rsidRPr="00C05CBA">
        <w:rPr>
          <w:rStyle w:val="Emphasis"/>
          <w:rFonts w:cs="Calibri"/>
        </w:rPr>
        <w:t>and vulnerability</w:t>
      </w:r>
      <w:r w:rsidRPr="00C05CBA">
        <w:rPr>
          <w:rFonts w:cs="Calibri"/>
          <w:u w:val="single"/>
        </w:rPr>
        <w:t xml:space="preserve"> can </w:t>
      </w:r>
      <w:r w:rsidRPr="00C05CBA">
        <w:rPr>
          <w:rFonts w:cs="Calibri"/>
          <w:highlight w:val="green"/>
          <w:u w:val="single"/>
        </w:rPr>
        <w:t xml:space="preserve">prompt </w:t>
      </w:r>
      <w:r w:rsidRPr="00C05CBA">
        <w:rPr>
          <w:rStyle w:val="Emphasis"/>
          <w:rFonts w:cs="Calibri"/>
          <w:highlight w:val="green"/>
        </w:rPr>
        <w:t>aggressive</w:t>
      </w:r>
      <w:r w:rsidRPr="00C05CBA">
        <w:rPr>
          <w:rFonts w:cs="Calibri"/>
          <w:u w:val="single"/>
        </w:rPr>
        <w:t xml:space="preserve"> and counterintuitive </w:t>
      </w:r>
      <w:r w:rsidRPr="00C05CBA">
        <w:rPr>
          <w:rStyle w:val="Emphasis"/>
          <w:rFonts w:cs="Calibri"/>
          <w:highlight w:val="green"/>
        </w:rPr>
        <w:t>actions</w:t>
      </w:r>
      <w:r w:rsidRPr="00C05CBA">
        <w:rPr>
          <w:rFonts w:cs="Calibri"/>
          <w:u w:val="single"/>
        </w:rPr>
        <w:t xml:space="preserve"> that in turn may destabilize already precariously balanced threat systems, underpinned by conventional and nuclear weapons, as well as the threat of weaponized </w:t>
      </w:r>
      <w:r w:rsidRPr="00C05CBA">
        <w:rPr>
          <w:rStyle w:val="Emphasis"/>
          <w:rFonts w:cs="Calibri"/>
        </w:rPr>
        <w:t>chemical and biological technologies</w:t>
      </w:r>
      <w:r w:rsidRPr="00C05CBA">
        <w:rPr>
          <w:rFonts w:cs="Calibri"/>
          <w:sz w:val="16"/>
        </w:rPr>
        <w:t xml:space="preserve">. Consequently, </w:t>
      </w:r>
      <w:r w:rsidRPr="00C05CBA">
        <w:rPr>
          <w:rFonts w:cs="Calibri"/>
          <w:u w:val="single"/>
        </w:rPr>
        <w:t xml:space="preserve">the </w:t>
      </w:r>
      <w:r w:rsidRPr="00C05CBA">
        <w:rPr>
          <w:rStyle w:val="Emphasis"/>
          <w:rFonts w:cs="Calibri"/>
          <w:highlight w:val="green"/>
        </w:rPr>
        <w:t>risk</w:t>
      </w:r>
      <w:r w:rsidRPr="00C05CBA">
        <w:rPr>
          <w:rStyle w:val="Emphasis"/>
          <w:rFonts w:cs="Calibri"/>
        </w:rPr>
        <w:t xml:space="preserve"> of the use of weapons of mass destruction</w:t>
      </w:r>
      <w:r w:rsidRPr="00C05CBA">
        <w:rPr>
          <w:rFonts w:cs="Calibri"/>
          <w:u w:val="single"/>
        </w:rPr>
        <w:t xml:space="preserve"> (WMD), especially nuclear weapons, </w:t>
      </w:r>
      <w:r w:rsidRPr="00C05CBA">
        <w:rPr>
          <w:rStyle w:val="Emphasis"/>
          <w:rFonts w:cs="Calibri"/>
          <w:highlight w:val="green"/>
        </w:rPr>
        <w:t>increases</w:t>
      </w:r>
      <w:r w:rsidRPr="00C05CBA">
        <w:rPr>
          <w:rFonts w:cs="Calibri"/>
          <w:u w:val="single"/>
        </w:rPr>
        <w:t xml:space="preserve"> at such times, possibly sharply.</w:t>
      </w:r>
    </w:p>
    <w:p w14:paraId="40E4F944" w14:textId="77777777" w:rsidR="00700D41" w:rsidRPr="00C05CBA" w:rsidRDefault="00700D41" w:rsidP="00700D41">
      <w:pPr>
        <w:spacing w:after="40" w:line="276" w:lineRule="auto"/>
        <w:rPr>
          <w:rFonts w:cs="Calibri"/>
          <w:u w:val="single"/>
        </w:rPr>
      </w:pPr>
      <w:r w:rsidRPr="00C05CBA">
        <w:rPr>
          <w:rFonts w:cs="Calibri"/>
          <w:sz w:val="16"/>
        </w:rPr>
        <w:t xml:space="preserve">The </w:t>
      </w:r>
      <w:r w:rsidRPr="00C05CBA">
        <w:rPr>
          <w:rFonts w:cs="Calibri"/>
          <w:u w:val="single"/>
        </w:rPr>
        <w:t xml:space="preserve">COVID-19 pandemic is </w:t>
      </w:r>
      <w:r w:rsidRPr="00C05CBA">
        <w:rPr>
          <w:rStyle w:val="Emphasis"/>
          <w:rFonts w:cs="Calibri"/>
        </w:rPr>
        <w:t>clearly driving massive, rapid, and unpredictable changes</w:t>
      </w:r>
      <w:r w:rsidRPr="00C05CBA">
        <w:rPr>
          <w:rFonts w:cs="Calibri"/>
          <w:u w:val="single"/>
        </w:rPr>
        <w:t xml:space="preserve"> that will </w:t>
      </w:r>
      <w:r w:rsidRPr="00C05CBA">
        <w:rPr>
          <w:rStyle w:val="Emphasis"/>
          <w:rFonts w:cs="Calibri"/>
        </w:rPr>
        <w:t>redefine every aspect of the human condition</w:t>
      </w:r>
      <w:r w:rsidRPr="00C05CBA">
        <w:rPr>
          <w:rFonts w:cs="Calibri"/>
          <w:u w:val="single"/>
        </w:rPr>
        <w:t xml:space="preserve">, including </w:t>
      </w:r>
      <w:r w:rsidRPr="00C05CBA">
        <w:rPr>
          <w:rStyle w:val="Emphasis"/>
          <w:rFonts w:cs="Calibri"/>
        </w:rPr>
        <w:t>WMD</w:t>
      </w:r>
      <w:r w:rsidRPr="00C05CBA">
        <w:rPr>
          <w:rFonts w:cs="Calibri"/>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C05CBA">
        <w:rPr>
          <w:rFonts w:cs="Calibri"/>
          <w:u w:val="single"/>
        </w:rPr>
        <w:t xml:space="preserve">In a world </w:t>
      </w:r>
      <w:r w:rsidRPr="00C05CBA">
        <w:rPr>
          <w:rStyle w:val="Emphasis"/>
          <w:rFonts w:cs="Calibri"/>
        </w:rPr>
        <w:t>reshaped by pandemics</w:t>
      </w:r>
      <w:r w:rsidRPr="00C05CBA">
        <w:rPr>
          <w:rFonts w:cs="Calibri"/>
          <w:u w:val="single"/>
        </w:rPr>
        <w:t xml:space="preserve">, </w:t>
      </w:r>
      <w:r w:rsidRPr="00C05CBA">
        <w:rPr>
          <w:rStyle w:val="Emphasis"/>
          <w:rFonts w:cs="Calibri"/>
        </w:rPr>
        <w:t>nuclear weapons</w:t>
      </w:r>
      <w:r w:rsidRPr="00C05CBA">
        <w:rPr>
          <w:rFonts w:cs="Calibri"/>
          <w:u w:val="single"/>
        </w:rPr>
        <w:t xml:space="preserve"> – as well as correlated </w:t>
      </w:r>
      <w:r w:rsidRPr="00C05CBA">
        <w:rPr>
          <w:rStyle w:val="Emphasis"/>
          <w:rFonts w:cs="Calibri"/>
        </w:rPr>
        <w:t>non-nuclear WMD</w:t>
      </w:r>
      <w:r w:rsidRPr="00C05CBA">
        <w:rPr>
          <w:rFonts w:cs="Calibri"/>
          <w:u w:val="single"/>
        </w:rPr>
        <w:t xml:space="preserve">, </w:t>
      </w:r>
      <w:r w:rsidRPr="00C05CBA">
        <w:rPr>
          <w:rStyle w:val="Emphasis"/>
          <w:rFonts w:cs="Calibri"/>
        </w:rPr>
        <w:t>nuclear alliances</w:t>
      </w:r>
      <w:r w:rsidRPr="00C05CBA">
        <w:rPr>
          <w:rFonts w:cs="Calibri"/>
          <w:u w:val="single"/>
        </w:rPr>
        <w:t xml:space="preserve">, </w:t>
      </w:r>
      <w:r w:rsidRPr="00C05CBA">
        <w:rPr>
          <w:rStyle w:val="Emphasis"/>
          <w:rFonts w:cs="Calibri"/>
        </w:rPr>
        <w:t>“deterrence” doctrines</w:t>
      </w:r>
      <w:r w:rsidRPr="00C05CBA">
        <w:rPr>
          <w:rFonts w:cs="Calibri"/>
          <w:u w:val="single"/>
        </w:rPr>
        <w:t xml:space="preserve">, operational and </w:t>
      </w:r>
      <w:r w:rsidRPr="00C05CBA">
        <w:rPr>
          <w:rStyle w:val="Emphasis"/>
          <w:rFonts w:cs="Calibri"/>
        </w:rPr>
        <w:t>declaratory policies</w:t>
      </w:r>
      <w:r w:rsidRPr="00C05CBA">
        <w:rPr>
          <w:rFonts w:cs="Calibri"/>
          <w:u w:val="single"/>
        </w:rPr>
        <w:t xml:space="preserve">, nuclear </w:t>
      </w:r>
      <w:r w:rsidRPr="00C05CBA">
        <w:rPr>
          <w:rStyle w:val="Emphasis"/>
          <w:rFonts w:cs="Calibri"/>
        </w:rPr>
        <w:t>extended deterrence</w:t>
      </w:r>
      <w:r w:rsidRPr="00C05CBA">
        <w:rPr>
          <w:rFonts w:cs="Calibri"/>
          <w:u w:val="single"/>
        </w:rPr>
        <w:t xml:space="preserve">, organizational practices, and the </w:t>
      </w:r>
      <w:r w:rsidRPr="00C05CBA">
        <w:rPr>
          <w:rFonts w:eastAsiaTheme="majorEastAsia" w:cs="Calibri"/>
          <w:b/>
          <w:sz w:val="32"/>
          <w:u w:val="single"/>
        </w:rPr>
        <w:t>existential risks</w:t>
      </w:r>
      <w:r w:rsidRPr="00C05CBA">
        <w:rPr>
          <w:rFonts w:cs="Calibri"/>
          <w:u w:val="single"/>
        </w:rPr>
        <w:t xml:space="preserve"> posed by retaining these capabilities – are all up for redefinition.</w:t>
      </w:r>
    </w:p>
    <w:p w14:paraId="2B3B7979" w14:textId="77777777" w:rsidR="00700D41" w:rsidRPr="00C05CBA" w:rsidRDefault="00700D41" w:rsidP="00700D41">
      <w:pPr>
        <w:spacing w:after="40" w:line="276" w:lineRule="auto"/>
        <w:rPr>
          <w:rFonts w:cs="Calibri"/>
          <w:sz w:val="16"/>
        </w:rPr>
      </w:pPr>
      <w:r w:rsidRPr="00C05CBA">
        <w:rPr>
          <w:rFonts w:cs="Calibri"/>
          <w:sz w:val="16"/>
        </w:rPr>
        <w:t xml:space="preserve">A </w:t>
      </w:r>
      <w:r w:rsidRPr="00C05CBA">
        <w:rPr>
          <w:rFonts w:cs="Calibri"/>
          <w:highlight w:val="green"/>
          <w:u w:val="single"/>
        </w:rPr>
        <w:t>pandemic</w:t>
      </w:r>
      <w:r w:rsidRPr="00C05CBA">
        <w:rPr>
          <w:rFonts w:cs="Calibri"/>
          <w:u w:val="single"/>
        </w:rPr>
        <w:t xml:space="preserve"> has potential to </w:t>
      </w:r>
      <w:r w:rsidRPr="00C05CBA">
        <w:rPr>
          <w:rStyle w:val="Emphasis"/>
          <w:rFonts w:cs="Calibri"/>
          <w:highlight w:val="green"/>
        </w:rPr>
        <w:t>destabilize</w:t>
      </w:r>
      <w:r w:rsidRPr="00C05CBA">
        <w:rPr>
          <w:rStyle w:val="Emphasis"/>
          <w:rFonts w:cs="Calibri"/>
        </w:rPr>
        <w:t xml:space="preserve"> a nuclear-prone conflict by </w:t>
      </w:r>
      <w:r w:rsidRPr="00C05CBA">
        <w:rPr>
          <w:rStyle w:val="Emphasis"/>
          <w:rFonts w:cs="Calibri"/>
          <w:highlight w:val="green"/>
        </w:rPr>
        <w:t>incapacitating</w:t>
      </w:r>
      <w:r w:rsidRPr="00C05CBA">
        <w:rPr>
          <w:rFonts w:cs="Calibri"/>
          <w:u w:val="single"/>
        </w:rPr>
        <w:t xml:space="preserve"> the supreme nuclear commander or </w:t>
      </w:r>
      <w:r w:rsidRPr="00C05CBA">
        <w:rPr>
          <w:rStyle w:val="Emphasis"/>
          <w:rFonts w:cs="Calibri"/>
          <w:highlight w:val="green"/>
        </w:rPr>
        <w:t>commanders</w:t>
      </w:r>
      <w:r w:rsidRPr="00C05CBA">
        <w:rPr>
          <w:rFonts w:cs="Calibri"/>
          <w:highlight w:val="green"/>
          <w:u w:val="single"/>
        </w:rPr>
        <w:t xml:space="preserve"> who</w:t>
      </w:r>
      <w:r w:rsidRPr="00C05CBA">
        <w:rPr>
          <w:rFonts w:cs="Calibri"/>
          <w:u w:val="single"/>
        </w:rPr>
        <w:t xml:space="preserve"> have to </w:t>
      </w:r>
      <w:r w:rsidRPr="00C05CBA">
        <w:rPr>
          <w:rStyle w:val="Emphasis"/>
          <w:rFonts w:cs="Calibri"/>
          <w:highlight w:val="green"/>
        </w:rPr>
        <w:t>issue nuclear strike</w:t>
      </w:r>
      <w:r w:rsidRPr="00C05CBA">
        <w:rPr>
          <w:rStyle w:val="Emphasis"/>
          <w:rFonts w:cs="Calibri"/>
        </w:rPr>
        <w:t xml:space="preserve"> orders</w:t>
      </w:r>
      <w:r w:rsidRPr="00C05CBA">
        <w:rPr>
          <w:rFonts w:cs="Calibri"/>
          <w:u w:val="single"/>
        </w:rPr>
        <w:t xml:space="preserve">, creating </w:t>
      </w:r>
      <w:r w:rsidRPr="00C05CBA">
        <w:rPr>
          <w:rFonts w:cs="Calibri"/>
          <w:highlight w:val="green"/>
          <w:u w:val="single"/>
        </w:rPr>
        <w:t>uncertainty</w:t>
      </w:r>
      <w:r w:rsidRPr="00C05CBA">
        <w:rPr>
          <w:rFonts w:cs="Calibri"/>
          <w:u w:val="single"/>
        </w:rPr>
        <w:t xml:space="preserve"> as to who is in charge, how to handle nuclear mistakes</w:t>
      </w:r>
      <w:r w:rsidRPr="00C05CBA">
        <w:rPr>
          <w:rFonts w:cs="Calibri"/>
          <w:sz w:val="16"/>
        </w:rPr>
        <w:t xml:space="preserve"> (such as errors, accidents, technological failures, and entanglement with conventional operations gone awry), </w:t>
      </w:r>
      <w:r w:rsidRPr="00C05CBA">
        <w:rPr>
          <w:rFonts w:cs="Calibri"/>
          <w:u w:val="single"/>
        </w:rPr>
        <w:t xml:space="preserve">and opening a brief opportunity for a </w:t>
      </w:r>
      <w:r w:rsidRPr="00C05CBA">
        <w:rPr>
          <w:rFonts w:cs="Calibri"/>
          <w:highlight w:val="green"/>
          <w:u w:val="single"/>
        </w:rPr>
        <w:t>first strike</w:t>
      </w:r>
      <w:r w:rsidRPr="00C05CBA">
        <w:rPr>
          <w:rFonts w:cs="Calibri"/>
          <w:sz w:val="16"/>
        </w:rPr>
        <w:t xml:space="preserve"> at a time when the COVID-infected state may not be able to retaliate efficiently – or at all – </w:t>
      </w:r>
      <w:r w:rsidRPr="00C05CBA">
        <w:rPr>
          <w:rFonts w:cs="Calibri"/>
          <w:u w:val="single"/>
        </w:rPr>
        <w:t xml:space="preserve">due to leadership </w:t>
      </w:r>
      <w:r w:rsidRPr="00C05CBA">
        <w:rPr>
          <w:rFonts w:cs="Calibri"/>
          <w:highlight w:val="green"/>
          <w:u w:val="single"/>
        </w:rPr>
        <w:t>confusion</w:t>
      </w:r>
      <w:r w:rsidRPr="00C05CBA">
        <w:rPr>
          <w:rFonts w:cs="Calibri"/>
          <w:u w:val="single"/>
        </w:rPr>
        <w:t>.</w:t>
      </w:r>
      <w:r w:rsidRPr="00C05CBA">
        <w:rPr>
          <w:rFonts w:cs="Calibri"/>
          <w:sz w:val="16"/>
        </w:rPr>
        <w:t xml:space="preserve"> In some nuclear-laden conflicts, </w:t>
      </w:r>
      <w:r w:rsidRPr="00C05CBA">
        <w:rPr>
          <w:rFonts w:cs="Calibri"/>
          <w:u w:val="single"/>
        </w:rPr>
        <w:t xml:space="preserve">a state might use a </w:t>
      </w:r>
      <w:r w:rsidRPr="00C05CBA">
        <w:rPr>
          <w:rFonts w:cs="Calibri"/>
          <w:highlight w:val="green"/>
          <w:u w:val="single"/>
        </w:rPr>
        <w:t>pandemic</w:t>
      </w:r>
      <w:r w:rsidRPr="00C05CBA">
        <w:rPr>
          <w:rFonts w:cs="Calibri"/>
          <w:u w:val="single"/>
        </w:rPr>
        <w:t xml:space="preserve"> as a </w:t>
      </w:r>
      <w:r w:rsidRPr="00C05CBA">
        <w:rPr>
          <w:rFonts w:cs="Calibri"/>
          <w:highlight w:val="green"/>
          <w:u w:val="single"/>
        </w:rPr>
        <w:t>cover for</w:t>
      </w:r>
      <w:r w:rsidRPr="00C05CBA">
        <w:rPr>
          <w:rFonts w:cs="Calibri"/>
          <w:u w:val="single"/>
        </w:rPr>
        <w:t xml:space="preserve"> political or military </w:t>
      </w:r>
      <w:r w:rsidRPr="00C05CBA">
        <w:rPr>
          <w:rFonts w:cs="Calibri"/>
          <w:highlight w:val="green"/>
          <w:u w:val="single"/>
        </w:rPr>
        <w:t>provocations</w:t>
      </w:r>
      <w:r w:rsidRPr="00C05CBA">
        <w:rPr>
          <w:rFonts w:cs="Calibri"/>
          <w:u w:val="single"/>
        </w:rPr>
        <w:t xml:space="preserve"> in the belief that the </w:t>
      </w:r>
      <w:r w:rsidRPr="00C05CBA">
        <w:rPr>
          <w:rFonts w:cs="Calibri"/>
          <w:highlight w:val="green"/>
          <w:u w:val="single"/>
        </w:rPr>
        <w:t>adversary</w:t>
      </w:r>
      <w:r w:rsidRPr="00C05CBA">
        <w:rPr>
          <w:rFonts w:cs="Calibri"/>
          <w:u w:val="single"/>
        </w:rPr>
        <w:t xml:space="preserve"> is </w:t>
      </w:r>
      <w:r w:rsidRPr="00C05CBA">
        <w:rPr>
          <w:rFonts w:cs="Calibri"/>
          <w:highlight w:val="green"/>
          <w:u w:val="single"/>
        </w:rPr>
        <w:t>distracted</w:t>
      </w:r>
      <w:r w:rsidRPr="00C05CBA">
        <w:rPr>
          <w:rFonts w:cs="Calibri"/>
          <w:u w:val="single"/>
        </w:rPr>
        <w:t xml:space="preserve"> and partly disabled by the pandemic, increasing the risk of war in a nuclear-prone conflict</w:t>
      </w:r>
      <w:r w:rsidRPr="00C05CBA">
        <w:rPr>
          <w:rFonts w:cs="Calibri"/>
          <w:sz w:val="16"/>
        </w:rPr>
        <w:t xml:space="preserve">. At the same time, </w:t>
      </w:r>
      <w:r w:rsidRPr="00C05CBA">
        <w:rPr>
          <w:rFonts w:cs="Calibri"/>
          <w:u w:val="single"/>
        </w:rPr>
        <w:t xml:space="preserve">a pandemic may lead nuclear armed states to </w:t>
      </w:r>
      <w:r w:rsidRPr="00C05CBA">
        <w:rPr>
          <w:rFonts w:cs="Calibri"/>
          <w:highlight w:val="green"/>
          <w:u w:val="single"/>
        </w:rPr>
        <w:t>increase</w:t>
      </w:r>
      <w:r w:rsidRPr="00C05CBA">
        <w:rPr>
          <w:rFonts w:cs="Calibri"/>
          <w:u w:val="single"/>
        </w:rPr>
        <w:t xml:space="preserve"> the </w:t>
      </w:r>
      <w:r w:rsidRPr="00C05CBA">
        <w:rPr>
          <w:rFonts w:cs="Calibri"/>
          <w:highlight w:val="green"/>
          <w:u w:val="single"/>
        </w:rPr>
        <w:t xml:space="preserve">isolation </w:t>
      </w:r>
      <w:r w:rsidRPr="00C05CBA">
        <w:rPr>
          <w:rFonts w:cs="Calibri"/>
          <w:u w:val="single"/>
        </w:rPr>
        <w:t xml:space="preserve">and </w:t>
      </w:r>
      <w:r w:rsidRPr="00C05CBA">
        <w:rPr>
          <w:rFonts w:cs="Calibri"/>
          <w:highlight w:val="green"/>
          <w:u w:val="single"/>
        </w:rPr>
        <w:t>sanctions</w:t>
      </w:r>
      <w:r w:rsidRPr="00C05CBA">
        <w:rPr>
          <w:rFonts w:cs="Calibri"/>
          <w:sz w:val="16"/>
        </w:rPr>
        <w:t xml:space="preserve"> against a nuclear adversary, making it even harder to stop the spread of the disease, in turn creating a pandemic reservoir and transmission risk back to the nuclear armed state or its allies.</w:t>
      </w:r>
    </w:p>
    <w:p w14:paraId="23AFF3A5" w14:textId="77777777" w:rsidR="00700D41" w:rsidRPr="00C05CBA" w:rsidRDefault="00700D41" w:rsidP="00700D41">
      <w:pPr>
        <w:spacing w:after="40" w:line="276" w:lineRule="auto"/>
        <w:rPr>
          <w:rFonts w:cs="Calibri"/>
          <w:sz w:val="16"/>
        </w:rPr>
      </w:pPr>
      <w:r w:rsidRPr="00C05CBA">
        <w:rPr>
          <w:rFonts w:cs="Calibri"/>
          <w:sz w:val="16"/>
        </w:rPr>
        <w:t xml:space="preserve">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C05CBA">
        <w:rPr>
          <w:rFonts w:cs="Calibri"/>
          <w:u w:val="single"/>
        </w:rPr>
        <w:t>militaries may cooperate to control pandemic transmission</w:t>
      </w:r>
      <w:r w:rsidRPr="00C05CBA">
        <w:rPr>
          <w:rFonts w:cs="Calibri"/>
          <w:sz w:val="16"/>
        </w:rPr>
        <w:t>, including by working together against criminal-terrorist non-state actors that are trafficking people or by joining forces to ensure that a new pathogen is not developed as a bioweapon.</w:t>
      </w:r>
    </w:p>
    <w:p w14:paraId="3022CEDE" w14:textId="77777777" w:rsidR="00700D41" w:rsidRPr="00C05CBA" w:rsidRDefault="00700D41" w:rsidP="00700D41">
      <w:pPr>
        <w:spacing w:after="40" w:line="276" w:lineRule="auto"/>
        <w:rPr>
          <w:rFonts w:cs="Calibri"/>
          <w:u w:val="single"/>
        </w:rPr>
      </w:pPr>
      <w:r w:rsidRPr="00C05CBA">
        <w:rPr>
          <w:rFonts w:cs="Calibri"/>
          <w:sz w:val="16"/>
        </w:rPr>
        <w:t xml:space="preserve">To date, </w:t>
      </w:r>
      <w:r w:rsidRPr="00C05CBA">
        <w:rPr>
          <w:rFonts w:cs="Calibri"/>
          <w:u w:val="single"/>
        </w:rPr>
        <w:t xml:space="preserve">however, the COVID-19 pandemic has increased the isolation of some nuclear-armed states and provided a textbook case of the </w:t>
      </w:r>
      <w:r w:rsidRPr="00C05CBA">
        <w:rPr>
          <w:rStyle w:val="Emphasis"/>
          <w:rFonts w:cs="Calibri"/>
          <w:highlight w:val="green"/>
        </w:rPr>
        <w:t xml:space="preserve">failure </w:t>
      </w:r>
      <w:r w:rsidRPr="00C05CBA">
        <w:rPr>
          <w:rStyle w:val="Emphasis"/>
          <w:rFonts w:cs="Calibri"/>
        </w:rPr>
        <w:t xml:space="preserve">of states </w:t>
      </w:r>
      <w:r w:rsidRPr="00C05CBA">
        <w:rPr>
          <w:rStyle w:val="Emphasis"/>
          <w:rFonts w:cs="Calibri"/>
          <w:highlight w:val="green"/>
        </w:rPr>
        <w:t>to cooperate</w:t>
      </w:r>
      <w:r w:rsidRPr="00C05CBA">
        <w:rPr>
          <w:rStyle w:val="Emphasis"/>
          <w:rFonts w:cs="Calibri"/>
        </w:rPr>
        <w:t xml:space="preserve"> to overcome the pandemic</w:t>
      </w:r>
      <w:r w:rsidRPr="00C05CBA">
        <w:rPr>
          <w:rFonts w:cs="Calibri"/>
          <w:u w:val="single"/>
        </w:rPr>
        <w:t>. Borders have slammed shut, trade shut down, and budgets blown out</w:t>
      </w:r>
      <w:r w:rsidRPr="00C05CBA">
        <w:rPr>
          <w:rFonts w:cs="Calibri"/>
          <w:sz w:val="16"/>
        </w:rPr>
        <w:t xml:space="preserve">, creating </w:t>
      </w:r>
      <w:r w:rsidRPr="00C05CBA">
        <w:rPr>
          <w:rFonts w:cs="Calibri"/>
          <w:u w:val="single"/>
        </w:rPr>
        <w:t xml:space="preserve">enormous pressure to focus on immediate domestic priorities. Foreign policies have become markedly more nationalistic. </w:t>
      </w:r>
      <w:r w:rsidRPr="00C05CBA">
        <w:rPr>
          <w:rFonts w:cs="Calibri"/>
          <w:highlight w:val="green"/>
          <w:u w:val="single"/>
        </w:rPr>
        <w:t xml:space="preserve">Dependence on </w:t>
      </w:r>
      <w:r w:rsidRPr="00C05CBA">
        <w:rPr>
          <w:rStyle w:val="Emphasis"/>
          <w:rFonts w:cs="Calibri"/>
          <w:highlight w:val="green"/>
        </w:rPr>
        <w:t>nuclear weapons</w:t>
      </w:r>
      <w:r w:rsidRPr="00C05CBA">
        <w:rPr>
          <w:rStyle w:val="Emphasis"/>
          <w:rFonts w:cs="Calibri"/>
        </w:rPr>
        <w:t xml:space="preserve"> may </w:t>
      </w:r>
      <w:r w:rsidRPr="00C05CBA">
        <w:rPr>
          <w:rStyle w:val="Emphasis"/>
          <w:rFonts w:cs="Calibri"/>
          <w:highlight w:val="green"/>
        </w:rPr>
        <w:t>increase</w:t>
      </w:r>
      <w:r w:rsidRPr="00C05CBA">
        <w:rPr>
          <w:rStyle w:val="Emphasis"/>
          <w:rFonts w:cs="Calibri"/>
        </w:rPr>
        <w:t xml:space="preserve"> as states seek to buttress a global re-spatialization6</w:t>
      </w:r>
      <w:r w:rsidRPr="00C05CBA">
        <w:rPr>
          <w:rFonts w:cs="Calibri"/>
          <w:u w:val="single"/>
        </w:rPr>
        <w:t xml:space="preserve"> of all dimensions of human interaction at all levels to manage pandemics</w:t>
      </w:r>
      <w:r w:rsidRPr="00C05CBA">
        <w:rPr>
          <w:rFonts w:cs="Calibri"/>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C05CBA">
        <w:rPr>
          <w:rFonts w:cs="Calibri"/>
          <w:u w:val="single"/>
        </w:rPr>
        <w:t xml:space="preserve">some states may </w:t>
      </w:r>
      <w:r w:rsidRPr="00C05CBA">
        <w:rPr>
          <w:rStyle w:val="Emphasis"/>
          <w:rFonts w:cs="Calibri"/>
          <w:highlight w:val="green"/>
        </w:rPr>
        <w:t>proliferate</w:t>
      </w:r>
      <w:r w:rsidRPr="00C05CBA">
        <w:rPr>
          <w:rFonts w:cs="Calibri"/>
          <w:u w:val="single"/>
        </w:rPr>
        <w:t xml:space="preserve"> their own nuclear weapons, further reinforcing the spiral of conflicts contained by nuclear threat, with </w:t>
      </w:r>
      <w:r w:rsidRPr="00C05CBA">
        <w:rPr>
          <w:rStyle w:val="Emphasis"/>
          <w:rFonts w:eastAsiaTheme="majorEastAsia" w:cs="Calibri"/>
          <w:sz w:val="32"/>
        </w:rPr>
        <w:t>cascading effects on the risk of nuclear war.</w:t>
      </w:r>
    </w:p>
    <w:p w14:paraId="579F965B" w14:textId="77777777" w:rsidR="00700D41" w:rsidRPr="00CE11B7" w:rsidRDefault="00700D41" w:rsidP="00700D41">
      <w:pPr>
        <w:pStyle w:val="Heading3"/>
        <w:rPr>
          <w:rFonts w:asciiTheme="majorHAnsi" w:hAnsiTheme="majorHAnsi" w:cstheme="majorHAnsi"/>
        </w:rPr>
      </w:pPr>
      <w:r w:rsidRPr="00CE11B7">
        <w:rPr>
          <w:rFonts w:asciiTheme="majorHAnsi" w:hAnsiTheme="majorHAnsi" w:cstheme="majorHAnsi"/>
        </w:rPr>
        <w:t>Underview</w:t>
      </w:r>
    </w:p>
    <w:p w14:paraId="20580457" w14:textId="77777777" w:rsidR="00700D41" w:rsidRPr="00021491" w:rsidRDefault="00700D41" w:rsidP="00700D41">
      <w:pPr>
        <w:pStyle w:val="Heading5"/>
      </w:pPr>
      <w:r w:rsidRPr="00CE11B7">
        <w:rPr>
          <w:rFonts w:cstheme="majorHAnsi"/>
        </w:rPr>
        <w:t>[1] Aff gets 1AR theory since the neg can be infinitely abusive and I can’t check back. Aff theory is drop the debater, competing interps, and the highest layer since the 1ar is too short to win both theory and substance and reasonability bites intervention since it’s up to the judge to determine. No 2NR RVI, paradigm issues, theory</w:t>
      </w:r>
      <w:r>
        <w:rPr>
          <w:rFonts w:cstheme="majorHAnsi"/>
        </w:rPr>
        <w:t>, evidence</w:t>
      </w:r>
      <w:r w:rsidRPr="00CE11B7">
        <w:rPr>
          <w:rFonts w:cstheme="majorHAnsi"/>
        </w:rPr>
        <w:t>, or new responses to AC arguments since they’d dump on it for 6 minutes and my 3-minute 2AR is spread too thin.</w:t>
      </w:r>
      <w:r>
        <w:rPr>
          <w:rFonts w:cstheme="majorHAnsi"/>
        </w:rPr>
        <w:t xml:space="preserve"> Judges resolve 1AR theory all the time and reasonably determine what’s new – answers intervention. </w:t>
      </w:r>
      <w:r>
        <w:t xml:space="preserve">No RVIs on AC arguments – incentivizes a </w:t>
      </w:r>
      <w:proofErr w:type="gramStart"/>
      <w:r>
        <w:t>7 minute</w:t>
      </w:r>
      <w:proofErr w:type="gramEnd"/>
      <w:r>
        <w:t xml:space="preserve"> collapse that decks 1AR strategy.</w:t>
      </w:r>
    </w:p>
    <w:p w14:paraId="18B21B95"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ヒラギノ角ゴ Pro W3">
    <w:charset w:val="80"/>
    <w:family w:val="swiss"/>
    <w:pitch w:val="variable"/>
    <w:sig w:usb0="E00002FF" w:usb1="7AC7FFFF" w:usb2="00000012" w:usb3="00000000" w:csb0="0002000D" w:csb1="00000000"/>
  </w:font>
  <w:font w:name="Constantia">
    <w:panose1 w:val="02030602050306030303"/>
    <w:charset w:val="00"/>
    <w:family w:val="roman"/>
    <w:pitch w:val="variable"/>
    <w:sig w:usb0="A00002EF" w:usb1="4000204B"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A11346"/>
    <w:multiLevelType w:val="hybridMultilevel"/>
    <w:tmpl w:val="D7D6D88A"/>
    <w:lvl w:ilvl="0" w:tplc="5FBE7B7C">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4280FF5"/>
    <w:multiLevelType w:val="hybridMultilevel"/>
    <w:tmpl w:val="49580D18"/>
    <w:lvl w:ilvl="0" w:tplc="9D14A55C">
      <w:start w:val="1"/>
      <w:numFmt w:val="bullet"/>
      <w:lvlText w:val="-"/>
      <w:lvlJc w:val="left"/>
      <w:pPr>
        <w:ind w:left="420" w:hanging="360"/>
      </w:pPr>
      <w:rPr>
        <w:rFonts w:ascii="Calibri" w:eastAsiaTheme="minorEastAsia" w:hAnsi="Calibri" w:cs="Calibr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3"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4" w15:restartNumberingAfterBreak="0">
    <w:nsid w:val="092A5337"/>
    <w:multiLevelType w:val="hybridMultilevel"/>
    <w:tmpl w:val="BF8047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B3343FC"/>
    <w:multiLevelType w:val="multilevel"/>
    <w:tmpl w:val="A4F4D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12A3E52"/>
    <w:multiLevelType w:val="hybridMultilevel"/>
    <w:tmpl w:val="7A8A8204"/>
    <w:lvl w:ilvl="0" w:tplc="AA12DD9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20218C4"/>
    <w:multiLevelType w:val="hybridMultilevel"/>
    <w:tmpl w:val="41C0DD4E"/>
    <w:lvl w:ilvl="0" w:tplc="5AE471D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15D425EF"/>
    <w:multiLevelType w:val="hybridMultilevel"/>
    <w:tmpl w:val="E2F4622A"/>
    <w:lvl w:ilvl="0" w:tplc="A1442160">
      <w:start w:val="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B1244F4"/>
    <w:multiLevelType w:val="hybridMultilevel"/>
    <w:tmpl w:val="1ACEC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C703472"/>
    <w:multiLevelType w:val="hybridMultilevel"/>
    <w:tmpl w:val="E0B2A1B8"/>
    <w:lvl w:ilvl="0" w:tplc="ADF28F2A">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9D16979"/>
    <w:multiLevelType w:val="hybridMultilevel"/>
    <w:tmpl w:val="798208EC"/>
    <w:lvl w:ilvl="0" w:tplc="AA9E14B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C707177"/>
    <w:multiLevelType w:val="hybridMultilevel"/>
    <w:tmpl w:val="D62A9FB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B7A080A"/>
    <w:multiLevelType w:val="hybridMultilevel"/>
    <w:tmpl w:val="41663058"/>
    <w:lvl w:ilvl="0" w:tplc="E66C8434">
      <w:start w:val="23"/>
      <w:numFmt w:val="bullet"/>
      <w:lvlText w:val="-"/>
      <w:lvlJc w:val="left"/>
      <w:pPr>
        <w:ind w:left="420" w:hanging="360"/>
      </w:pPr>
      <w:rPr>
        <w:rFonts w:ascii="Calibri" w:eastAsiaTheme="minorEastAsia" w:hAnsi="Calibri" w:cs="Calibr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4" w15:restartNumberingAfterBreak="0">
    <w:nsid w:val="429B0515"/>
    <w:multiLevelType w:val="hybridMultilevel"/>
    <w:tmpl w:val="F6A6D292"/>
    <w:lvl w:ilvl="0" w:tplc="AA3E9DD8">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3B37D0A"/>
    <w:multiLevelType w:val="hybridMultilevel"/>
    <w:tmpl w:val="0548D4CE"/>
    <w:lvl w:ilvl="0" w:tplc="329E43BC">
      <w:start w:val="1"/>
      <w:numFmt w:val="bullet"/>
      <w:lvlText w:val="-"/>
      <w:lvlJc w:val="left"/>
      <w:pPr>
        <w:ind w:left="420" w:hanging="360"/>
      </w:pPr>
      <w:rPr>
        <w:rFonts w:ascii="Calibri" w:eastAsiaTheme="minorEastAsia" w:hAnsi="Calibri" w:cs="Calibri"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6" w15:restartNumberingAfterBreak="0">
    <w:nsid w:val="44425C64"/>
    <w:multiLevelType w:val="hybridMultilevel"/>
    <w:tmpl w:val="BCE8B7F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61E3099"/>
    <w:multiLevelType w:val="hybridMultilevel"/>
    <w:tmpl w:val="F0907A24"/>
    <w:lvl w:ilvl="0" w:tplc="72B8A204">
      <w:start w:val="3"/>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DBB4174"/>
    <w:multiLevelType w:val="hybridMultilevel"/>
    <w:tmpl w:val="8CECB0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E060329"/>
    <w:multiLevelType w:val="hybridMultilevel"/>
    <w:tmpl w:val="75DC0874"/>
    <w:lvl w:ilvl="0" w:tplc="68CE07B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4F996A10"/>
    <w:multiLevelType w:val="hybridMultilevel"/>
    <w:tmpl w:val="3AAE952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1BA24C5"/>
    <w:multiLevelType w:val="hybridMultilevel"/>
    <w:tmpl w:val="DFC89584"/>
    <w:lvl w:ilvl="0" w:tplc="98B87848">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2944482"/>
    <w:multiLevelType w:val="hybridMultilevel"/>
    <w:tmpl w:val="6B7C0846"/>
    <w:lvl w:ilvl="0" w:tplc="A1F6C13A">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55A0035"/>
    <w:multiLevelType w:val="hybridMultilevel"/>
    <w:tmpl w:val="7506D204"/>
    <w:lvl w:ilvl="0" w:tplc="FB96772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7BA1E3F"/>
    <w:multiLevelType w:val="hybridMultilevel"/>
    <w:tmpl w:val="785612A2"/>
    <w:lvl w:ilvl="0" w:tplc="69822E38">
      <w:start w:val="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7FD19CD"/>
    <w:multiLevelType w:val="hybridMultilevel"/>
    <w:tmpl w:val="D39A521A"/>
    <w:lvl w:ilvl="0" w:tplc="608C424C">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8141E4C"/>
    <w:multiLevelType w:val="hybridMultilevel"/>
    <w:tmpl w:val="EA1CF924"/>
    <w:lvl w:ilvl="0" w:tplc="C8F0194C">
      <w:start w:val="2"/>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9965F6D"/>
    <w:multiLevelType w:val="hybridMultilevel"/>
    <w:tmpl w:val="016E1B28"/>
    <w:lvl w:ilvl="0" w:tplc="F0C8EFF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EF926CA"/>
    <w:multiLevelType w:val="hybridMultilevel"/>
    <w:tmpl w:val="B0949BBC"/>
    <w:lvl w:ilvl="0" w:tplc="133C67D4">
      <w:start w:val="4"/>
      <w:numFmt w:val="bullet"/>
      <w:lvlText w:val="-"/>
      <w:lvlJc w:val="left"/>
      <w:pPr>
        <w:ind w:left="400" w:hanging="360"/>
      </w:pPr>
      <w:rPr>
        <w:rFonts w:ascii="Calibri" w:eastAsiaTheme="minorEastAsia" w:hAnsi="Calibri" w:cs="Calibri" w:hint="default"/>
        <w:sz w:val="16"/>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40" w15:restartNumberingAfterBreak="0">
    <w:nsid w:val="7EC92C98"/>
    <w:multiLevelType w:val="hybridMultilevel"/>
    <w:tmpl w:val="C85E3472"/>
    <w:lvl w:ilvl="0" w:tplc="27C88CE6">
      <w:start w:val="4"/>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0"/>
  </w:num>
  <w:num w:numId="13">
    <w:abstractNumId w:val="39"/>
  </w:num>
  <w:num w:numId="14">
    <w:abstractNumId w:val="12"/>
  </w:num>
  <w:num w:numId="15">
    <w:abstractNumId w:val="30"/>
  </w:num>
  <w:num w:numId="16">
    <w:abstractNumId w:val="16"/>
  </w:num>
  <w:num w:numId="17">
    <w:abstractNumId w:val="32"/>
  </w:num>
  <w:num w:numId="18">
    <w:abstractNumId w:val="34"/>
  </w:num>
  <w:num w:numId="19">
    <w:abstractNumId w:val="15"/>
  </w:num>
  <w:num w:numId="20">
    <w:abstractNumId w:val="28"/>
  </w:num>
  <w:num w:numId="21">
    <w:abstractNumId w:val="19"/>
  </w:num>
  <w:num w:numId="22">
    <w:abstractNumId w:val="37"/>
  </w:num>
  <w:num w:numId="23">
    <w:abstractNumId w:val="21"/>
  </w:num>
  <w:num w:numId="24">
    <w:abstractNumId w:val="18"/>
  </w:num>
  <w:num w:numId="25">
    <w:abstractNumId w:val="14"/>
  </w:num>
  <w:num w:numId="26">
    <w:abstractNumId w:val="27"/>
  </w:num>
  <w:num w:numId="27">
    <w:abstractNumId w:val="31"/>
  </w:num>
  <w:num w:numId="28">
    <w:abstractNumId w:val="22"/>
  </w:num>
  <w:num w:numId="29">
    <w:abstractNumId w:val="11"/>
  </w:num>
  <w:num w:numId="30">
    <w:abstractNumId w:val="33"/>
  </w:num>
  <w:num w:numId="31">
    <w:abstractNumId w:val="40"/>
  </w:num>
  <w:num w:numId="32">
    <w:abstractNumId w:val="23"/>
  </w:num>
  <w:num w:numId="33">
    <w:abstractNumId w:val="13"/>
  </w:num>
  <w:num w:numId="34">
    <w:abstractNumId w:val="35"/>
  </w:num>
  <w:num w:numId="35">
    <w:abstractNumId w:val="38"/>
  </w:num>
  <w:num w:numId="36">
    <w:abstractNumId w:val="25"/>
  </w:num>
  <w:num w:numId="37">
    <w:abstractNumId w:val="29"/>
  </w:num>
  <w:num w:numId="38">
    <w:abstractNumId w:val="26"/>
  </w:num>
  <w:num w:numId="39">
    <w:abstractNumId w:val="24"/>
  </w:num>
  <w:num w:numId="40">
    <w:abstractNumId w:val="17"/>
  </w:num>
  <w:num w:numId="41">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eator" w:val="?"/>
    <w:docVar w:name="RibbonPointer" w:val="2300537783760"/>
    <w:docVar w:name="VerbatimMac" w:val="True"/>
    <w:docVar w:name="VerbatimVersion" w:val="5.0"/>
  </w:docVars>
  <w:rsids>
    <w:rsidRoot w:val="00700D4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2406"/>
    <w:rsid w:val="001B73E3"/>
    <w:rsid w:val="001C316D"/>
    <w:rsid w:val="001D1A0D"/>
    <w:rsid w:val="001D36BF"/>
    <w:rsid w:val="001D4C28"/>
    <w:rsid w:val="001E0B1F"/>
    <w:rsid w:val="001E0C0F"/>
    <w:rsid w:val="001E1E0B"/>
    <w:rsid w:val="001F08D0"/>
    <w:rsid w:val="001F1173"/>
    <w:rsid w:val="002005A8"/>
    <w:rsid w:val="00203DD8"/>
    <w:rsid w:val="00204E1D"/>
    <w:rsid w:val="002059BD"/>
    <w:rsid w:val="00207FD8"/>
    <w:rsid w:val="00210FAF"/>
    <w:rsid w:val="00212973"/>
    <w:rsid w:val="00213B1E"/>
    <w:rsid w:val="00215284"/>
    <w:rsid w:val="002168F2"/>
    <w:rsid w:val="0022589F"/>
    <w:rsid w:val="002343FE"/>
    <w:rsid w:val="002358A1"/>
    <w:rsid w:val="00235F7B"/>
    <w:rsid w:val="002502CF"/>
    <w:rsid w:val="00267418"/>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86C78"/>
    <w:rsid w:val="003933F9"/>
    <w:rsid w:val="00395864"/>
    <w:rsid w:val="00396557"/>
    <w:rsid w:val="00397316"/>
    <w:rsid w:val="003A248F"/>
    <w:rsid w:val="003A4D9C"/>
    <w:rsid w:val="003B07E5"/>
    <w:rsid w:val="003B1668"/>
    <w:rsid w:val="003C0105"/>
    <w:rsid w:val="003C5F4C"/>
    <w:rsid w:val="003D5EA8"/>
    <w:rsid w:val="003D7B28"/>
    <w:rsid w:val="003E2BD5"/>
    <w:rsid w:val="003E305E"/>
    <w:rsid w:val="003E34DB"/>
    <w:rsid w:val="003E5302"/>
    <w:rsid w:val="003E5BF1"/>
    <w:rsid w:val="003F2452"/>
    <w:rsid w:val="003F41EA"/>
    <w:rsid w:val="003F7DF0"/>
    <w:rsid w:val="004039AF"/>
    <w:rsid w:val="00407AFF"/>
    <w:rsid w:val="0041155D"/>
    <w:rsid w:val="004170BF"/>
    <w:rsid w:val="00423255"/>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5677"/>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0D41"/>
    <w:rsid w:val="00717B01"/>
    <w:rsid w:val="007227D9"/>
    <w:rsid w:val="0072491F"/>
    <w:rsid w:val="00725598"/>
    <w:rsid w:val="007374A1"/>
    <w:rsid w:val="00740F0A"/>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6B7D"/>
    <w:rsid w:val="00A17C71"/>
    <w:rsid w:val="00A22670"/>
    <w:rsid w:val="00A24B35"/>
    <w:rsid w:val="00A271BA"/>
    <w:rsid w:val="00A27F86"/>
    <w:rsid w:val="00A431C6"/>
    <w:rsid w:val="00A54315"/>
    <w:rsid w:val="00A57511"/>
    <w:rsid w:val="00A60FBC"/>
    <w:rsid w:val="00A65C0B"/>
    <w:rsid w:val="00A776BA"/>
    <w:rsid w:val="00A81FD2"/>
    <w:rsid w:val="00A8441A"/>
    <w:rsid w:val="00A8674A"/>
    <w:rsid w:val="00A96E24"/>
    <w:rsid w:val="00AA6F6E"/>
    <w:rsid w:val="00AB122B"/>
    <w:rsid w:val="00AB21B0"/>
    <w:rsid w:val="00AB48D3"/>
    <w:rsid w:val="00AD55E4"/>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59BB"/>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602F"/>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DF7193"/>
    <w:rsid w:val="00E01DAD"/>
    <w:rsid w:val="00E021DC"/>
    <w:rsid w:val="00E03F91"/>
    <w:rsid w:val="00E064EF"/>
    <w:rsid w:val="00E064F2"/>
    <w:rsid w:val="00E0717B"/>
    <w:rsid w:val="00E15598"/>
    <w:rsid w:val="00E20D65"/>
    <w:rsid w:val="00E23503"/>
    <w:rsid w:val="00E353A2"/>
    <w:rsid w:val="00E36881"/>
    <w:rsid w:val="00E42E4C"/>
    <w:rsid w:val="00E47013"/>
    <w:rsid w:val="00E541F9"/>
    <w:rsid w:val="00E57B79"/>
    <w:rsid w:val="00E63419"/>
    <w:rsid w:val="00E64496"/>
    <w:rsid w:val="00E72115"/>
    <w:rsid w:val="00E74CD1"/>
    <w:rsid w:val="00E8322E"/>
    <w:rsid w:val="00E903E0"/>
    <w:rsid w:val="00EA1115"/>
    <w:rsid w:val="00EA39EB"/>
    <w:rsid w:val="00EA58CE"/>
    <w:rsid w:val="00EB33FF"/>
    <w:rsid w:val="00EB3D1A"/>
    <w:rsid w:val="00EC2759"/>
    <w:rsid w:val="00EC3D96"/>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33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27C9529"/>
  <w14:defaultImageDpi w14:val="300"/>
  <w15:docId w15:val="{7AD03288-77DB-F44A-B229-03642239BA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5"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AD55E4"/>
    <w:pPr>
      <w:spacing w:after="160" w:line="259" w:lineRule="auto"/>
    </w:pPr>
    <w:rPr>
      <w:rFonts w:ascii="Calibri" w:eastAsiaTheme="minorHAnsi" w:hAnsi="Calibri"/>
      <w:sz w:val="22"/>
      <w:szCs w:val="22"/>
    </w:rPr>
  </w:style>
  <w:style w:type="paragraph" w:styleId="Heading1">
    <w:name w:val="heading 1"/>
    <w:aliases w:val="Pocket"/>
    <w:basedOn w:val="Normal"/>
    <w:next w:val="Normal"/>
    <w:link w:val="Heading1Char"/>
    <w:qFormat/>
    <w:rsid w:val="00AD55E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D55E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2"/>
    <w:unhideWhenUsed/>
    <w:qFormat/>
    <w:rsid w:val="00AD55E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AD55E4"/>
    <w:pPr>
      <w:keepNext/>
      <w:keepLines/>
      <w:spacing w:before="40" w:after="0"/>
      <w:outlineLvl w:val="3"/>
    </w:pPr>
    <w:rPr>
      <w:rFonts w:eastAsiaTheme="majorEastAsia" w:cstheme="majorBidi"/>
      <w:b/>
      <w:iCs/>
      <w:sz w:val="26"/>
    </w:rPr>
  </w:style>
  <w:style w:type="paragraph" w:styleId="Heading5">
    <w:name w:val="heading 5"/>
    <w:aliases w:val="A Tagline,A Tag,Heading -1,B Tagline"/>
    <w:basedOn w:val="Normal"/>
    <w:next w:val="Normal"/>
    <w:link w:val="Heading5Char"/>
    <w:autoRedefine/>
    <w:uiPriority w:val="9"/>
    <w:unhideWhenUsed/>
    <w:qFormat/>
    <w:rsid w:val="00700D41"/>
    <w:pPr>
      <w:keepNext/>
      <w:keepLines/>
      <w:spacing w:before="40" w:after="0"/>
      <w:outlineLvl w:val="4"/>
    </w:pPr>
    <w:rPr>
      <w:rFonts w:asciiTheme="majorHAnsi" w:eastAsiaTheme="majorEastAsia" w:hAnsiTheme="majorHAnsi" w:cstheme="majorBidi"/>
      <w:b/>
      <w:color w:val="000000" w:themeColor="text1"/>
      <w:sz w:val="28"/>
    </w:rPr>
  </w:style>
  <w:style w:type="paragraph" w:styleId="Heading6">
    <w:name w:val="heading 6"/>
    <w:aliases w:val="D Tagline"/>
    <w:basedOn w:val="Normal"/>
    <w:next w:val="Normal"/>
    <w:link w:val="Heading6Char"/>
    <w:autoRedefine/>
    <w:uiPriority w:val="9"/>
    <w:unhideWhenUsed/>
    <w:qFormat/>
    <w:rsid w:val="00700D41"/>
    <w:pPr>
      <w:keepNext/>
      <w:keepLines/>
      <w:spacing w:before="40" w:after="0"/>
      <w:outlineLvl w:val="5"/>
    </w:pPr>
    <w:rPr>
      <w:rFonts w:asciiTheme="majorHAnsi" w:eastAsiaTheme="majorEastAsia" w:hAnsiTheme="majorHAnsi" w:cstheme="majorBidi"/>
      <w:b/>
      <w:color w:val="000000" w:themeColor="text1"/>
      <w:sz w:val="28"/>
    </w:rPr>
  </w:style>
  <w:style w:type="paragraph" w:styleId="Heading7">
    <w:name w:val="heading 7"/>
    <w:basedOn w:val="Normal"/>
    <w:next w:val="Normal"/>
    <w:link w:val="Heading7Char"/>
    <w:uiPriority w:val="9"/>
    <w:unhideWhenUsed/>
    <w:qFormat/>
    <w:rsid w:val="00700D41"/>
    <w:pPr>
      <w:keepNext/>
      <w:keepLines/>
      <w:spacing w:before="40" w:after="0"/>
      <w:outlineLvl w:val="6"/>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rsid w:val="00AD55E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D55E4"/>
  </w:style>
  <w:style w:type="character" w:customStyle="1" w:styleId="Heading1Char">
    <w:name w:val="Heading 1 Char"/>
    <w:aliases w:val="Pocket Char"/>
    <w:basedOn w:val="DefaultParagraphFont"/>
    <w:link w:val="Heading1"/>
    <w:rsid w:val="00AD55E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D55E4"/>
    <w:rPr>
      <w:rFonts w:ascii="Calibri" w:eastAsiaTheme="majorEastAsia" w:hAnsi="Calibri" w:cstheme="majorBidi"/>
      <w:b/>
      <w:sz w:val="44"/>
      <w:szCs w:val="26"/>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2"/>
    <w:rsid w:val="00AD55E4"/>
    <w:rPr>
      <w:rFonts w:ascii="Calibri" w:eastAsiaTheme="majorEastAsia" w:hAnsi="Calibri" w:cstheme="majorBidi"/>
      <w:b/>
      <w:sz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AD55E4"/>
    <w:rPr>
      <w:rFonts w:ascii="Calibri" w:eastAsiaTheme="majorEastAsia" w:hAnsi="Calibri" w:cstheme="majorBidi"/>
      <w:b/>
      <w:iCs/>
      <w:sz w:val="26"/>
      <w:szCs w:val="22"/>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D55E4"/>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6"/>
    <w:qFormat/>
    <w:rsid w:val="00AD55E4"/>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s,B"/>
    <w:basedOn w:val="DefaultParagraphFont"/>
    <w:link w:val="textbold"/>
    <w:uiPriority w:val="7"/>
    <w:qFormat/>
    <w:rsid w:val="00AD55E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D55E4"/>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AD55E4"/>
    <w:rPr>
      <w:color w:val="auto"/>
      <w:u w:val="none"/>
    </w:rPr>
  </w:style>
  <w:style w:type="paragraph" w:styleId="DocumentMap">
    <w:name w:val="Document Map"/>
    <w:basedOn w:val="Normal"/>
    <w:link w:val="DocumentMapChar"/>
    <w:uiPriority w:val="99"/>
    <w:semiHidden/>
    <w:unhideWhenUsed/>
    <w:rsid w:val="00700D4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00D41"/>
    <w:rPr>
      <w:rFonts w:ascii="Lucida Grande" w:hAnsi="Lucida Grande" w:cs="Lucida Grande"/>
    </w:rPr>
  </w:style>
  <w:style w:type="character" w:customStyle="1" w:styleId="Heading5Char">
    <w:name w:val="Heading 5 Char"/>
    <w:aliases w:val="A Tagline Char,A Tag Char,Heading -1 Char,B Tagline Char"/>
    <w:basedOn w:val="DefaultParagraphFont"/>
    <w:link w:val="Heading5"/>
    <w:uiPriority w:val="9"/>
    <w:rsid w:val="00700D41"/>
    <w:rPr>
      <w:rFonts w:asciiTheme="majorHAnsi" w:eastAsiaTheme="majorEastAsia" w:hAnsiTheme="majorHAnsi" w:cstheme="majorBidi"/>
      <w:b/>
      <w:color w:val="000000" w:themeColor="text1"/>
      <w:sz w:val="28"/>
    </w:rPr>
  </w:style>
  <w:style w:type="character" w:customStyle="1" w:styleId="Heading6Char">
    <w:name w:val="Heading 6 Char"/>
    <w:aliases w:val="D Tagline Char"/>
    <w:basedOn w:val="DefaultParagraphFont"/>
    <w:link w:val="Heading6"/>
    <w:uiPriority w:val="9"/>
    <w:rsid w:val="00700D41"/>
    <w:rPr>
      <w:rFonts w:asciiTheme="majorHAnsi" w:eastAsiaTheme="majorEastAsia" w:hAnsiTheme="majorHAnsi" w:cstheme="majorBidi"/>
      <w:b/>
      <w:color w:val="000000" w:themeColor="text1"/>
      <w:sz w:val="28"/>
    </w:rPr>
  </w:style>
  <w:style w:type="character" w:customStyle="1" w:styleId="Heading7Char">
    <w:name w:val="Heading 7 Char"/>
    <w:basedOn w:val="DefaultParagraphFont"/>
    <w:link w:val="Heading7"/>
    <w:uiPriority w:val="9"/>
    <w:rsid w:val="00700D41"/>
    <w:rPr>
      <w:rFonts w:asciiTheme="majorHAnsi" w:eastAsiaTheme="majorEastAsia" w:hAnsiTheme="majorHAnsi" w:cstheme="majorBidi"/>
      <w:i/>
      <w:iCs/>
      <w:color w:val="243F60" w:themeColor="accent1" w:themeShade="7F"/>
      <w:sz w:val="22"/>
    </w:rPr>
  </w:style>
  <w:style w:type="paragraph" w:customStyle="1" w:styleId="textbold">
    <w:name w:val="text bold"/>
    <w:basedOn w:val="Normal"/>
    <w:link w:val="Emphasis"/>
    <w:uiPriority w:val="7"/>
    <w:qFormat/>
    <w:rsid w:val="00700D41"/>
    <w:pPr>
      <w:pBdr>
        <w:top w:val="single" w:sz="8" w:space="0" w:color="auto"/>
        <w:left w:val="single" w:sz="8" w:space="0" w:color="auto"/>
        <w:bottom w:val="single" w:sz="8" w:space="0" w:color="auto"/>
        <w:right w:val="single" w:sz="8" w:space="0" w:color="auto"/>
      </w:pBdr>
      <w:spacing w:line="256" w:lineRule="auto"/>
      <w:ind w:left="720"/>
      <w:jc w:val="both"/>
    </w:pPr>
    <w:rPr>
      <w:rFonts w:eastAsiaTheme="minorEastAsia"/>
      <w:b/>
      <w:iCs/>
      <w:szCs w:val="24"/>
      <w:u w:val="single"/>
    </w:rPr>
  </w:style>
  <w:style w:type="paragraph" w:styleId="ListParagraph">
    <w:name w:val="List Paragraph"/>
    <w:aliases w:val="6 font"/>
    <w:basedOn w:val="Normal"/>
    <w:uiPriority w:val="34"/>
    <w:qFormat/>
    <w:rsid w:val="00700D41"/>
    <w:pPr>
      <w:ind w:left="720"/>
      <w:contextualSpacing/>
    </w:pPr>
  </w:style>
  <w:style w:type="character" w:customStyle="1" w:styleId="UnresolvedMention">
    <w:name w:val="Unresolved Mention"/>
    <w:basedOn w:val="DefaultParagraphFont"/>
    <w:uiPriority w:val="99"/>
    <w:semiHidden/>
    <w:unhideWhenUsed/>
    <w:rsid w:val="00700D41"/>
    <w:rPr>
      <w:color w:val="605E5C"/>
      <w:shd w:val="clear" w:color="auto" w:fill="E1DFDD"/>
    </w:rPr>
  </w:style>
  <w:style w:type="character" w:styleId="FootnoteReference">
    <w:name w:val="footnote reference"/>
    <w:aliases w:val="FN Ref,footnote reference,fr,o,FR,(NECG) Footnote Reference"/>
    <w:basedOn w:val="DefaultParagraphFont"/>
    <w:uiPriority w:val="99"/>
    <w:unhideWhenUsed/>
    <w:qFormat/>
    <w:rsid w:val="00700D41"/>
    <w:rPr>
      <w:vertAlign w:val="superscript"/>
    </w:rPr>
  </w:style>
  <w:style w:type="paragraph" w:styleId="FootnoteText">
    <w:name w:val="footnote text"/>
    <w:basedOn w:val="Normal"/>
    <w:link w:val="FootnoteTextChar"/>
    <w:uiPriority w:val="99"/>
    <w:unhideWhenUsed/>
    <w:qFormat/>
    <w:rsid w:val="00700D41"/>
    <w:rPr>
      <w:rFonts w:ascii="Georgia" w:hAnsi="Georgia"/>
    </w:rPr>
  </w:style>
  <w:style w:type="character" w:customStyle="1" w:styleId="FootnoteTextChar">
    <w:name w:val="Footnote Text Char"/>
    <w:basedOn w:val="DefaultParagraphFont"/>
    <w:link w:val="FootnoteText"/>
    <w:uiPriority w:val="99"/>
    <w:rsid w:val="00700D41"/>
    <w:rPr>
      <w:rFonts w:ascii="Georgia" w:hAnsi="Georgia"/>
      <w:sz w:val="22"/>
    </w:rPr>
  </w:style>
  <w:style w:type="character" w:customStyle="1" w:styleId="underline">
    <w:name w:val="underline"/>
    <w:qFormat/>
    <w:rsid w:val="00700D41"/>
    <w:rPr>
      <w:b/>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700D41"/>
    <w:rPr>
      <w:rFonts w:eastAsiaTheme="minorHAnsi"/>
      <w:sz w:val="22"/>
      <w:szCs w:val="22"/>
      <w:u w:val="single"/>
    </w:rPr>
  </w:style>
  <w:style w:type="paragraph" w:customStyle="1" w:styleId="card0">
    <w:name w:val="card"/>
    <w:aliases w:val="Medium Grid 21"/>
    <w:basedOn w:val="Normal"/>
    <w:next w:val="Normal"/>
    <w:link w:val="cardChar"/>
    <w:uiPriority w:val="1"/>
    <w:qFormat/>
    <w:rsid w:val="00700D41"/>
    <w:pPr>
      <w:ind w:left="288" w:right="288"/>
    </w:pPr>
    <w:rPr>
      <w:sz w:val="16"/>
      <w:szCs w:val="20"/>
    </w:rPr>
  </w:style>
  <w:style w:type="character" w:customStyle="1" w:styleId="cardChar">
    <w:name w:val="card Char"/>
    <w:basedOn w:val="DefaultParagraphFont"/>
    <w:link w:val="card0"/>
    <w:uiPriority w:val="1"/>
    <w:rsid w:val="00700D41"/>
    <w:rPr>
      <w:rFonts w:ascii="Calibri" w:hAnsi="Calibri"/>
      <w:sz w:val="16"/>
      <w:szCs w:val="20"/>
    </w:rPr>
  </w:style>
  <w:style w:type="paragraph" w:customStyle="1" w:styleId="Underline2">
    <w:name w:val="Underline2"/>
    <w:basedOn w:val="Normal"/>
    <w:link w:val="Underline2Char"/>
    <w:autoRedefine/>
    <w:uiPriority w:val="4"/>
    <w:qFormat/>
    <w:rsid w:val="00700D41"/>
    <w:rPr>
      <w:b/>
      <w:u w:val="single"/>
    </w:rPr>
  </w:style>
  <w:style w:type="character" w:customStyle="1" w:styleId="Underline2Char">
    <w:name w:val="Underline2 Char"/>
    <w:basedOn w:val="DefaultParagraphFont"/>
    <w:link w:val="Underline2"/>
    <w:uiPriority w:val="4"/>
    <w:rsid w:val="00700D41"/>
    <w:rPr>
      <w:rFonts w:ascii="Calibri" w:hAnsi="Calibri"/>
      <w:b/>
      <w:sz w:val="22"/>
      <w:u w:val="single"/>
    </w:rPr>
  </w:style>
  <w:style w:type="character" w:customStyle="1" w:styleId="apple-converted-space">
    <w:name w:val="apple-converted-space"/>
    <w:basedOn w:val="DefaultParagraphFont"/>
    <w:rsid w:val="00700D41"/>
  </w:style>
  <w:style w:type="character" w:customStyle="1" w:styleId="grame">
    <w:name w:val="grame"/>
    <w:basedOn w:val="DefaultParagraphFont"/>
    <w:rsid w:val="00700D41"/>
  </w:style>
  <w:style w:type="character" w:customStyle="1" w:styleId="spelle">
    <w:name w:val="spelle"/>
    <w:basedOn w:val="DefaultParagraphFont"/>
    <w:rsid w:val="00700D41"/>
  </w:style>
  <w:style w:type="paragraph" w:customStyle="1" w:styleId="SmallText">
    <w:name w:val="Small Text"/>
    <w:next w:val="NoSpacing"/>
    <w:autoRedefine/>
    <w:qFormat/>
    <w:rsid w:val="00700D41"/>
    <w:rPr>
      <w:rFonts w:ascii="Calibri" w:eastAsia="Times New Roman" w:hAnsi="Calibri" w:cs="Times New Roman"/>
      <w:sz w:val="16"/>
      <w:szCs w:val="20"/>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tag,Clear,Note Level 21"/>
    <w:link w:val="NoSpacingChar"/>
    <w:uiPriority w:val="99"/>
    <w:qFormat/>
    <w:rsid w:val="00700D41"/>
    <w:rPr>
      <w:rFonts w:ascii="Calibri" w:hAnsi="Calibri" w:cs="Calibri"/>
      <w:sz w:val="22"/>
    </w:rPr>
  </w:style>
  <w:style w:type="paragraph" w:customStyle="1" w:styleId="UnderlinePara">
    <w:name w:val="Underline Para"/>
    <w:basedOn w:val="Normal"/>
    <w:uiPriority w:val="1"/>
    <w:qFormat/>
    <w:rsid w:val="00700D41"/>
    <w:pPr>
      <w:widowControl w:val="0"/>
      <w:suppressAutoHyphens/>
      <w:spacing w:after="200" w:line="256" w:lineRule="auto"/>
      <w:contextualSpacing/>
    </w:pPr>
    <w:rPr>
      <w:rFonts w:asciiTheme="minorHAnsi" w:hAnsiTheme="minorHAnsi"/>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rsid w:val="00700D41"/>
    <w:pPr>
      <w:spacing w:before="100" w:beforeAutospacing="1" w:after="100" w:afterAutospacing="1"/>
    </w:pPr>
    <w:rPr>
      <w:lang w:eastAsia="zh-CN"/>
    </w:rPr>
  </w:style>
  <w:style w:type="character" w:styleId="Strong">
    <w:name w:val="Strong"/>
    <w:basedOn w:val="DefaultParagraphFont"/>
    <w:uiPriority w:val="22"/>
    <w:qFormat/>
    <w:rsid w:val="00700D41"/>
    <w:rPr>
      <w:b/>
      <w:bCs/>
    </w:rPr>
  </w:style>
  <w:style w:type="character" w:customStyle="1" w:styleId="LinedDown">
    <w:name w:val="Lined Down"/>
    <w:qFormat/>
    <w:rsid w:val="00700D41"/>
    <w:rPr>
      <w:rFonts w:cs="Times New Roman"/>
      <w:b w:val="0"/>
      <w:bCs w:val="0"/>
      <w:i w:val="0"/>
      <w:iCs w:val="0"/>
      <w:color w:val="000000"/>
      <w:sz w:val="12"/>
      <w:szCs w:val="12"/>
      <w:u w:val="none"/>
    </w:rPr>
  </w:style>
  <w:style w:type="paragraph" w:customStyle="1" w:styleId="Emphasis1">
    <w:name w:val="Emphasis1"/>
    <w:basedOn w:val="Normal"/>
    <w:autoRedefine/>
    <w:uiPriority w:val="20"/>
    <w:qFormat/>
    <w:rsid w:val="00700D41"/>
    <w:pPr>
      <w:pBdr>
        <w:top w:val="single" w:sz="4" w:space="1" w:color="auto"/>
        <w:left w:val="single" w:sz="4" w:space="4" w:color="auto"/>
        <w:bottom w:val="single" w:sz="4" w:space="1" w:color="auto"/>
        <w:right w:val="single" w:sz="4" w:space="4" w:color="auto"/>
      </w:pBdr>
      <w:ind w:left="720"/>
      <w:jc w:val="both"/>
    </w:pPr>
    <w:rPr>
      <w:b/>
      <w:iCs/>
      <w:sz w:val="26"/>
      <w:u w:val="single"/>
    </w:rPr>
  </w:style>
  <w:style w:type="character" w:customStyle="1" w:styleId="Emph">
    <w:name w:val="Emph"/>
    <w:uiPriority w:val="1"/>
    <w:qFormat/>
    <w:rsid w:val="00700D41"/>
    <w:rPr>
      <w:rFonts w:ascii="Arial" w:hAnsi="Arial"/>
      <w:b/>
      <w:sz w:val="20"/>
      <w:u w:val="single"/>
      <w:bdr w:val="single" w:sz="8" w:space="0" w:color="auto"/>
    </w:rPr>
  </w:style>
  <w:style w:type="paragraph" w:customStyle="1" w:styleId="Body">
    <w:name w:val="Body"/>
    <w:autoRedefine/>
    <w:rsid w:val="00700D41"/>
    <w:rPr>
      <w:rFonts w:ascii="Times New Roman" w:eastAsia="ヒラギノ角ゴ Pro W3" w:hAnsi="Times New Roman" w:cs="Times New Roman"/>
      <w:color w:val="000000"/>
      <w:szCs w:val="20"/>
    </w:rPr>
  </w:style>
  <w:style w:type="paragraph" w:customStyle="1" w:styleId="Emphasize">
    <w:name w:val="Emphasize"/>
    <w:basedOn w:val="Normal"/>
    <w:uiPriority w:val="20"/>
    <w:qFormat/>
    <w:rsid w:val="00700D41"/>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customStyle="1" w:styleId="Card">
    <w:name w:val="Card"/>
    <w:aliases w:val="No Spacing3,No Spacing111,No Spacing112,No Spacing1121,nonunderlined,Tags,tags,No Spacing111112,No Spacing11,Read stuff,Tag and Ci,Debate Text,No Spacing1,Note Level 2,No Spacing23,No Spacing1111,No Spacing11211,ca,No Spacing13,No Spacing5"/>
    <w:basedOn w:val="Heading1"/>
    <w:link w:val="Hyperlink"/>
    <w:autoRedefine/>
    <w:uiPriority w:val="99"/>
    <w:qFormat/>
    <w:rsid w:val="00700D4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sz w:val="24"/>
      <w:szCs w:val="24"/>
    </w:rPr>
  </w:style>
  <w:style w:type="character" w:customStyle="1" w:styleId="st">
    <w:name w:val="st"/>
    <w:basedOn w:val="DefaultParagraphFont"/>
    <w:rsid w:val="00700D41"/>
  </w:style>
  <w:style w:type="character" w:customStyle="1" w:styleId="FontStyle39">
    <w:name w:val="Font Style39"/>
    <w:uiPriority w:val="99"/>
    <w:rsid w:val="00700D41"/>
    <w:rPr>
      <w:rFonts w:ascii="Constantia" w:hAnsi="Constantia" w:cs="Constantia"/>
      <w:b/>
      <w:bCs/>
      <w:sz w:val="18"/>
      <w:szCs w:val="18"/>
    </w:rPr>
  </w:style>
  <w:style w:type="character" w:customStyle="1" w:styleId="CharChar7">
    <w:name w:val="Char Char7"/>
    <w:rsid w:val="00700D41"/>
    <w:rPr>
      <w:rFonts w:cs="Arial"/>
      <w:bCs/>
      <w:sz w:val="16"/>
      <w:szCs w:val="26"/>
      <w:lang w:val="en-US" w:eastAsia="en-US" w:bidi="ar-SA"/>
    </w:rPr>
  </w:style>
  <w:style w:type="character" w:customStyle="1" w:styleId="TitleChar">
    <w:name w:val="Title Char"/>
    <w:aliases w:val="Bold Underlined Char,UNDERLINE Char,Cites and Cards Char,title Char,Block Heading Char1,Read This Char1,Heading 0 Char,Non Read Text Char1,Debate Normal Char"/>
    <w:basedOn w:val="DefaultParagraphFont"/>
    <w:link w:val="Title"/>
    <w:uiPriority w:val="1"/>
    <w:qFormat/>
    <w:rsid w:val="00700D41"/>
    <w:rPr>
      <w:sz w:val="22"/>
      <w:u w:val="single"/>
    </w:rPr>
  </w:style>
  <w:style w:type="paragraph" w:styleId="Title">
    <w:name w:val="Title"/>
    <w:aliases w:val="Bold Underlined,UNDERLINE,Cites and Cards,title,Block Heading,Read This,Heading 0,Non Read Text,Debate Normal"/>
    <w:basedOn w:val="Normal"/>
    <w:next w:val="Normal"/>
    <w:link w:val="TitleChar"/>
    <w:uiPriority w:val="1"/>
    <w:qFormat/>
    <w:rsid w:val="00700D41"/>
    <w:pPr>
      <w:outlineLvl w:val="0"/>
    </w:pPr>
    <w:rPr>
      <w:rFonts w:asciiTheme="minorHAnsi" w:hAnsiTheme="minorHAnsi"/>
      <w:u w:val="single"/>
    </w:rPr>
  </w:style>
  <w:style w:type="character" w:customStyle="1" w:styleId="TitleChar1">
    <w:name w:val="Title Char1"/>
    <w:basedOn w:val="DefaultParagraphFont"/>
    <w:uiPriority w:val="99"/>
    <w:rsid w:val="00700D41"/>
    <w:rPr>
      <w:rFonts w:asciiTheme="majorHAnsi" w:eastAsiaTheme="majorEastAsia" w:hAnsiTheme="majorHAnsi" w:cstheme="majorBidi"/>
      <w:spacing w:val="-10"/>
      <w:kern w:val="28"/>
      <w:sz w:val="56"/>
      <w:szCs w:val="56"/>
    </w:rPr>
  </w:style>
  <w:style w:type="character" w:customStyle="1" w:styleId="BoldUnderlineChar">
    <w:name w:val="Bold Underline Char"/>
    <w:uiPriority w:val="4"/>
    <w:locked/>
    <w:rsid w:val="00700D41"/>
    <w:rPr>
      <w:rFonts w:ascii="Times New Roman" w:eastAsia="Times New Roman" w:hAnsi="Times New Roman" w:cs="Times New Roman"/>
      <w:b/>
      <w:bCs/>
      <w:sz w:val="20"/>
      <w:u w:val="single"/>
    </w:rPr>
  </w:style>
  <w:style w:type="character" w:customStyle="1" w:styleId="cite">
    <w:name w:val="cite"/>
    <w:rsid w:val="00700D41"/>
    <w:rPr>
      <w:rFonts w:ascii="Times New Roman" w:hAnsi="Times New Roman"/>
      <w:b/>
      <w:sz w:val="24"/>
    </w:rPr>
  </w:style>
  <w:style w:type="paragraph" w:styleId="Revision">
    <w:name w:val="Revision"/>
    <w:hidden/>
    <w:uiPriority w:val="99"/>
    <w:semiHidden/>
    <w:rsid w:val="00700D41"/>
    <w:rPr>
      <w:rFonts w:ascii="Calibri" w:hAnsi="Calibri" w:cs="Arial"/>
      <w:sz w:val="22"/>
    </w:rPr>
  </w:style>
  <w:style w:type="character" w:customStyle="1" w:styleId="skimlinks-unlinked">
    <w:name w:val="skimlinks-unlinked"/>
    <w:basedOn w:val="DefaultParagraphFont"/>
    <w:rsid w:val="00700D41"/>
  </w:style>
  <w:style w:type="character" w:customStyle="1" w:styleId="BalloonTextChar">
    <w:name w:val="Balloon Text Char"/>
    <w:basedOn w:val="DefaultParagraphFont"/>
    <w:link w:val="BalloonText"/>
    <w:uiPriority w:val="99"/>
    <w:semiHidden/>
    <w:rsid w:val="00700D41"/>
    <w:rPr>
      <w:rFonts w:ascii="Lucida Grande" w:eastAsiaTheme="minorHAnsi" w:hAnsi="Lucida Grande" w:cs="Lucida Grande"/>
      <w:sz w:val="18"/>
      <w:szCs w:val="18"/>
    </w:rPr>
  </w:style>
  <w:style w:type="paragraph" w:styleId="BalloonText">
    <w:name w:val="Balloon Text"/>
    <w:basedOn w:val="Normal"/>
    <w:link w:val="BalloonTextChar"/>
    <w:uiPriority w:val="99"/>
    <w:semiHidden/>
    <w:unhideWhenUsed/>
    <w:rsid w:val="00700D41"/>
    <w:rPr>
      <w:rFonts w:ascii="Lucida Grande" w:hAnsi="Lucida Grande" w:cs="Lucida Grande"/>
      <w:sz w:val="18"/>
      <w:szCs w:val="18"/>
    </w:rPr>
  </w:style>
  <w:style w:type="character" w:customStyle="1" w:styleId="BalloonTextChar1">
    <w:name w:val="Balloon Text Char1"/>
    <w:basedOn w:val="DefaultParagraphFont"/>
    <w:uiPriority w:val="99"/>
    <w:semiHidden/>
    <w:rsid w:val="00700D41"/>
    <w:rPr>
      <w:rFonts w:ascii="Times New Roman" w:hAnsi="Times New Roman" w:cs="Times New Roman"/>
      <w:sz w:val="18"/>
      <w:szCs w:val="18"/>
    </w:rPr>
  </w:style>
  <w:style w:type="paragraph" w:customStyle="1" w:styleId="Nothing">
    <w:name w:val="Nothing"/>
    <w:link w:val="NothingChar"/>
    <w:qFormat/>
    <w:rsid w:val="00700D41"/>
    <w:pPr>
      <w:jc w:val="both"/>
    </w:pPr>
    <w:rPr>
      <w:rFonts w:ascii="Times New Roman" w:eastAsia="Times New Roman" w:hAnsi="Times New Roman" w:cs="Times New Roman"/>
      <w:sz w:val="20"/>
    </w:rPr>
  </w:style>
  <w:style w:type="character" w:customStyle="1" w:styleId="NothingChar">
    <w:name w:val="Nothing Char"/>
    <w:link w:val="Nothing"/>
    <w:locked/>
    <w:rsid w:val="00700D41"/>
    <w:rPr>
      <w:rFonts w:ascii="Times New Roman" w:eastAsia="Times New Roman" w:hAnsi="Times New Roman" w:cs="Times New Roman"/>
      <w:sz w:val="20"/>
    </w:rPr>
  </w:style>
  <w:style w:type="paragraph" w:customStyle="1" w:styleId="slate-paragraph">
    <w:name w:val="slate-paragraph"/>
    <w:basedOn w:val="Normal"/>
    <w:rsid w:val="00700D41"/>
    <w:pPr>
      <w:spacing w:before="100" w:beforeAutospacing="1" w:after="100" w:afterAutospacing="1"/>
    </w:pPr>
    <w:rPr>
      <w:rFonts w:cs="Arial"/>
    </w:rPr>
  </w:style>
  <w:style w:type="paragraph" w:customStyle="1" w:styleId="megaarticlebodyfirst-p2htdt">
    <w:name w:val="megaarticlebody_first-p_2htdt"/>
    <w:basedOn w:val="Normal"/>
    <w:rsid w:val="00700D41"/>
    <w:pPr>
      <w:spacing w:before="100" w:beforeAutospacing="1" w:after="100" w:afterAutospacing="1"/>
    </w:pPr>
  </w:style>
  <w:style w:type="paragraph" w:customStyle="1" w:styleId="p1">
    <w:name w:val="p1"/>
    <w:basedOn w:val="Normal"/>
    <w:rsid w:val="00700D41"/>
    <w:rPr>
      <w:rFonts w:cs="Arial"/>
      <w:sz w:val="20"/>
      <w:szCs w:val="20"/>
    </w:rPr>
  </w:style>
  <w:style w:type="paragraph" w:customStyle="1" w:styleId="underlined">
    <w:name w:val="underlined"/>
    <w:next w:val="Normal"/>
    <w:link w:val="underlinedChar"/>
    <w:autoRedefine/>
    <w:rsid w:val="00700D41"/>
    <w:pPr>
      <w:contextualSpacing/>
    </w:pPr>
    <w:rPr>
      <w:rFonts w:ascii="Times New Roman" w:eastAsia="Malgun Gothic" w:hAnsi="Times New Roman" w:cs="Times New Roman"/>
      <w:u w:val="single"/>
    </w:rPr>
  </w:style>
  <w:style w:type="character" w:customStyle="1" w:styleId="underlinedChar">
    <w:name w:val="underlined Char"/>
    <w:link w:val="underlined"/>
    <w:rsid w:val="00700D41"/>
    <w:rPr>
      <w:rFonts w:ascii="Times New Roman" w:eastAsia="Malgun Gothic" w:hAnsi="Times New Roman" w:cs="Times New Roman"/>
      <w:u w:val="single"/>
    </w:rPr>
  </w:style>
  <w:style w:type="paragraph" w:customStyle="1" w:styleId="Small">
    <w:name w:val="Small"/>
    <w:basedOn w:val="Normal"/>
    <w:link w:val="SmallChar"/>
    <w:rsid w:val="00700D41"/>
    <w:rPr>
      <w:rFonts w:eastAsia="MS Mincho"/>
      <w:sz w:val="16"/>
    </w:rPr>
  </w:style>
  <w:style w:type="character" w:customStyle="1" w:styleId="SmallChar">
    <w:name w:val="Small Char"/>
    <w:basedOn w:val="DefaultParagraphFont"/>
    <w:link w:val="Small"/>
    <w:rsid w:val="00700D41"/>
    <w:rPr>
      <w:rFonts w:ascii="Calibri" w:eastAsia="MS Mincho" w:hAnsi="Calibri"/>
      <w:sz w:val="16"/>
    </w:rPr>
  </w:style>
  <w:style w:type="character" w:customStyle="1" w:styleId="underlineChar">
    <w:name w:val="underline Char"/>
    <w:basedOn w:val="DefaultParagraphFont"/>
    <w:rsid w:val="00700D41"/>
    <w:rPr>
      <w:rFonts w:ascii="Times New Roman" w:eastAsia="MS Mincho" w:hAnsi="Times New Roman" w:cs="Times New Roman"/>
      <w:sz w:val="20"/>
      <w:u w:val="single"/>
    </w:rPr>
  </w:style>
  <w:style w:type="character" w:customStyle="1" w:styleId="Minimize">
    <w:name w:val="Minimize"/>
    <w:uiPriority w:val="1"/>
    <w:qFormat/>
    <w:rsid w:val="00700D41"/>
    <w:rPr>
      <w:rFonts w:asciiTheme="minorHAnsi" w:hAnsiTheme="minorHAnsi"/>
      <w:sz w:val="16"/>
    </w:rPr>
  </w:style>
  <w:style w:type="character" w:customStyle="1" w:styleId="LDCut">
    <w:name w:val="LD Cut"/>
    <w:basedOn w:val="DefaultParagraphFont"/>
    <w:uiPriority w:val="1"/>
    <w:qFormat/>
    <w:rsid w:val="00700D41"/>
    <w:rPr>
      <w:rFonts w:ascii="Times New Roman" w:hAnsi="Times New Roman"/>
      <w:b w:val="0"/>
      <w:color w:val="auto"/>
      <w:sz w:val="12"/>
    </w:rPr>
  </w:style>
  <w:style w:type="character" w:customStyle="1" w:styleId="LDUnderline">
    <w:name w:val="LD Underline"/>
    <w:basedOn w:val="DefaultParagraphFont"/>
    <w:uiPriority w:val="1"/>
    <w:qFormat/>
    <w:rsid w:val="00700D41"/>
    <w:rPr>
      <w:rFonts w:ascii="Times New Roman" w:hAnsi="Times New Roman" w:cs="Times New Roman"/>
      <w:b/>
      <w:color w:val="auto"/>
      <w:sz w:val="24"/>
      <w:u w:val="single"/>
    </w:rPr>
  </w:style>
  <w:style w:type="paragraph" w:customStyle="1" w:styleId="Citation">
    <w:name w:val="Citation"/>
    <w:basedOn w:val="Normal"/>
    <w:rsid w:val="00700D41"/>
    <w:rPr>
      <w:sz w:val="26"/>
    </w:rPr>
  </w:style>
  <w:style w:type="paragraph" w:customStyle="1" w:styleId="Shrink6">
    <w:name w:val="Shrink 6"/>
    <w:basedOn w:val="Normal"/>
    <w:qFormat/>
    <w:rsid w:val="00700D41"/>
    <w:rPr>
      <w:rFonts w:ascii="Georgia" w:eastAsia="Calibri" w:hAnsi="Georgia"/>
      <w:sz w:val="12"/>
    </w:rPr>
  </w:style>
  <w:style w:type="paragraph" w:customStyle="1" w:styleId="Scrunched">
    <w:name w:val="Scrunched"/>
    <w:basedOn w:val="Normal"/>
    <w:next w:val="Normal"/>
    <w:qFormat/>
    <w:rsid w:val="00700D41"/>
  </w:style>
  <w:style w:type="character" w:customStyle="1" w:styleId="ReadCard">
    <w:name w:val="ReadCard"/>
    <w:uiPriority w:val="1"/>
    <w:qFormat/>
    <w:rsid w:val="00700D41"/>
    <w:rPr>
      <w:rFonts w:ascii="Times New Roman" w:hAnsi="Times New Roman"/>
      <w:b/>
      <w:sz w:val="24"/>
      <w:u w:val="single"/>
    </w:rPr>
  </w:style>
  <w:style w:type="character" w:customStyle="1" w:styleId="Style1Char">
    <w:name w:val="Style1 Char"/>
    <w:rsid w:val="00700D41"/>
    <w:rPr>
      <w:rFonts w:ascii="Times New Roman" w:eastAsia="SimSun" w:hAnsi="Times New Roman"/>
      <w:szCs w:val="24"/>
      <w:u w:val="single"/>
      <w:lang w:eastAsia="zh-CN"/>
    </w:rPr>
  </w:style>
  <w:style w:type="paragraph" w:customStyle="1" w:styleId="Style4">
    <w:name w:val="Style4"/>
    <w:basedOn w:val="Normal"/>
    <w:link w:val="Style4Char"/>
    <w:rsid w:val="00700D41"/>
    <w:rPr>
      <w:sz w:val="20"/>
      <w:u w:val="single"/>
    </w:rPr>
  </w:style>
  <w:style w:type="character" w:customStyle="1" w:styleId="Style4Char">
    <w:name w:val="Style4 Char"/>
    <w:link w:val="Style4"/>
    <w:rsid w:val="00700D41"/>
    <w:rPr>
      <w:rFonts w:ascii="Calibri" w:hAnsi="Calibri"/>
      <w:sz w:val="20"/>
      <w:u w:val="single"/>
    </w:rPr>
  </w:style>
  <w:style w:type="character" w:customStyle="1" w:styleId="Style11ptUnderline">
    <w:name w:val="Style 11 pt Underline"/>
    <w:rsid w:val="00700D41"/>
    <w:rPr>
      <w:sz w:val="20"/>
      <w:u w:val="single"/>
    </w:rPr>
  </w:style>
  <w:style w:type="paragraph" w:customStyle="1" w:styleId="StyleStyle411pt">
    <w:name w:val="Style Style4 + 11 pt"/>
    <w:basedOn w:val="Style4"/>
    <w:link w:val="StyleStyle411ptChar"/>
    <w:rsid w:val="00700D41"/>
  </w:style>
  <w:style w:type="character" w:customStyle="1" w:styleId="StyleStyle411ptChar">
    <w:name w:val="Style Style4 + 11 pt Char"/>
    <w:link w:val="StyleStyle411pt"/>
    <w:rsid w:val="00700D41"/>
    <w:rPr>
      <w:rFonts w:ascii="Calibri" w:hAnsi="Calibri"/>
      <w:sz w:val="20"/>
      <w:u w:val="single"/>
    </w:rPr>
  </w:style>
  <w:style w:type="paragraph" w:customStyle="1" w:styleId="StyleStyle411ptBold">
    <w:name w:val="Style Style4 + 11 pt Bold"/>
    <w:basedOn w:val="Style4"/>
    <w:link w:val="StyleStyle411ptBoldChar"/>
    <w:rsid w:val="00700D41"/>
    <w:rPr>
      <w:b/>
      <w:bCs/>
    </w:rPr>
  </w:style>
  <w:style w:type="character" w:customStyle="1" w:styleId="StyleStyle411ptBoldChar">
    <w:name w:val="Style Style4 + 11 pt Bold Char"/>
    <w:link w:val="StyleStyle411ptBold"/>
    <w:rsid w:val="00700D41"/>
    <w:rPr>
      <w:rFonts w:ascii="Calibri" w:hAnsi="Calibri"/>
      <w:b/>
      <w:bCs/>
      <w:sz w:val="20"/>
      <w:u w:val="single"/>
    </w:rPr>
  </w:style>
  <w:style w:type="character" w:styleId="IntenseEmphasis">
    <w:name w:val="Intense Emphasis"/>
    <w:aliases w:val="Block Heading Char,Read This Char,cites Char Ch,Intense Emphasis4,9.5 pt,Intense Emphasi,Box Out,Intense Emphasis5,Char Char Char1,Sty,Style Underli,Minimized Char,cites Char Char,Underlined Text Char,title Char1,Non Read Text Char"/>
    <w:uiPriority w:val="5"/>
    <w:qFormat/>
    <w:rsid w:val="00700D41"/>
    <w:rPr>
      <w:bCs/>
      <w:sz w:val="20"/>
      <w:u w:val="single"/>
    </w:rPr>
  </w:style>
  <w:style w:type="character" w:customStyle="1" w:styleId="UnderlineBold">
    <w:name w:val="Underline + Bold"/>
    <w:uiPriority w:val="1"/>
    <w:qFormat/>
    <w:rsid w:val="00700D41"/>
    <w:rPr>
      <w:b/>
      <w:bCs w:val="0"/>
      <w:sz w:val="20"/>
      <w:u w:val="single"/>
    </w:rPr>
  </w:style>
  <w:style w:type="paragraph" w:customStyle="1" w:styleId="Tag2">
    <w:name w:val="Tag2"/>
    <w:basedOn w:val="Normal"/>
    <w:qFormat/>
    <w:rsid w:val="00700D41"/>
    <w:rPr>
      <w:b/>
    </w:rPr>
  </w:style>
  <w:style w:type="character" w:customStyle="1" w:styleId="CardsChar">
    <w:name w:val="Cards Char"/>
    <w:link w:val="Cards"/>
    <w:locked/>
    <w:rsid w:val="00700D41"/>
    <w:rPr>
      <w:rFonts w:ascii="Times New Roman" w:eastAsia="Times New Roman" w:hAnsi="Times New Roman" w:cs="Times New Roman"/>
      <w:sz w:val="20"/>
    </w:rPr>
  </w:style>
  <w:style w:type="paragraph" w:customStyle="1" w:styleId="Cards">
    <w:name w:val="Cards"/>
    <w:next w:val="Normal"/>
    <w:link w:val="CardsChar"/>
    <w:qFormat/>
    <w:rsid w:val="00700D41"/>
    <w:pPr>
      <w:widowControl w:val="0"/>
      <w:jc w:val="both"/>
    </w:pPr>
    <w:rPr>
      <w:rFonts w:ascii="Times New Roman" w:eastAsia="Times New Roman" w:hAnsi="Times New Roman" w:cs="Times New Roman"/>
      <w:sz w:val="20"/>
    </w:rPr>
  </w:style>
  <w:style w:type="character" w:customStyle="1" w:styleId="DebateUnderline">
    <w:name w:val="Debate Underline"/>
    <w:rsid w:val="00700D41"/>
    <w:rPr>
      <w:rFonts w:ascii="Times New Roman" w:hAnsi="Times New Roman" w:cs="Times New Roman" w:hint="default"/>
      <w:sz w:val="24"/>
      <w:u w:val="single"/>
      <w:bdr w:val="none" w:sz="0" w:space="0" w:color="auto" w:frame="1"/>
    </w:rPr>
  </w:style>
  <w:style w:type="character" w:customStyle="1" w:styleId="BoldUnderline">
    <w:name w:val="BoldUnderline"/>
    <w:basedOn w:val="DefaultParagraphFont"/>
    <w:uiPriority w:val="1"/>
    <w:qFormat/>
    <w:rsid w:val="00700D41"/>
    <w:rPr>
      <w:rFonts w:ascii="Arial" w:hAnsi="Arial"/>
      <w:b/>
      <w:sz w:val="20"/>
      <w:u w:val="single"/>
    </w:rPr>
  </w:style>
  <w:style w:type="paragraph" w:styleId="BodyText">
    <w:name w:val="Body Text"/>
    <w:basedOn w:val="Normal"/>
    <w:link w:val="BodyTextChar"/>
    <w:rsid w:val="00700D41"/>
    <w:pPr>
      <w:jc w:val="both"/>
    </w:pPr>
    <w:rPr>
      <w:color w:val="000000"/>
    </w:rPr>
  </w:style>
  <w:style w:type="character" w:customStyle="1" w:styleId="BodyTextChar">
    <w:name w:val="Body Text Char"/>
    <w:basedOn w:val="DefaultParagraphFont"/>
    <w:link w:val="BodyText"/>
    <w:rsid w:val="00700D41"/>
    <w:rPr>
      <w:rFonts w:ascii="Calibri" w:hAnsi="Calibri"/>
      <w:color w:val="000000"/>
      <w:sz w:val="22"/>
    </w:rPr>
  </w:style>
  <w:style w:type="paragraph" w:styleId="ListBullet">
    <w:name w:val="List Bullet"/>
    <w:basedOn w:val="Normal"/>
    <w:uiPriority w:val="99"/>
    <w:unhideWhenUsed/>
    <w:rsid w:val="00700D41"/>
    <w:pPr>
      <w:tabs>
        <w:tab w:val="num" w:pos="360"/>
      </w:tabs>
      <w:ind w:left="360" w:hanging="360"/>
      <w:contextualSpacing/>
    </w:p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700D41"/>
    <w:rPr>
      <w:rFonts w:ascii="Calibri" w:hAnsi="Calibri"/>
      <w:sz w:val="22"/>
      <w:lang w:eastAsia="zh-CN"/>
    </w:rPr>
  </w:style>
  <w:style w:type="character" w:customStyle="1" w:styleId="a">
    <w:name w:val="a"/>
    <w:basedOn w:val="DefaultParagraphFont"/>
    <w:rsid w:val="00700D41"/>
  </w:style>
  <w:style w:type="character" w:customStyle="1" w:styleId="mb">
    <w:name w:val="mb"/>
    <w:basedOn w:val="DefaultParagraphFont"/>
    <w:rsid w:val="00700D41"/>
  </w:style>
  <w:style w:type="character" w:customStyle="1" w:styleId="dttext">
    <w:name w:val="dttext"/>
    <w:basedOn w:val="DefaultParagraphFont"/>
    <w:rsid w:val="00700D41"/>
  </w:style>
  <w:style w:type="character" w:customStyle="1" w:styleId="sdsense">
    <w:name w:val="sdsense"/>
    <w:basedOn w:val="DefaultParagraphFont"/>
    <w:rsid w:val="00700D41"/>
  </w:style>
  <w:style w:type="character" w:customStyle="1" w:styleId="sd">
    <w:name w:val="sd"/>
    <w:basedOn w:val="DefaultParagraphFont"/>
    <w:rsid w:val="00700D41"/>
  </w:style>
  <w:style w:type="character" w:customStyle="1" w:styleId="caps">
    <w:name w:val="caps"/>
    <w:basedOn w:val="DefaultParagraphFont"/>
    <w:rsid w:val="00700D41"/>
  </w:style>
  <w:style w:type="character" w:customStyle="1" w:styleId="list-grouptitle">
    <w:name w:val="list-group__title"/>
    <w:basedOn w:val="DefaultParagraphFont"/>
    <w:rsid w:val="00700D41"/>
  </w:style>
  <w:style w:type="paragraph" w:customStyle="1" w:styleId="list-groupitem">
    <w:name w:val="list-group__item"/>
    <w:basedOn w:val="Normal"/>
    <w:rsid w:val="00700D41"/>
    <w:pPr>
      <w:spacing w:before="100" w:beforeAutospacing="1" w:after="100" w:afterAutospacing="1" w:line="240" w:lineRule="auto"/>
    </w:pPr>
    <w:rPr>
      <w:rFonts w:ascii="Times New Roman" w:eastAsia="Times New Roman" w:hAnsi="Times New Roman" w:cs="Times New Roman"/>
      <w:sz w:val="24"/>
      <w:lang w:bidi="he-IL"/>
    </w:rPr>
  </w:style>
  <w:style w:type="paragraph" w:customStyle="1" w:styleId="flfc">
    <w:name w:val="flfc"/>
    <w:basedOn w:val="Normal"/>
    <w:rsid w:val="00700D41"/>
    <w:pPr>
      <w:spacing w:before="100" w:beforeAutospacing="1" w:after="100" w:afterAutospacing="1" w:line="240" w:lineRule="auto"/>
    </w:pPr>
    <w:rPr>
      <w:rFonts w:ascii="Times New Roman" w:eastAsia="Times New Roman" w:hAnsi="Times New Roman" w:cs="Times New Roman"/>
      <w:sz w:val="24"/>
      <w:lang w:bidi="he-IL"/>
    </w:rPr>
  </w:style>
  <w:style w:type="paragraph" w:styleId="EndnoteText">
    <w:name w:val="endnote text"/>
    <w:basedOn w:val="Normal"/>
    <w:link w:val="EndnoteTextChar"/>
    <w:uiPriority w:val="99"/>
    <w:semiHidden/>
    <w:unhideWhenUsed/>
    <w:rsid w:val="00700D4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00D41"/>
    <w:rPr>
      <w:rFonts w:ascii="Calibri" w:hAnsi="Calibri"/>
      <w:sz w:val="20"/>
      <w:szCs w:val="20"/>
    </w:rPr>
  </w:style>
  <w:style w:type="character" w:styleId="EndnoteReference">
    <w:name w:val="endnote reference"/>
    <w:basedOn w:val="DefaultParagraphFont"/>
    <w:uiPriority w:val="99"/>
    <w:semiHidden/>
    <w:unhideWhenUsed/>
    <w:rsid w:val="00700D41"/>
    <w:rPr>
      <w:vertAlign w:val="superscript"/>
    </w:rPr>
  </w:style>
  <w:style w:type="character" w:customStyle="1" w:styleId="flagicon">
    <w:name w:val="flagicon"/>
    <w:basedOn w:val="DefaultParagraphFont"/>
    <w:rsid w:val="00700D41"/>
  </w:style>
  <w:style w:type="paragraph" w:customStyle="1" w:styleId="Analytics">
    <w:name w:val="Analytics"/>
    <w:next w:val="NormalWeb"/>
    <w:link w:val="AnalyticsChar"/>
    <w:uiPriority w:val="4"/>
    <w:qFormat/>
    <w:rsid w:val="00700D41"/>
    <w:pPr>
      <w:spacing w:line="259" w:lineRule="auto"/>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700D41"/>
    <w:rPr>
      <w:rFonts w:ascii="Calibri" w:eastAsiaTheme="majorEastAsia" w:hAnsi="Calibri" w:cstheme="majorBidi"/>
      <w:b/>
      <w:iCs/>
      <w:sz w:val="26"/>
      <w:szCs w:val="28"/>
    </w:rPr>
  </w:style>
  <w:style w:type="paragraph" w:customStyle="1" w:styleId="RainwithanA">
    <w:name w:val="Rain with an A"/>
    <w:basedOn w:val="Normal"/>
    <w:link w:val="RainwithanAChar"/>
    <w:uiPriority w:val="4"/>
    <w:qFormat/>
    <w:rsid w:val="00700D41"/>
    <w:pPr>
      <w:outlineLvl w:val="3"/>
    </w:pPr>
    <w:rPr>
      <w:b/>
      <w:sz w:val="26"/>
    </w:rPr>
  </w:style>
  <w:style w:type="character" w:customStyle="1" w:styleId="RainwithanAChar">
    <w:name w:val="Rain with an A Char"/>
    <w:basedOn w:val="DefaultParagraphFont"/>
    <w:link w:val="RainwithanA"/>
    <w:uiPriority w:val="4"/>
    <w:rsid w:val="00700D41"/>
    <w:rPr>
      <w:rFonts w:ascii="Calibri" w:hAnsi="Calibri"/>
      <w:b/>
      <w:sz w:val="26"/>
    </w:rPr>
  </w:style>
  <w:style w:type="character" w:customStyle="1" w:styleId="Style1Char1">
    <w:name w:val="Style1 Char1"/>
    <w:basedOn w:val="DefaultParagraphFont"/>
    <w:rsid w:val="00700D41"/>
    <w:rPr>
      <w:rFonts w:ascii="SimSun" w:eastAsia="SimSun" w:hAnsi="SimSun" w:hint="eastAsia"/>
      <w:sz w:val="20"/>
      <w:szCs w:val="24"/>
      <w:u w:val="single"/>
      <w:lang w:val="en-US" w:eastAsia="zh-CN" w:bidi="ar-SA"/>
    </w:rPr>
  </w:style>
  <w:style w:type="character" w:customStyle="1" w:styleId="ital-inline">
    <w:name w:val="ital-inline"/>
    <w:basedOn w:val="DefaultParagraphFont"/>
    <w:rsid w:val="00700D41"/>
  </w:style>
  <w:style w:type="paragraph" w:customStyle="1" w:styleId="paragraph">
    <w:name w:val="paragraph"/>
    <w:basedOn w:val="Normal"/>
    <w:rsid w:val="00700D41"/>
    <w:pPr>
      <w:spacing w:before="100" w:beforeAutospacing="1" w:after="100" w:afterAutospacing="1"/>
    </w:pPr>
    <w:rPr>
      <w:rFonts w:ascii="Times New Roman" w:hAnsi="Times New Roman"/>
    </w:rPr>
  </w:style>
  <w:style w:type="character" w:customStyle="1" w:styleId="normaltextrun">
    <w:name w:val="normaltextrun"/>
    <w:basedOn w:val="DefaultParagraphFont"/>
    <w:rsid w:val="00700D41"/>
  </w:style>
  <w:style w:type="character" w:customStyle="1" w:styleId="eop">
    <w:name w:val="eop"/>
    <w:basedOn w:val="DefaultParagraphFont"/>
    <w:rsid w:val="00700D41"/>
  </w:style>
  <w:style w:type="paragraph" w:customStyle="1" w:styleId="textbox">
    <w:name w:val="textbox"/>
    <w:basedOn w:val="Normal"/>
    <w:rsid w:val="00700D41"/>
    <w:pPr>
      <w:spacing w:before="100" w:beforeAutospacing="1" w:after="100" w:afterAutospacing="1"/>
    </w:pPr>
    <w:rPr>
      <w:rFonts w:ascii="Times New Roman" w:hAnsi="Times New Roman"/>
      <w:lang w:eastAsia="zh-CN"/>
    </w:rPr>
  </w:style>
  <w:style w:type="table" w:styleId="TableGrid">
    <w:name w:val="Table Grid"/>
    <w:basedOn w:val="TableNormal"/>
    <w:uiPriority w:val="59"/>
    <w:rsid w:val="00700D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00D41"/>
    <w:pPr>
      <w:tabs>
        <w:tab w:val="center" w:pos="4680"/>
        <w:tab w:val="right" w:pos="9360"/>
      </w:tabs>
      <w:spacing w:after="0" w:line="240" w:lineRule="auto"/>
    </w:pPr>
  </w:style>
  <w:style w:type="character" w:customStyle="1" w:styleId="HeaderChar">
    <w:name w:val="Header Char"/>
    <w:basedOn w:val="DefaultParagraphFont"/>
    <w:link w:val="Header"/>
    <w:uiPriority w:val="99"/>
    <w:rsid w:val="00700D41"/>
    <w:rPr>
      <w:rFonts w:ascii="Calibri" w:hAnsi="Calibri"/>
      <w:sz w:val="22"/>
    </w:rPr>
  </w:style>
  <w:style w:type="paragraph" w:styleId="Footer">
    <w:name w:val="footer"/>
    <w:basedOn w:val="Normal"/>
    <w:link w:val="FooterChar"/>
    <w:uiPriority w:val="99"/>
    <w:unhideWhenUsed/>
    <w:rsid w:val="00700D41"/>
    <w:pPr>
      <w:tabs>
        <w:tab w:val="center" w:pos="4680"/>
        <w:tab w:val="right" w:pos="9360"/>
      </w:tabs>
      <w:spacing w:after="0" w:line="240" w:lineRule="auto"/>
    </w:pPr>
  </w:style>
  <w:style w:type="character" w:customStyle="1" w:styleId="FooterChar">
    <w:name w:val="Footer Char"/>
    <w:basedOn w:val="DefaultParagraphFont"/>
    <w:link w:val="Footer"/>
    <w:uiPriority w:val="99"/>
    <w:rsid w:val="00700D41"/>
    <w:rPr>
      <w:rFonts w:ascii="Calibri" w:hAnsi="Calibri"/>
      <w:sz w:val="22"/>
    </w:rPr>
  </w:style>
  <w:style w:type="character" w:customStyle="1" w:styleId="timestampdate--published">
    <w:name w:val="timestamp__date--published"/>
    <w:basedOn w:val="DefaultParagraphFont"/>
    <w:rsid w:val="00700D41"/>
  </w:style>
  <w:style w:type="paragraph" w:customStyle="1" w:styleId="msonormal0">
    <w:name w:val="msonormal"/>
    <w:basedOn w:val="Normal"/>
    <w:rsid w:val="00700D41"/>
    <w:pPr>
      <w:spacing w:before="100" w:beforeAutospacing="1" w:after="100" w:afterAutospacing="1" w:line="240" w:lineRule="auto"/>
    </w:pPr>
    <w:rPr>
      <w:rFonts w:ascii="Times New Roman" w:eastAsia="Times New Roman" w:hAnsi="Times New Roman" w:cs="Times New Roman"/>
      <w:sz w:val="24"/>
    </w:rPr>
  </w:style>
  <w:style w:type="character" w:customStyle="1" w:styleId="tooltip-container">
    <w:name w:val="tooltip-container"/>
    <w:basedOn w:val="DefaultParagraphFont"/>
    <w:rsid w:val="00700D41"/>
  </w:style>
  <w:style w:type="character" w:customStyle="1" w:styleId="media-blocktag">
    <w:name w:val="media-block__tag"/>
    <w:basedOn w:val="DefaultParagraphFont"/>
    <w:rsid w:val="00700D41"/>
  </w:style>
  <w:style w:type="paragraph" w:customStyle="1" w:styleId="media-blocksubtitle">
    <w:name w:val="media-block__subtitle"/>
    <w:basedOn w:val="Normal"/>
    <w:rsid w:val="00700D41"/>
    <w:pPr>
      <w:spacing w:before="100" w:beforeAutospacing="1" w:after="100" w:afterAutospacing="1" w:line="240" w:lineRule="auto"/>
    </w:pPr>
    <w:rPr>
      <w:rFonts w:ascii="Times New Roman" w:eastAsia="Times New Roman" w:hAnsi="Times New Roman" w:cs="Times New Roman"/>
      <w:sz w:val="24"/>
    </w:rPr>
  </w:style>
  <w:style w:type="character" w:styleId="IntenseReference">
    <w:name w:val="Intense Reference"/>
    <w:basedOn w:val="DefaultParagraphFont"/>
    <w:uiPriority w:val="32"/>
    <w:qFormat/>
    <w:rsid w:val="00700D41"/>
    <w:rPr>
      <w:b/>
      <w:bCs/>
      <w:smallCaps/>
      <w:color w:val="4F81BD" w:themeColor="accent1"/>
      <w:spacing w:val="5"/>
    </w:rPr>
  </w:style>
  <w:style w:type="paragraph" w:styleId="Subtitle">
    <w:name w:val="Subtitle"/>
    <w:basedOn w:val="Normal"/>
    <w:next w:val="Normal"/>
    <w:link w:val="SubtitleChar"/>
    <w:uiPriority w:val="11"/>
    <w:qFormat/>
    <w:rsid w:val="00700D41"/>
    <w:pPr>
      <w:numPr>
        <w:ilvl w:val="1"/>
      </w:numPr>
    </w:pPr>
    <w:rPr>
      <w:rFonts w:asciiTheme="minorHAnsi" w:hAnsiTheme="minorHAnsi"/>
      <w:color w:val="5A5A5A" w:themeColor="text1" w:themeTint="A5"/>
      <w:spacing w:val="15"/>
    </w:rPr>
  </w:style>
  <w:style w:type="character" w:customStyle="1" w:styleId="SubtitleChar">
    <w:name w:val="Subtitle Char"/>
    <w:basedOn w:val="DefaultParagraphFont"/>
    <w:link w:val="Subtitle"/>
    <w:uiPriority w:val="11"/>
    <w:rsid w:val="00700D41"/>
    <w:rPr>
      <w:color w:val="5A5A5A" w:themeColor="text1" w:themeTint="A5"/>
      <w:spacing w:val="15"/>
      <w:sz w:val="22"/>
    </w:rPr>
  </w:style>
  <w:style w:type="paragraph" w:customStyle="1" w:styleId="selectionshareable">
    <w:name w:val="selectionshareable"/>
    <w:basedOn w:val="Normal"/>
    <w:rsid w:val="00700D41"/>
    <w:pPr>
      <w:spacing w:before="100" w:beforeAutospacing="1" w:after="100" w:afterAutospacing="1"/>
    </w:pPr>
    <w:rPr>
      <w:rFonts w:ascii="Times New Roman" w:hAnsi="Times New Roman"/>
      <w:lang w:bidi="he-IL"/>
    </w:rPr>
  </w:style>
  <w:style w:type="paragraph" w:customStyle="1" w:styleId="fancy">
    <w:name w:val="fancy"/>
    <w:basedOn w:val="Normal"/>
    <w:rsid w:val="00700D41"/>
    <w:pPr>
      <w:spacing w:before="100" w:beforeAutospacing="1" w:after="100" w:afterAutospacing="1"/>
    </w:pPr>
    <w:rPr>
      <w:rFonts w:ascii="Times New Roman" w:hAnsi="Times New Roman"/>
      <w:lang w:bidi="he-IL"/>
    </w:rPr>
  </w:style>
  <w:style w:type="character" w:styleId="BookTitle">
    <w:name w:val="Book Title"/>
    <w:basedOn w:val="DefaultParagraphFont"/>
    <w:uiPriority w:val="33"/>
    <w:qFormat/>
    <w:rsid w:val="00700D41"/>
    <w:rPr>
      <w:b/>
      <w:bCs/>
      <w:i/>
      <w:iCs/>
      <w:spacing w:val="5"/>
    </w:rPr>
  </w:style>
  <w:style w:type="paragraph" w:customStyle="1" w:styleId="text-justify">
    <w:name w:val="text-justify"/>
    <w:basedOn w:val="Normal"/>
    <w:rsid w:val="00700D41"/>
    <w:pPr>
      <w:spacing w:before="100" w:beforeAutospacing="1" w:after="100" w:afterAutospacing="1" w:line="240" w:lineRule="auto"/>
    </w:pPr>
    <w:rPr>
      <w:rFonts w:ascii="Times New Roman" w:eastAsia="Times New Roman" w:hAnsi="Times New Roman" w:cs="Times New Roman"/>
      <w:sz w:val="24"/>
      <w:lang w:bidi="he-IL"/>
    </w:rPr>
  </w:style>
  <w:style w:type="character" w:styleId="HTMLCite">
    <w:name w:val="HTML Cite"/>
    <w:basedOn w:val="DefaultParagraphFont"/>
    <w:uiPriority w:val="99"/>
    <w:semiHidden/>
    <w:unhideWhenUsed/>
    <w:rsid w:val="00700D41"/>
    <w:rPr>
      <w:i/>
      <w:iCs/>
    </w:rPr>
  </w:style>
  <w:style w:type="paragraph" w:customStyle="1" w:styleId="css-18udl3b">
    <w:name w:val="css-18udl3b"/>
    <w:basedOn w:val="Normal"/>
    <w:rsid w:val="00700D41"/>
    <w:pPr>
      <w:spacing w:before="100" w:beforeAutospacing="1" w:after="100" w:afterAutospacing="1" w:line="240" w:lineRule="auto"/>
    </w:pPr>
    <w:rPr>
      <w:rFonts w:ascii="Times New Roman" w:eastAsia="Times New Roman" w:hAnsi="Times New Roman" w:cs="Times New Roman"/>
      <w:sz w:val="24"/>
      <w:lang w:bidi="he-IL"/>
    </w:rPr>
  </w:style>
  <w:style w:type="paragraph" w:customStyle="1" w:styleId="graf">
    <w:name w:val="graf"/>
    <w:basedOn w:val="Normal"/>
    <w:rsid w:val="00700D41"/>
    <w:pPr>
      <w:spacing w:before="100" w:beforeAutospacing="1" w:after="100" w:afterAutospacing="1" w:line="240" w:lineRule="auto"/>
    </w:pPr>
    <w:rPr>
      <w:rFonts w:ascii="Times New Roman" w:eastAsia="Times New Roman" w:hAnsi="Times New Roman" w:cs="Times New Roman"/>
      <w:sz w:val="24"/>
      <w:lang w:bidi="he-IL"/>
    </w:rPr>
  </w:style>
  <w:style w:type="character" w:customStyle="1" w:styleId="m5577519854659992616gmail-styleunderline">
    <w:name w:val="m_5577519854659992616gmail-styleunderline"/>
    <w:basedOn w:val="DefaultParagraphFont"/>
    <w:rsid w:val="00700D41"/>
  </w:style>
  <w:style w:type="character" w:customStyle="1" w:styleId="CardTextChar">
    <w:name w:val="Card Text Char"/>
    <w:basedOn w:val="DefaultParagraphFont"/>
    <w:uiPriority w:val="99"/>
    <w:locked/>
    <w:rsid w:val="00700D41"/>
    <w:rPr>
      <w:rFonts w:ascii="Cambria" w:eastAsia="Times New Roman" w:hAnsi="Cambria" w:cs="Tahoma"/>
      <w:sz w:val="26"/>
      <w:szCs w:val="22"/>
    </w:rPr>
  </w:style>
  <w:style w:type="character" w:customStyle="1" w:styleId="NoSpacingChar">
    <w:name w:val="No Spacing Char"/>
    <w:aliases w:val="Card Format Char,ClearFormatting Char,DDI Tag Char,Tag Title Char,No Spacing51 Char,Dont use Char,Tag and Cite Char,No Spacing31 Char,CD - Cite Char,No Spacing22 Char,No Spacing41 Char,No Spacing6 Char,No Spacing7 Char,No Spacing8 Char"/>
    <w:link w:val="NoSpacing"/>
    <w:uiPriority w:val="99"/>
    <w:rsid w:val="00700D41"/>
    <w:rPr>
      <w:rFonts w:ascii="Calibri"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bfp.sp.unipi.it/chiara/lm/kantpisa1.html" TargetMode="External"/><Relationship Id="rId18" Type="http://schemas.openxmlformats.org/officeDocument/2006/relationships/hyperlink" Target="http://virt052.zim.uni-duisburg-essen.de/Kant/aa06/237.html"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bfp.sp.unipi.it/chiara/lm/kantpisa1.html" TargetMode="External"/><Relationship Id="rId7" Type="http://schemas.openxmlformats.org/officeDocument/2006/relationships/settings" Target="settings.xml"/><Relationship Id="rId12" Type="http://schemas.openxmlformats.org/officeDocument/2006/relationships/hyperlink" Target="https://reason.com/2012/08/05/the-free-market-doesnt-need-government-r/" TargetMode="External"/><Relationship Id="rId17" Type="http://schemas.openxmlformats.org/officeDocument/2006/relationships/hyperlink" Target="http://virt052.zim.uni-duisburg-essen.de/Kant/aa06/237.html" TargetMode="External"/><Relationship Id="rId25" Type="http://schemas.openxmlformats.org/officeDocument/2006/relationships/hyperlink" Target="https://www.tandfonline.com/doi/full/10.1080/25751654.2021.1890867" TargetMode="External"/><Relationship Id="rId2" Type="http://schemas.openxmlformats.org/officeDocument/2006/relationships/customXml" Target="../customXml/item2.xml"/><Relationship Id="rId16" Type="http://schemas.openxmlformats.org/officeDocument/2006/relationships/hyperlink" Target="http://virt052.zim.uni-duisburg-essen.de/Kant/aa06/249.html" TargetMode="External"/><Relationship Id="rId20" Type="http://schemas.openxmlformats.org/officeDocument/2006/relationships/hyperlink" Target="http://bfp.sp.unipi.it/chiara/lm/kantpisa1.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ee.org/articles/how-intellectual-property-hampers-the-free-market/" TargetMode="External"/><Relationship Id="rId24" Type="http://schemas.openxmlformats.org/officeDocument/2006/relationships/hyperlink" Target="https://link.springer.com/article/10.1007/s40319-020-00985-0" TargetMode="External"/><Relationship Id="rId5" Type="http://schemas.openxmlformats.org/officeDocument/2006/relationships/numbering" Target="numbering.xml"/><Relationship Id="rId15" Type="http://schemas.openxmlformats.org/officeDocument/2006/relationships/hyperlink" Target="http://bfp.sp.unipi.it/chiara/lm/kantpisa1.html" TargetMode="External"/><Relationship Id="rId23" Type="http://schemas.openxmlformats.org/officeDocument/2006/relationships/hyperlink" Target="https://www.statnews.com/2021/05/19/beyond-a-symbolic-gesture-whats-needed-to-turn-the-ip-waiver-into-covid-19-vaccines/" TargetMode="External"/><Relationship Id="rId10" Type="http://schemas.openxmlformats.org/officeDocument/2006/relationships/hyperlink" Target="https://ualr.edu/socialchange/2018/04/04/patently-unfair/" TargetMode="External"/><Relationship Id="rId19" Type="http://schemas.openxmlformats.org/officeDocument/2006/relationships/hyperlink" Target="http://bfp.sp.unipi.it/chiara/lm/kantpisa1.html" TargetMode="External"/><Relationship Id="rId4" Type="http://schemas.openxmlformats.org/officeDocument/2006/relationships/customXml" Target="../customXml/item4.xml"/><Relationship Id="rId9" Type="http://schemas.openxmlformats.org/officeDocument/2006/relationships/hyperlink" Target="https://www.ipwatchdog.com/2021/07/21/third-option-limited-ip-waiver-solve-pandemic-vaccine-problems/id=135732/" TargetMode="External"/><Relationship Id="rId14" Type="http://schemas.openxmlformats.org/officeDocument/2006/relationships/hyperlink" Target="http://virt052.zim.uni-duisburg-essen.de/Kant/aa06/245.html" TargetMode="External"/><Relationship Id="rId22" Type="http://schemas.openxmlformats.org/officeDocument/2006/relationships/hyperlink" Target="https://idsa.in/issuebrief/wto-trips-waiver-covid-vaccine-rkumar-120721"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rve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purl.org/dc/elements/1.1/"/>
    <ds:schemaRef ds:uri="http://purl.org/dc/dcmitype/"/>
    <ds:schemaRef ds:uri="http://schemas.microsoft.com/office/infopath/2007/PartnerControls"/>
    <ds:schemaRef ds:uri="http://purl.org/dc/terms/"/>
    <ds:schemaRef ds:uri="http://schemas.microsoft.com/office/2006/documentManagement/types"/>
    <ds:schemaRef ds:uri="http://schemas.openxmlformats.org/package/2006/metadata/core-propertie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76949475-4770-4D96-AD63-C5395F456D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13567</Words>
  <Characters>77335</Characters>
  <Application>Microsoft Office Word</Application>
  <DocSecurity>0</DocSecurity>
  <Lines>644</Lines>
  <Paragraphs>181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90721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Harvey Zhu</cp:lastModifiedBy>
  <cp:revision>2</cp:revision>
  <dcterms:created xsi:type="dcterms:W3CDTF">2021-09-18T16:59:00Z</dcterms:created>
  <dcterms:modified xsi:type="dcterms:W3CDTF">2021-09-18T16:59:00Z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