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5C6A2" w14:textId="48F7BF99" w:rsidR="00AD1522" w:rsidRDefault="00AD1522" w:rsidP="00450A1A">
      <w:pPr>
        <w:pStyle w:val="Heading1"/>
      </w:pPr>
      <w:r>
        <w:rPr>
          <w:noProof/>
          <w:lang w:eastAsia="zh-CN"/>
        </w:rPr>
        <w:drawing>
          <wp:inline distT="0" distB="0" distL="0" distR="0" wp14:anchorId="637E3403" wp14:editId="7B9E3259">
            <wp:extent cx="2352675" cy="7048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352675" cy="7048500"/>
                    </a:xfrm>
                    <a:prstGeom prst="rect">
                      <a:avLst/>
                    </a:prstGeom>
                  </pic:spPr>
                </pic:pic>
              </a:graphicData>
            </a:graphic>
          </wp:inline>
        </w:drawing>
      </w:r>
      <w:bookmarkStart w:id="0" w:name="_GoBack"/>
      <w:bookmarkEnd w:id="0"/>
    </w:p>
    <w:p w14:paraId="3243352E" w14:textId="206515E5" w:rsidR="00425AB6" w:rsidRDefault="00A876C6" w:rsidP="00450A1A">
      <w:pPr>
        <w:pStyle w:val="Heading1"/>
      </w:pPr>
      <w:r>
        <w:t>R4</w:t>
      </w:r>
      <w:r w:rsidR="006910D4">
        <w:t xml:space="preserve"> AC v </w:t>
      </w:r>
      <w:r>
        <w:t>Peninsula EL</w:t>
      </w:r>
    </w:p>
    <w:p w14:paraId="4CD38AE6" w14:textId="77777777" w:rsidR="00450A1A" w:rsidRDefault="00450A1A" w:rsidP="00450A1A">
      <w:pPr>
        <w:pStyle w:val="Heading3"/>
      </w:pPr>
      <w:r>
        <w:t>Advantage</w:t>
      </w:r>
    </w:p>
    <w:p w14:paraId="6A8475B7" w14:textId="77777777" w:rsidR="00450A1A" w:rsidRDefault="00450A1A" w:rsidP="00450A1A">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76A4D75A" w14:textId="77777777" w:rsidR="00450A1A" w:rsidRPr="00D2046C" w:rsidRDefault="00450A1A" w:rsidP="00450A1A">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6" w:history="1">
        <w:r w:rsidRPr="00111F4F">
          <w:rPr>
            <w:rStyle w:val="Hyperlink"/>
          </w:rPr>
          <w:t>https://digitalcommons.law.yale.edu/cgi/viewcontent.cgi?article=1710&amp;context=yjil</w:t>
        </w:r>
      </w:hyperlink>
      <w:r>
        <w:t>] Justin ** Brackets in original</w:t>
      </w:r>
    </w:p>
    <w:p w14:paraId="2CE68AC9" w14:textId="77777777" w:rsidR="00450A1A" w:rsidRPr="001130DA" w:rsidRDefault="00450A1A" w:rsidP="00450A1A">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23671ADC" w14:textId="77777777" w:rsidR="00450A1A" w:rsidRPr="001130DA" w:rsidRDefault="00450A1A" w:rsidP="00450A1A">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457E3B98" w14:textId="77777777" w:rsidR="00450A1A" w:rsidRPr="00425E77" w:rsidRDefault="00450A1A" w:rsidP="00450A1A">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16C10F9C" w14:textId="77777777" w:rsidR="00450A1A" w:rsidRPr="001130DA" w:rsidRDefault="00450A1A" w:rsidP="00450A1A">
      <w:pPr>
        <w:rPr>
          <w:sz w:val="16"/>
        </w:rPr>
      </w:pPr>
      <w:r w:rsidRPr="001130DA">
        <w:rPr>
          <w:sz w:val="16"/>
        </w:rPr>
        <w:t>A. Initial Definitions and Considerations</w:t>
      </w:r>
    </w:p>
    <w:p w14:paraId="0780A1E7" w14:textId="77777777" w:rsidR="00450A1A" w:rsidRPr="00ED5AB7" w:rsidRDefault="00450A1A" w:rsidP="00450A1A">
      <w:pPr>
        <w:rPr>
          <w:rStyle w:val="Emphasis"/>
        </w:rPr>
      </w:pPr>
      <w:r w:rsidRPr="001130DA">
        <w:rPr>
          <w:sz w:val="16"/>
        </w:rPr>
        <w:t xml:space="preserve">1. </w:t>
      </w:r>
      <w:r w:rsidRPr="00ED5AB7">
        <w:rPr>
          <w:rStyle w:val="Emphasis"/>
        </w:rPr>
        <w:t>CIL Standards</w:t>
      </w:r>
    </w:p>
    <w:p w14:paraId="6CCFC04E" w14:textId="77777777" w:rsidR="00450A1A" w:rsidRPr="003E22A7" w:rsidRDefault="00450A1A" w:rsidP="00450A1A">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As is true for general practice, evidence of 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791162AC" w14:textId="77777777" w:rsidR="00450A1A" w:rsidRPr="00ED5AB7" w:rsidRDefault="00450A1A" w:rsidP="00450A1A">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2B0367E2" w14:textId="77777777" w:rsidR="00450A1A" w:rsidRPr="003E22A7" w:rsidRDefault="00450A1A" w:rsidP="00450A1A">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3CB50545" w14:textId="77777777" w:rsidR="00450A1A" w:rsidRPr="001130DA" w:rsidRDefault="00450A1A" w:rsidP="00450A1A">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0797FC70" w14:textId="77777777" w:rsidR="00450A1A" w:rsidRPr="00A56669" w:rsidRDefault="00450A1A" w:rsidP="00450A1A">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6CBC1C64" w14:textId="77777777" w:rsidR="00450A1A" w:rsidRPr="001130DA" w:rsidRDefault="00450A1A" w:rsidP="00450A1A">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079A2204" w14:textId="77777777" w:rsidR="00450A1A" w:rsidRPr="00425E77" w:rsidRDefault="00450A1A" w:rsidP="00450A1A">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xml:space="preserve">. 125 Indeed, of the 187 ILO Member States, only 11 relatively </w:t>
      </w:r>
      <w:proofErr w:type="spellStart"/>
      <w:r w:rsidRPr="00425E77">
        <w:rPr>
          <w:sz w:val="16"/>
        </w:rPr>
        <w:t>smallpopulation</w:t>
      </w:r>
      <w:proofErr w:type="spellEnd"/>
      <w:r w:rsidRPr="00425E77">
        <w:rPr>
          <w:sz w:val="16"/>
        </w:rPr>
        <w:t xml:space="preserve"> countries have not ratified at least one of Convention 87, the ICESCR, or the ICCPR.126</w:t>
      </w:r>
    </w:p>
    <w:p w14:paraId="3F17A654" w14:textId="77777777" w:rsidR="00450A1A" w:rsidRPr="00425E77" w:rsidRDefault="00450A1A" w:rsidP="00450A1A">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p>
    <w:p w14:paraId="0954CB2C" w14:textId="77777777" w:rsidR="00450A1A" w:rsidRPr="00425E77" w:rsidRDefault="00450A1A" w:rsidP="00450A1A">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1503049E" w14:textId="77777777" w:rsidR="00450A1A" w:rsidRPr="001130DA" w:rsidRDefault="00450A1A" w:rsidP="00450A1A">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2FD4ECA1" w14:textId="77777777" w:rsidR="00450A1A" w:rsidRPr="00A56669" w:rsidRDefault="00450A1A" w:rsidP="00450A1A">
      <w:pPr>
        <w:rPr>
          <w:sz w:val="16"/>
          <w:szCs w:val="16"/>
        </w:rPr>
      </w:pPr>
      <w:r w:rsidRPr="00A56669">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16869E0E" w14:textId="77777777" w:rsidR="00450A1A" w:rsidRPr="001130DA" w:rsidRDefault="00450A1A" w:rsidP="00450A1A">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although particular limits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456A3017" w14:textId="77777777" w:rsidR="00450A1A" w:rsidRPr="001130DA" w:rsidRDefault="00450A1A" w:rsidP="00450A1A">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15C3B441" w14:textId="77777777" w:rsidR="00450A1A" w:rsidRPr="0098613E" w:rsidRDefault="00450A1A" w:rsidP="00450A1A">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0FE6E98C" w14:textId="77777777" w:rsidR="00450A1A" w:rsidRPr="001130DA" w:rsidRDefault="00450A1A" w:rsidP="00450A1A">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289A61B9" w14:textId="77777777" w:rsidR="00450A1A" w:rsidRPr="0098613E" w:rsidRDefault="00450A1A" w:rsidP="00450A1A">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45A3C315" w14:textId="77777777" w:rsidR="00450A1A" w:rsidRPr="002A1AC9" w:rsidRDefault="00450A1A" w:rsidP="00450A1A">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367FE468" w14:textId="77777777" w:rsidR="00450A1A" w:rsidRPr="002A1AC9" w:rsidRDefault="00450A1A" w:rsidP="00450A1A">
      <w:pPr>
        <w:rPr>
          <w:sz w:val="16"/>
        </w:rPr>
      </w:pP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636A3336" w14:textId="77777777" w:rsidR="00450A1A" w:rsidRPr="001130DA" w:rsidRDefault="00450A1A" w:rsidP="00450A1A">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1130DA">
        <w:rPr>
          <w:sz w:val="16"/>
        </w:rPr>
        <w:t>162</w:t>
      </w:r>
    </w:p>
    <w:p w14:paraId="7C3B78C1" w14:textId="77777777" w:rsidR="00450A1A" w:rsidRPr="001130DA" w:rsidRDefault="00450A1A" w:rsidP="00450A1A">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109471A9" w14:textId="77777777" w:rsidR="00450A1A" w:rsidRPr="001130DA" w:rsidRDefault="00450A1A" w:rsidP="00450A1A">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w:t>
      </w:r>
      <w:proofErr w:type="spellStart"/>
      <w:r w:rsidRPr="001130DA">
        <w:rPr>
          <w:sz w:val="16"/>
        </w:rPr>
        <w:t>rightto</w:t>
      </w:r>
      <w:proofErr w:type="spellEnd"/>
      <w:r w:rsidRPr="001130DA">
        <w:rPr>
          <w:sz w:val="16"/>
        </w:rPr>
        <w:t xml:space="preserve">-strike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29D92974" w14:textId="77777777" w:rsidR="00450A1A" w:rsidRPr="0098613E" w:rsidRDefault="00450A1A" w:rsidP="00450A1A">
      <w:pPr>
        <w:rPr>
          <w:sz w:val="16"/>
        </w:rPr>
      </w:pPr>
      <w:r w:rsidRPr="001130DA">
        <w:rPr>
          <w:sz w:val="16"/>
        </w:rPr>
        <w:t xml:space="preserve">In 2018, responding to a press briefing on a strike by U.N. employees following announced pay cuts, </w:t>
      </w:r>
      <w:r w:rsidRPr="0098613E">
        <w:rPr>
          <w:sz w:val="16"/>
        </w:rPr>
        <w:t xml:space="preserve">the Deputy Spokesman for the U.N. </w:t>
      </w:r>
      <w:proofErr w:type="spellStart"/>
      <w:r w:rsidRPr="0098613E">
        <w:rPr>
          <w:sz w:val="16"/>
        </w:rPr>
        <w:t>SecretaryGeneral</w:t>
      </w:r>
      <w:proofErr w:type="spellEnd"/>
      <w:r w:rsidRPr="0098613E">
        <w:rPr>
          <w:sz w:val="16"/>
        </w:rPr>
        <w:t xml:space="preserve"> reiterated the U.N. view that the right to strike is indeed CIL and did so in the context of the right being asserted by public employees not involved in the administration of the state:</w:t>
      </w:r>
    </w:p>
    <w:p w14:paraId="0B17FE71" w14:textId="77777777" w:rsidR="00450A1A" w:rsidRPr="001130DA" w:rsidRDefault="00450A1A" w:rsidP="00450A1A">
      <w:pPr>
        <w:rPr>
          <w:sz w:val="16"/>
        </w:rPr>
      </w:pPr>
      <w:r w:rsidRPr="001130DA">
        <w:rPr>
          <w:sz w:val="16"/>
        </w:rPr>
        <w:t xml:space="preserve">Question: Does the Secretary-General believe that U.N. staff have a right to take part in industrial action? </w:t>
      </w:r>
    </w:p>
    <w:p w14:paraId="3288EA7A" w14:textId="77777777" w:rsidR="00450A1A" w:rsidRPr="001130DA" w:rsidRDefault="00450A1A" w:rsidP="00450A1A">
      <w:pPr>
        <w:rPr>
          <w:sz w:val="16"/>
        </w:rPr>
      </w:pPr>
      <w:r w:rsidRPr="001130DA">
        <w:rPr>
          <w:sz w:val="16"/>
        </w:rPr>
        <w:t>Deputy Spokesman: We believe the right to strike is part of customary international law.167</w:t>
      </w:r>
    </w:p>
    <w:p w14:paraId="4998115A" w14:textId="77777777" w:rsidR="00450A1A" w:rsidRPr="006D68E7" w:rsidRDefault="00450A1A" w:rsidP="00450A1A">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6D68E7">
        <w:rPr>
          <w:u w:val="single"/>
        </w:rPr>
        <w:t xml:space="preserve">the </w:t>
      </w:r>
      <w:r w:rsidRPr="006D68E7">
        <w:rPr>
          <w:rStyle w:val="Emphasis"/>
        </w:rPr>
        <w:t>ICESCR and the ICCPR</w:t>
      </w:r>
      <w:r w:rsidRPr="006D68E7">
        <w:rPr>
          <w:u w:val="single"/>
        </w:rPr>
        <w:t xml:space="preserve">—have been </w:t>
      </w:r>
      <w:r w:rsidRPr="006D68E7">
        <w:rPr>
          <w:rStyle w:val="Emphasis"/>
        </w:rPr>
        <w:t>interpreted by their relevant treaty bodies to include a right to strike</w:t>
      </w:r>
      <w:r w:rsidRPr="006D68E7">
        <w:rPr>
          <w:u w:val="single"/>
        </w:rPr>
        <w:t xml:space="preserve">; these bodies have </w:t>
      </w:r>
      <w:r w:rsidRPr="006D68E7">
        <w:rPr>
          <w:rStyle w:val="Emphasis"/>
        </w:rPr>
        <w:t>reaffirmed their joint commitment to the right to strike as part of FOA</w:t>
      </w:r>
      <w:r w:rsidRPr="006D68E7">
        <w:rPr>
          <w:u w:val="single"/>
        </w:rPr>
        <w:t xml:space="preserve">, and they regularly monitor governments’ </w:t>
      </w:r>
      <w:r w:rsidRPr="006D68E7">
        <w:rPr>
          <w:rStyle w:val="Emphasis"/>
        </w:rPr>
        <w:t>record of compliance with this right</w:t>
      </w:r>
      <w:r w:rsidRPr="006D68E7">
        <w:rPr>
          <w:sz w:val="16"/>
        </w:rPr>
        <w:t>. 168 And as noted earlier, the two treaties—each ratified by over 80 percent of U.N members—include a clause explicitly identifying respect for ILO Convention 87.</w:t>
      </w:r>
    </w:p>
    <w:p w14:paraId="69DE8B06" w14:textId="77777777" w:rsidR="00450A1A" w:rsidRPr="00875A8F" w:rsidRDefault="00450A1A" w:rsidP="00450A1A">
      <w:pPr>
        <w:rPr>
          <w:u w:val="single"/>
        </w:rPr>
      </w:pPr>
      <w:r w:rsidRPr="006D68E7">
        <w:rPr>
          <w:sz w:val="16"/>
        </w:rPr>
        <w:t xml:space="preserve">In sum, </w:t>
      </w:r>
      <w:r w:rsidRPr="006D68E7">
        <w:rPr>
          <w:u w:val="single"/>
        </w:rPr>
        <w:t xml:space="preserve">the principles of FOA including the right to strike would appear to </w:t>
      </w:r>
      <w:r w:rsidRPr="006D68E7">
        <w:rPr>
          <w:rStyle w:val="Emphasis"/>
        </w:rPr>
        <w:t>satisfy both prongs of the 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19886383" w14:textId="77777777" w:rsidR="00450A1A" w:rsidRDefault="00450A1A" w:rsidP="00450A1A"/>
    <w:p w14:paraId="205E5582" w14:textId="77777777" w:rsidR="00450A1A" w:rsidRDefault="00450A1A" w:rsidP="00450A1A">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5E03298D" w14:textId="77777777" w:rsidR="00450A1A" w:rsidRPr="00463A35" w:rsidRDefault="00450A1A" w:rsidP="00450A1A">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7" w:history="1">
        <w:r w:rsidRPr="00111F4F">
          <w:rPr>
            <w:rStyle w:val="Hyperlink"/>
          </w:rPr>
          <w:t>https://sci-hub.se/https://doi.org/10.1177/2031952521994412</w:t>
        </w:r>
      </w:hyperlink>
      <w:r>
        <w:t>] Justin</w:t>
      </w:r>
    </w:p>
    <w:p w14:paraId="3A5DF172" w14:textId="77777777" w:rsidR="00450A1A" w:rsidRPr="00B57BC0" w:rsidRDefault="00450A1A" w:rsidP="00450A1A">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4104797B" w14:textId="77777777" w:rsidR="00450A1A" w:rsidRPr="00463A35" w:rsidRDefault="00450A1A" w:rsidP="00450A1A"/>
    <w:p w14:paraId="63B54011" w14:textId="77777777" w:rsidR="00450A1A" w:rsidRDefault="00450A1A" w:rsidP="00450A1A">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3B67CAF4" w14:textId="77777777" w:rsidR="00450A1A" w:rsidRPr="008751FE" w:rsidRDefault="00450A1A" w:rsidP="00450A1A">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8" w:history="1">
        <w:r w:rsidRPr="00350781">
          <w:rPr>
            <w:rStyle w:val="Hyperlink"/>
          </w:rPr>
          <w:t>https://www.ilo.org/global/standards/introduction-to-international-labour-standards/the-benefits-of-international-labour-standards/lang--en/index.htm</w:t>
        </w:r>
      </w:hyperlink>
      <w:r>
        <w:t xml:space="preserve">] Justin </w:t>
      </w:r>
    </w:p>
    <w:p w14:paraId="17E1D95F" w14:textId="77777777" w:rsidR="00450A1A" w:rsidRPr="00CF4094" w:rsidRDefault="00450A1A" w:rsidP="00450A1A">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t>Sustainable Development Agenda</w:t>
      </w:r>
      <w:r w:rsidRPr="00726C77">
        <w:rPr>
          <w:sz w:val="24"/>
          <w:szCs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International labour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international labour 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4E5CC61C" w14:textId="77777777" w:rsidR="00450A1A" w:rsidRDefault="00450A1A" w:rsidP="00450A1A"/>
    <w:p w14:paraId="58290DA4" w14:textId="77777777" w:rsidR="00450A1A" w:rsidRPr="00594ADE" w:rsidRDefault="00450A1A" w:rsidP="00450A1A">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39FD34E1" w14:textId="77777777" w:rsidR="00450A1A" w:rsidRPr="00594ADE" w:rsidRDefault="00450A1A" w:rsidP="00450A1A">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41E26F95" w14:textId="77777777" w:rsidR="00450A1A" w:rsidRDefault="00450A1A" w:rsidP="00450A1A">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sidRPr="00594ADE">
        <w:rPr>
          <w:sz w:val="16"/>
        </w:rPr>
        <w:t>mid 2000s</w:t>
      </w:r>
      <w:proofErr w:type="spellEnd"/>
      <w:r w:rsidRPr="00594ADE">
        <w:rPr>
          <w:sz w:val="16"/>
        </w:rPr>
        <w:t>.</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6B747135" w14:textId="77777777" w:rsidR="00CA0D62" w:rsidRDefault="00CA0D62" w:rsidP="00CA0D62">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6D27ED5F" w14:textId="77777777" w:rsidR="00CA0D62" w:rsidRPr="00594ADE" w:rsidRDefault="00CA0D62" w:rsidP="00CA0D62">
      <w:r>
        <w:rPr>
          <w:rStyle w:val="Style13ptBold"/>
        </w:rPr>
        <w:t>Sean</w:t>
      </w:r>
      <w:r w:rsidRPr="00594ADE">
        <w:rPr>
          <w:rStyle w:val="Style13ptBold"/>
        </w:rPr>
        <w:t xml:space="preserve"> 17</w:t>
      </w:r>
      <w:r w:rsidRPr="00594ADE">
        <w:t xml:space="preserve"> – </w:t>
      </w:r>
      <w:proofErr w:type="spellStart"/>
      <w:r w:rsidRPr="00C539B0">
        <w:t>Seán</w:t>
      </w:r>
      <w:proofErr w:type="spellEnd"/>
      <w:r w:rsidRPr="00C539B0">
        <w:t xml:space="preserve"> Ó </w:t>
      </w:r>
      <w:proofErr w:type="spellStart"/>
      <w:r w:rsidRPr="00C539B0">
        <w:t>hÉigeartaigh</w:t>
      </w:r>
      <w:proofErr w:type="spellEnd"/>
      <w:r>
        <w:t xml:space="preserve">, </w:t>
      </w:r>
      <w:r w:rsidRPr="00594ADE">
        <w:t>Professor @ Cambridge, PhD in Genomics from Trinity College Dublin (</w:t>
      </w:r>
      <w:r w:rsidRPr="00594ADE">
        <w:rPr>
          <w:szCs w:val="16"/>
        </w:rPr>
        <w:t xml:space="preserve">Sean, “Technological Wild Cards: Existential Risk and a Changing Humanity”, </w:t>
      </w:r>
      <w:hyperlink r:id="rId9"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w:t>
      </w:r>
      <w:proofErr w:type="spellStart"/>
      <w:r w:rsidRPr="00594ADE">
        <w:rPr>
          <w:szCs w:val="16"/>
        </w:rPr>
        <w:t>gcd</w:t>
      </w:r>
      <w:proofErr w:type="spellEnd"/>
      <w:r>
        <w:rPr>
          <w:szCs w:val="16"/>
        </w:rPr>
        <w:t xml:space="preserve"> Recut Justin</w:t>
      </w:r>
    </w:p>
    <w:p w14:paraId="2FCA3DBD" w14:textId="77777777" w:rsidR="00CA0D62" w:rsidRPr="00594ADE" w:rsidRDefault="00CA0D62" w:rsidP="00CA0D62">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r w:rsidRPr="00C7231B">
        <w:rPr>
          <w:rStyle w:val="StyleUnderline"/>
        </w:rPr>
        <w:t>include</w:t>
      </w:r>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w:t>
      </w:r>
      <w:proofErr w:type="gramStart"/>
      <w:r w:rsidRPr="00594ADE">
        <w:rPr>
          <w:sz w:val="16"/>
        </w:rPr>
        <w:t>Therefore</w:t>
      </w:r>
      <w:proofErr w:type="gramEnd"/>
      <w:r w:rsidRPr="00594ADE">
        <w:rPr>
          <w:sz w:val="16"/>
        </w:rPr>
        <w:t xml:space="preserve"> decisions with long-term consequences must not rest solely with a small group of people, represent only the values of a small subset of people, or fail to account for the likely impacts on the global population. There have been a number of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specific 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on all</w:t>
      </w:r>
      <w:r w:rsidRPr="00594ADE">
        <w:rPr>
          <w:rStyle w:val="StyleUnderline"/>
        </w:rPr>
        <w:t xml:space="preserve"> of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C7231B">
        <w:rPr>
          <w:rStyle w:val="Emphasis"/>
          <w:highlight w:val="green"/>
        </w:rPr>
        <w:t>exi</w:t>
      </w:r>
      <w:r w:rsidRPr="00C7231B">
        <w:rPr>
          <w:rStyle w:val="StyleUnderline"/>
          <w:highlight w:val="green"/>
        </w:rPr>
        <w:t>stential risks</w:t>
      </w:r>
      <w:r w:rsidRPr="00594ADE">
        <w:rPr>
          <w:rStyle w:val="StyleUnderline"/>
        </w:rPr>
        <w:t xml:space="preserve"> </w:t>
      </w:r>
      <w:r w:rsidRPr="00C7231B">
        <w:rPr>
          <w:rStyle w:val="StyleUnderline"/>
        </w:rPr>
        <w:t xml:space="preserve">that we will simply not be able to overcome </w:t>
      </w:r>
      <w:r w:rsidRPr="00C7231B">
        <w:rPr>
          <w:rStyle w:val="Emphasis"/>
        </w:rPr>
        <w:t>without advances</w:t>
      </w:r>
      <w:r w:rsidRPr="00C7231B">
        <w:rPr>
          <w:rStyle w:val="StyleUnderline"/>
        </w:rPr>
        <w:t xml:space="preserve"> in science and technology.</w:t>
      </w:r>
      <w:r w:rsidRPr="00C7231B">
        <w:rPr>
          <w:sz w:val="16"/>
        </w:rPr>
        <w:t xml:space="preserve"> These include possible </w:t>
      </w:r>
      <w:r w:rsidRPr="00C7231B">
        <w:rPr>
          <w:rStyle w:val="Emphasis"/>
        </w:rPr>
        <w:t>pandemic outbreaks</w:t>
      </w:r>
      <w:r w:rsidRPr="00C7231B">
        <w:rPr>
          <w:sz w:val="16"/>
        </w:rPr>
        <w:t xml:space="preserve">, whether natural or engineered. The early identification of </w:t>
      </w:r>
      <w:r w:rsidRPr="00C7231B">
        <w:rPr>
          <w:rStyle w:val="Emphasis"/>
        </w:rPr>
        <w:t>incoming asteroids</w:t>
      </w:r>
      <w:r w:rsidRPr="00C7231B">
        <w:rPr>
          <w:sz w:val="16"/>
        </w:rPr>
        <w:t xml:space="preserve">, and approaches to shift their path, is a topic of active research at NASA and elsewhere. While currently there are no known techniques to prevent or mitigate a </w:t>
      </w:r>
      <w:proofErr w:type="spellStart"/>
      <w:r w:rsidRPr="00C7231B">
        <w:rPr>
          <w:rStyle w:val="StyleUnderline"/>
        </w:rPr>
        <w:t>supervolcanic</w:t>
      </w:r>
      <w:proofErr w:type="spellEnd"/>
      <w:r w:rsidRPr="00C7231B">
        <w:rPr>
          <w:rStyle w:val="StyleUnderline"/>
        </w:rPr>
        <w:t xml:space="preserve"> eruption, this may not be the case with the tools at our disposal a century from now</w:t>
      </w:r>
      <w:r w:rsidRPr="00C7231B">
        <w:rPr>
          <w:sz w:val="16"/>
        </w:rPr>
        <w:t>. And in the longer</w:t>
      </w:r>
      <w:r w:rsidRPr="00594ADE">
        <w:rPr>
          <w:sz w:val="16"/>
        </w:rPr>
        <w:t xml:space="preserve">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8D2E40">
        <w:rPr>
          <w:rStyle w:val="StyleUnderline"/>
          <w:highlight w:val="green"/>
        </w:rPr>
        <w:t>that</w:t>
      </w:r>
      <w:r w:rsidRPr="00594ADE">
        <w:rPr>
          <w:rStyle w:val="StyleUnderline"/>
        </w:rPr>
        <w:t xml:space="preserve"> would </w:t>
      </w:r>
      <w:r w:rsidRPr="008D2E40">
        <w:rPr>
          <w:rStyle w:val="StyleUnderline"/>
          <w:highlight w:val="green"/>
        </w:rPr>
        <w:t>have</w:t>
      </w:r>
      <w:r w:rsidRPr="00594ADE">
        <w:rPr>
          <w:rStyle w:val="StyleUnderline"/>
        </w:rPr>
        <w:t xml:space="preserve"> uniquely </w:t>
      </w:r>
      <w:r w:rsidRPr="008D2E40">
        <w:rPr>
          <w:rStyle w:val="StyleUnderline"/>
          <w:highlight w:val="green"/>
        </w:rPr>
        <w:t>unpredictable consequences.</w:t>
      </w:r>
      <w:r w:rsidRPr="00594ADE">
        <w:rPr>
          <w:sz w:val="16"/>
        </w:rPr>
        <w:t xml:space="preserve"> It is reassuring to note that there are relatively </w:t>
      </w:r>
      <w:r w:rsidRPr="008D2E40">
        <w:rPr>
          <w:rStyle w:val="Emphasis"/>
          <w:highlight w:val="green"/>
        </w:rPr>
        <w:t>few individual events</w:t>
      </w:r>
      <w:r w:rsidRPr="00594ADE">
        <w:rPr>
          <w:rStyle w:val="Emphasis"/>
        </w:rPr>
        <w:t xml:space="preserve"> that could </w:t>
      </w:r>
      <w:r w:rsidRPr="008D2E40">
        <w:rPr>
          <w:rStyle w:val="Emphasis"/>
          <w:highlight w:val="green"/>
        </w:rPr>
        <w:t>cause</w:t>
      </w:r>
      <w:r w:rsidRPr="00594ADE">
        <w:rPr>
          <w:rStyle w:val="Emphasis"/>
        </w:rPr>
        <w:t xml:space="preserve"> an existential </w:t>
      </w:r>
      <w:r w:rsidRPr="008D2E40">
        <w:rPr>
          <w:rStyle w:val="Emphasis"/>
          <w:highlight w:val="green"/>
        </w:rPr>
        <w:t>catastrophe</w:t>
      </w:r>
      <w:r w:rsidRPr="00594ADE">
        <w:rPr>
          <w:sz w:val="16"/>
        </w:rPr>
        <w:t xml:space="preserve">—one resulting in extinction or a permanent civilizational collapse. Setting aside the very rare events (such as </w:t>
      </w:r>
      <w:proofErr w:type="spellStart"/>
      <w:r w:rsidRPr="00594ADE">
        <w:rPr>
          <w:sz w:val="16"/>
        </w:rPr>
        <w:t>supervolcanoes</w:t>
      </w:r>
      <w:proofErr w:type="spellEnd"/>
      <w:r w:rsidRPr="00594ADE">
        <w:rPr>
          <w:sz w:val="16"/>
        </w:rPr>
        <w:t xml:space="preserve">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8D2E40">
        <w:rPr>
          <w:rStyle w:val="StyleUnderline"/>
          <w:highlight w:val="green"/>
        </w:rPr>
        <w:t>our interconnected world</w:t>
      </w:r>
      <w:r w:rsidRPr="00594ADE">
        <w:rPr>
          <w:rStyle w:val="StyleUnderline"/>
        </w:rPr>
        <w:t xml:space="preserve"> they </w:t>
      </w:r>
      <w:r w:rsidRPr="00C7231B">
        <w:rPr>
          <w:rStyle w:val="StyleUnderline"/>
        </w:rPr>
        <w:t xml:space="preserve">all </w:t>
      </w:r>
      <w:r w:rsidRPr="008D2E40">
        <w:rPr>
          <w:rStyle w:val="StyleUnderline"/>
          <w:highlight w:val="green"/>
        </w:rPr>
        <w:t>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8D2E40">
        <w:rPr>
          <w:rStyle w:val="StyleUnderline"/>
          <w:highlight w:val="green"/>
        </w:rPr>
        <w:t>technologies</w:t>
      </w:r>
      <w:r w:rsidRPr="00594ADE">
        <w:rPr>
          <w:rStyle w:val="StyleUnderline"/>
        </w:rPr>
        <w:t xml:space="preserve"> unlike any we have had in our past history will </w:t>
      </w:r>
      <w:r w:rsidRPr="008D2E40">
        <w:rPr>
          <w:rStyle w:val="StyleUnderline"/>
          <w:highlight w:val="green"/>
        </w:rPr>
        <w:t>hang over us like</w:t>
      </w:r>
      <w:r w:rsidRPr="00594ADE">
        <w:rPr>
          <w:rStyle w:val="StyleUnderline"/>
        </w:rPr>
        <w:t xml:space="preserve"> multiple </w:t>
      </w:r>
      <w:r w:rsidRPr="008D2E40">
        <w:rPr>
          <w:rStyle w:val="Emphasis"/>
          <w:highlight w:val="green"/>
        </w:rPr>
        <w:t>Damocles’ swords.</w:t>
      </w:r>
      <w:r w:rsidRPr="00594ADE">
        <w:rPr>
          <w:sz w:val="16"/>
        </w:rPr>
        <w:t xml:space="preserve"> But it will also be a century in which the technologies we develop, and the </w:t>
      </w:r>
      <w:r w:rsidRPr="008D2E40">
        <w:rPr>
          <w:rStyle w:val="StyleUnderline"/>
          <w:highlight w:val="green"/>
        </w:rPr>
        <w:t xml:space="preserve">institutional structures </w:t>
      </w:r>
      <w:r w:rsidRPr="00C7231B">
        <w:rPr>
          <w:rStyle w:val="StyleUnderline"/>
        </w:rPr>
        <w:t>we develop</w:t>
      </w:r>
      <w:r w:rsidRPr="00C7231B">
        <w:rPr>
          <w:sz w:val="16"/>
        </w:rPr>
        <w:t>,</w:t>
      </w:r>
      <w:r w:rsidRPr="00594ADE">
        <w:rPr>
          <w:sz w:val="16"/>
        </w:rPr>
        <w:t xml:space="preserve"> may </w:t>
      </w:r>
      <w:r w:rsidRPr="008D2E40">
        <w:rPr>
          <w:rStyle w:val="StyleUnderline"/>
          <w:highlight w:val="green"/>
        </w:rPr>
        <w:t>aid</w:t>
      </w:r>
      <w:r w:rsidRPr="00594ADE">
        <w:rPr>
          <w:sz w:val="16"/>
        </w:rPr>
        <w:t xml:space="preserve"> us </w:t>
      </w:r>
      <w:r w:rsidRPr="008D2E40">
        <w:rPr>
          <w:rStyle w:val="StyleUnderline"/>
          <w:highlight w:val="green"/>
        </w:rPr>
        <w:t>in solving</w:t>
      </w:r>
      <w:r w:rsidRPr="00594ADE">
        <w:rPr>
          <w:sz w:val="16"/>
        </w:rPr>
        <w:t xml:space="preserve"> many of the </w:t>
      </w:r>
      <w:r w:rsidRPr="008D2E40">
        <w:rPr>
          <w:rStyle w:val="StyleUnderline"/>
          <w:highlight w:val="green"/>
        </w:rPr>
        <w:t>problems</w:t>
      </w:r>
      <w:r w:rsidRPr="00594ADE">
        <w:rPr>
          <w:sz w:val="16"/>
        </w:rPr>
        <w:t xml:space="preserve"> we currently face—if we guide their development, and their uses and applications, carefully. </w:t>
      </w:r>
    </w:p>
    <w:p w14:paraId="408A53F5" w14:textId="77777777" w:rsidR="00450A1A" w:rsidRDefault="00450A1A" w:rsidP="00450A1A">
      <w:pPr>
        <w:pStyle w:val="Heading3"/>
      </w:pPr>
      <w:r>
        <w:t>Plan</w:t>
      </w:r>
    </w:p>
    <w:p w14:paraId="15C3ACC2" w14:textId="77777777" w:rsidR="00450A1A" w:rsidRDefault="00450A1A" w:rsidP="00450A1A">
      <w:pPr>
        <w:pStyle w:val="Heading4"/>
      </w:pPr>
      <w:r>
        <w:t>Plan text: The United States of America ought to recognize an unconditional right of workers to strike.</w:t>
      </w:r>
    </w:p>
    <w:p w14:paraId="0EC73E49" w14:textId="77777777" w:rsidR="00450A1A" w:rsidRDefault="00450A1A" w:rsidP="00450A1A"/>
    <w:p w14:paraId="0CAD25A7" w14:textId="77777777" w:rsidR="00450A1A" w:rsidRDefault="00450A1A" w:rsidP="00450A1A">
      <w:pPr>
        <w:pStyle w:val="Heading4"/>
      </w:pPr>
      <w:r>
        <w:t xml:space="preserve">Definition of </w:t>
      </w:r>
      <w:r w:rsidRPr="0026026A">
        <w:rPr>
          <w:u w:val="single"/>
        </w:rPr>
        <w:t>unconditional right to strike</w:t>
      </w:r>
      <w:r>
        <w:t>:</w:t>
      </w:r>
    </w:p>
    <w:p w14:paraId="698A34CF" w14:textId="77777777" w:rsidR="00450A1A" w:rsidRDefault="00450A1A" w:rsidP="00450A1A">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0" w:history="1">
        <w:r w:rsidRPr="00540FF3">
          <w:rPr>
            <w:rStyle w:val="Hyperlink"/>
          </w:rPr>
          <w:t>https://play.google.com/store/books/details?id=7o1tA__v4xwC&amp;rdid=book-7o1tA__v4xwC&amp;rdot=1</w:t>
        </w:r>
      </w:hyperlink>
      <w:r>
        <w:t>] Justin</w:t>
      </w:r>
    </w:p>
    <w:p w14:paraId="7618CB6D" w14:textId="77777777" w:rsidR="00450A1A" w:rsidRPr="0026026A" w:rsidRDefault="00450A1A" w:rsidP="00450A1A">
      <w:r>
        <w:t>**Edited for gendered language</w:t>
      </w:r>
    </w:p>
    <w:p w14:paraId="304119D2" w14:textId="77777777" w:rsidR="00450A1A" w:rsidRDefault="00450A1A" w:rsidP="00450A1A">
      <w:pPr>
        <w:rPr>
          <w:u w:val="single"/>
        </w:rPr>
      </w:pPr>
      <w:r w:rsidRPr="0026026A">
        <w:rPr>
          <w:sz w:val="16"/>
        </w:rPr>
        <w:t xml:space="preserve">As for </w:t>
      </w:r>
      <w:r w:rsidRPr="008D2E40">
        <w:rPr>
          <w:highlight w:val="green"/>
          <w:u w:val="single"/>
        </w:rPr>
        <w:t>the</w:t>
      </w:r>
      <w:r w:rsidRPr="00FC6656">
        <w:rPr>
          <w:u w:val="single"/>
        </w:rPr>
        <w:t xml:space="preserve"> so-called absolute or </w:t>
      </w:r>
      <w:r w:rsidRPr="008D2E40">
        <w:rPr>
          <w:rStyle w:val="Emphasis"/>
          <w:highlight w:val="green"/>
        </w:rPr>
        <w:t>unconditional</w:t>
      </w:r>
      <w:r w:rsidRPr="008D2E40">
        <w:rPr>
          <w:highlight w:val="green"/>
          <w:u w:val="single"/>
        </w:rPr>
        <w:t xml:space="preserve"> right to strike</w:t>
      </w:r>
      <w:r w:rsidRPr="00FC6656">
        <w:rPr>
          <w:u w:val="single"/>
        </w:rPr>
        <w:t xml:space="preserve">—there are no absolute rights that do not </w:t>
      </w:r>
      <w:r w:rsidRPr="008D2E40">
        <w:rPr>
          <w:highlight w:val="green"/>
          <w:u w:val="single"/>
        </w:rPr>
        <w:t>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r w:rsidRPr="008D2E40">
        <w:rPr>
          <w:highlight w:val="green"/>
          <w:u w:val="single"/>
        </w:rPr>
        <w:t xml:space="preserve">each individual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8D2E40">
        <w:rPr>
          <w:highlight w:val="green"/>
          <w:u w:val="single"/>
        </w:rPr>
        <w:t xml:space="preserve">I take </w:t>
      </w:r>
      <w:r w:rsidRPr="008D2E40">
        <w:rPr>
          <w:rStyle w:val="Emphasis"/>
          <w:highlight w:val="green"/>
        </w:rPr>
        <w:t>issue</w:t>
      </w:r>
      <w:r w:rsidRPr="0026026A">
        <w:rPr>
          <w:sz w:val="16"/>
        </w:rPr>
        <w:t xml:space="preserve"> very definitely </w:t>
      </w:r>
      <w:r w:rsidRPr="008D2E40">
        <w:rPr>
          <w:highlight w:val="green"/>
          <w:u w:val="single"/>
        </w:rPr>
        <w:t xml:space="preserve">with the suggestion </w:t>
      </w:r>
      <w:r w:rsidRPr="00FC6656">
        <w:rPr>
          <w:u w:val="single"/>
        </w:rPr>
        <w:t xml:space="preserve">that </w:t>
      </w:r>
      <w:r w:rsidRPr="008D2E40">
        <w:rPr>
          <w:highlight w:val="green"/>
          <w:u w:val="single"/>
        </w:rPr>
        <w:t>there is an</w:t>
      </w:r>
      <w:r w:rsidRPr="0026026A">
        <w:rPr>
          <w:u w:val="single"/>
        </w:rPr>
        <w:t xml:space="preserve"> absolute and </w:t>
      </w:r>
      <w:r w:rsidRPr="008D2E40">
        <w:rPr>
          <w:rStyle w:val="Emphasis"/>
          <w:highlight w:val="green"/>
        </w:rPr>
        <w:t>unconditional</w:t>
      </w:r>
      <w:r w:rsidRPr="008D2E40">
        <w:rPr>
          <w:highlight w:val="green"/>
          <w:u w:val="single"/>
        </w:rPr>
        <w:t xml:space="preserve"> </w:t>
      </w:r>
      <w:r w:rsidRPr="008D2E40">
        <w:rPr>
          <w:rStyle w:val="Emphasis"/>
          <w:highlight w:val="green"/>
        </w:rPr>
        <w:t>right</w:t>
      </w:r>
      <w:r w:rsidRPr="008D2E40">
        <w:rPr>
          <w:highlight w:val="green"/>
          <w:u w:val="single"/>
        </w:rPr>
        <w:t xml:space="preserve"> to</w:t>
      </w:r>
      <w:r w:rsidRPr="0026026A">
        <w:rPr>
          <w:sz w:val="16"/>
        </w:rPr>
        <w:t xml:space="preserve"> concerted action (which after all is what the </w:t>
      </w:r>
      <w:r w:rsidRPr="008D2E40">
        <w:rPr>
          <w:rStyle w:val="Emphasis"/>
          <w:highlight w:val="green"/>
        </w:rPr>
        <w:t>strike</w:t>
      </w:r>
      <w:r w:rsidRPr="0026026A">
        <w:rPr>
          <w:sz w:val="16"/>
        </w:rPr>
        <w:t xml:space="preserve"> is) </w:t>
      </w:r>
      <w:r w:rsidRPr="008D2E40">
        <w:rPr>
          <w:highlight w:val="green"/>
          <w:u w:val="single"/>
        </w:rPr>
        <w:t xml:space="preserve">which </w:t>
      </w:r>
      <w:r w:rsidRPr="008D2E40">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8D2E40">
        <w:rPr>
          <w:rStyle w:val="Emphasis"/>
          <w:highlight w:val="green"/>
        </w:rPr>
        <w:t>welfare</w:t>
      </w:r>
      <w:r w:rsidRPr="008D2E40">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4C8865A1" w14:textId="77777777" w:rsidR="00450A1A" w:rsidRDefault="00450A1A" w:rsidP="00450A1A"/>
    <w:p w14:paraId="27AFB140" w14:textId="77777777" w:rsidR="00450A1A" w:rsidRPr="002D5537" w:rsidRDefault="00450A1A" w:rsidP="00450A1A">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1A2F9CF9" w14:textId="77777777" w:rsidR="00450A1A" w:rsidRPr="00D2046C" w:rsidRDefault="00450A1A" w:rsidP="00450A1A">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Justin ** Brackets in original</w:t>
      </w:r>
    </w:p>
    <w:p w14:paraId="2FA5C331" w14:textId="77777777" w:rsidR="00450A1A" w:rsidRPr="00696421" w:rsidRDefault="00450A1A" w:rsidP="00450A1A">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053DF443" w14:textId="77777777" w:rsidR="00450A1A" w:rsidRDefault="00450A1A" w:rsidP="00450A1A"/>
    <w:p w14:paraId="6020290C" w14:textId="38A6FCD7" w:rsidR="00450A1A" w:rsidRDefault="00450A1A" w:rsidP="00450A1A">
      <w:pPr>
        <w:pStyle w:val="Heading3"/>
      </w:pPr>
      <w:r>
        <w:t>FW</w:t>
      </w:r>
    </w:p>
    <w:p w14:paraId="57E1522F" w14:textId="77777777" w:rsidR="00CA0D62" w:rsidRPr="00670EC3" w:rsidRDefault="00CA0D62" w:rsidP="00CA0D62">
      <w:pPr>
        <w:pStyle w:val="Heading4"/>
        <w:rPr>
          <w:rFonts w:cs="Calibri"/>
          <w:bCs/>
        </w:rPr>
      </w:pPr>
      <w:r w:rsidRPr="00670EC3">
        <w:rPr>
          <w:rFonts w:cs="Calibri"/>
          <w:bCs/>
        </w:rPr>
        <w:t>The standard is maximizing expected wellbeing.</w:t>
      </w:r>
    </w:p>
    <w:p w14:paraId="7A1AABFD" w14:textId="77777777" w:rsidR="00CA0D62" w:rsidRPr="00726A39" w:rsidRDefault="00CA0D62" w:rsidP="00CA0D62">
      <w:pPr>
        <w:pStyle w:val="Heading4"/>
        <w:rPr>
          <w:rFonts w:cs="Calibri"/>
          <w:bCs/>
        </w:rPr>
      </w:pPr>
      <w:r w:rsidRPr="00726A39">
        <w:rPr>
          <w:rFonts w:cs="Calibri"/>
          <w:bCs/>
        </w:rPr>
        <w:t xml:space="preserve">1] Actor spec—governments must use util because they </w:t>
      </w:r>
      <w:r w:rsidRPr="00726A39">
        <w:rPr>
          <w:rFonts w:cs="Calibri"/>
          <w:bCs/>
          <w:u w:val="single"/>
        </w:rPr>
        <w:t>don’t have intentions</w:t>
      </w:r>
      <w:r w:rsidRPr="00726A39">
        <w:rPr>
          <w:rFonts w:cs="Calibri"/>
          <w:bCs/>
        </w:rPr>
        <w:t xml:space="preserve"> and are </w:t>
      </w:r>
      <w:r w:rsidRPr="00726A39">
        <w:rPr>
          <w:rFonts w:cs="Calibri"/>
          <w:bCs/>
          <w:u w:val="single"/>
        </w:rPr>
        <w:t>constantly</w:t>
      </w:r>
      <w:r w:rsidRPr="00726A39">
        <w:rPr>
          <w:rFonts w:cs="Calibri"/>
          <w:bCs/>
        </w:rPr>
        <w:t xml:space="preserve"> dealing with tradeoffs—outweighs since different agents have different obligations—takes out </w:t>
      </w:r>
      <w:proofErr w:type="spellStart"/>
      <w:r w:rsidRPr="00726A39">
        <w:rPr>
          <w:rFonts w:cs="Calibri"/>
          <w:bCs/>
        </w:rPr>
        <w:t>calc</w:t>
      </w:r>
      <w:proofErr w:type="spellEnd"/>
      <w:r w:rsidRPr="00726A39">
        <w:rPr>
          <w:rFonts w:cs="Calibri"/>
          <w:bCs/>
        </w:rPr>
        <w:t xml:space="preserve"> indicts since they are empirically denied.</w:t>
      </w:r>
    </w:p>
    <w:p w14:paraId="6C44FDB9" w14:textId="77777777" w:rsidR="00CA0D62" w:rsidRDefault="00CA0D62" w:rsidP="00CA0D62">
      <w:pPr>
        <w:pStyle w:val="Heading4"/>
        <w:rPr>
          <w:rFonts w:cs="Calibri"/>
          <w:bCs/>
        </w:rPr>
      </w:pPr>
      <w:r w:rsidRPr="00726A39">
        <w:rPr>
          <w:rFonts w:cs="Calibri"/>
          <w:bCs/>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2DC682F1" w14:textId="77777777" w:rsidR="00CA0D62" w:rsidRPr="00167965" w:rsidRDefault="00CA0D62" w:rsidP="00CA0D62"/>
    <w:p w14:paraId="339A1E36" w14:textId="77777777" w:rsidR="00CA0D62" w:rsidRPr="00726A39" w:rsidRDefault="00CA0D62" w:rsidP="00CA0D62">
      <w:pPr>
        <w:pStyle w:val="Heading4"/>
      </w:pPr>
      <w:r w:rsidRPr="00726A39">
        <w:t xml:space="preserve">Impact </w:t>
      </w:r>
      <w:proofErr w:type="spellStart"/>
      <w:r w:rsidRPr="00726A39">
        <w:t>calc</w:t>
      </w:r>
      <w:proofErr w:type="spellEnd"/>
      <w:r w:rsidRPr="00726A39">
        <w:t xml:space="preserve"> – </w:t>
      </w:r>
    </w:p>
    <w:p w14:paraId="3A85BC1C" w14:textId="77777777" w:rsidR="00CA0D62" w:rsidRPr="00726A39" w:rsidRDefault="00CA0D62" w:rsidP="00CA0D62">
      <w:pPr>
        <w:pStyle w:val="Heading4"/>
      </w:pPr>
      <w:r w:rsidRPr="00726A39">
        <w:t xml:space="preserve">1] Extinction </w:t>
      </w:r>
      <w:r w:rsidRPr="00726A39">
        <w:rPr>
          <w:u w:val="single"/>
        </w:rPr>
        <w:t>outweighs</w:t>
      </w:r>
      <w:r w:rsidRPr="00726A39">
        <w:t xml:space="preserve">: </w:t>
      </w:r>
    </w:p>
    <w:p w14:paraId="378E4461" w14:textId="77777777" w:rsidR="00CA0D62" w:rsidRPr="00726A39" w:rsidRDefault="00CA0D62" w:rsidP="00CA0D62">
      <w:pPr>
        <w:pStyle w:val="Heading4"/>
      </w:pPr>
      <w:r w:rsidRPr="00726A39">
        <w:t xml:space="preserve">A] </w:t>
      </w:r>
      <w:r w:rsidRPr="00726A39">
        <w:rPr>
          <w:u w:val="single"/>
        </w:rPr>
        <w:t>Structural violence</w:t>
      </w:r>
      <w:r w:rsidRPr="00726A39">
        <w:t xml:space="preserve">- death causes suffering because people can’t get access to resources and basic necessities </w:t>
      </w:r>
    </w:p>
    <w:p w14:paraId="67E21EA5" w14:textId="77777777" w:rsidR="00CA0D62" w:rsidRPr="00726A39" w:rsidRDefault="00CA0D62" w:rsidP="00CA0D62">
      <w:pPr>
        <w:pStyle w:val="Heading4"/>
      </w:pPr>
      <w:r w:rsidRPr="00726A39">
        <w:t xml:space="preserve">B] </w:t>
      </w:r>
      <w:r w:rsidRPr="00726A39">
        <w:rPr>
          <w:u w:val="single"/>
        </w:rPr>
        <w:t>Objectivity</w:t>
      </w:r>
      <w:r w:rsidRPr="00726A39">
        <w:t xml:space="preserve">- body count is the most objective way to calculate impacts because comparing suffering is unethical </w:t>
      </w:r>
    </w:p>
    <w:p w14:paraId="68BE7EE0" w14:textId="77777777" w:rsidR="00CA0D62" w:rsidRPr="00726A39" w:rsidRDefault="00CA0D62" w:rsidP="00CA0D62">
      <w:pPr>
        <w:pStyle w:val="Heading4"/>
      </w:pPr>
      <w:r w:rsidRPr="00726A39">
        <w:t xml:space="preserve">C] Mathematically </w:t>
      </w:r>
      <w:r w:rsidRPr="00726A39">
        <w:rPr>
          <w:u w:val="single"/>
        </w:rPr>
        <w:t>outweighs</w:t>
      </w:r>
      <w:r w:rsidRPr="00726A39">
        <w:t>.</w:t>
      </w:r>
    </w:p>
    <w:p w14:paraId="6F163688" w14:textId="77777777" w:rsidR="00CA0D62" w:rsidRDefault="00CA0D62" w:rsidP="00CA0D62">
      <w:r>
        <w:rPr>
          <w:rStyle w:val="Heading4Char"/>
        </w:rPr>
        <w:t>MacAskill 14</w:t>
      </w:r>
      <w:r>
        <w:t xml:space="preserve"> [William, Oxford Philosopher and youngest tenured philosopher in the world, Normative Uncertainty, 2014]</w:t>
      </w:r>
    </w:p>
    <w:p w14:paraId="4236F378" w14:textId="77777777" w:rsidR="00CA0D62" w:rsidRPr="006A4A66" w:rsidRDefault="00CA0D62" w:rsidP="00CA0D62">
      <w:pPr>
        <w:rPr>
          <w:szCs w:val="26"/>
        </w:rPr>
      </w:pPr>
      <w:r>
        <w:rPr>
          <w:rStyle w:val="StyleUnderline"/>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Pr>
          <w:szCs w:val="26"/>
        </w:rPr>
        <w:t>good</w:t>
      </w:r>
      <w:r>
        <w:rPr>
          <w:rStyle w:val="StyleUnderline"/>
          <w:szCs w:val="26"/>
        </w:rPr>
        <w:t xml:space="preserve"> </w:t>
      </w:r>
      <w:r>
        <w:rPr>
          <w:szCs w:val="26"/>
        </w:rPr>
        <w:t xml:space="preserve">or a </w:t>
      </w:r>
      <w:r>
        <w:rPr>
          <w:rStyle w:val="StyleUnderline"/>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Pr>
          <w:szCs w:val="26"/>
        </w:rPr>
        <w:t>thing.For</w:t>
      </w:r>
      <w:proofErr w:type="spellEnd"/>
      <w:proofErr w:type="gram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t>
      </w:r>
      <w:proofErr w:type="spellStart"/>
      <w:r>
        <w:rPr>
          <w:szCs w:val="26"/>
        </w:rPr>
        <w:t>weight</w:t>
      </w:r>
      <w:proofErr w:type="spellEnd"/>
      <w:r>
        <w:rPr>
          <w:szCs w:val="26"/>
        </w:rPr>
        <w:t xml:space="preserve"> the prevention of suffering as being much more important that the promotion of happiness. Or one could </w:t>
      </w:r>
      <w:proofErr w:type="spellStart"/>
      <w:r>
        <w:rPr>
          <w:szCs w:val="26"/>
        </w:rPr>
        <w:t>weight</w:t>
      </w:r>
      <w:proofErr w:type="spellEnd"/>
      <w:r>
        <w:rPr>
          <w:szCs w:val="26"/>
        </w:rPr>
        <w:t xml:space="preserve">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Pr>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Cs w:val="26"/>
        </w:rPr>
        <w:t>First</w:t>
      </w:r>
      <w:r>
        <w:rPr>
          <w:szCs w:val="26"/>
        </w:rPr>
        <w:t xml:space="preserve">, we should note that the </w:t>
      </w:r>
      <w:r>
        <w:rPr>
          <w:rStyle w:val="StyleUnderline"/>
          <w:szCs w:val="26"/>
        </w:rPr>
        <w:t>extinction</w:t>
      </w:r>
      <w:r>
        <w:rPr>
          <w:szCs w:val="26"/>
        </w:rPr>
        <w:t xml:space="preserve"> of the human race </w:t>
      </w:r>
      <w:r>
        <w:rPr>
          <w:rStyle w:val="StyleUnderline"/>
          <w:szCs w:val="26"/>
        </w:rPr>
        <w:t xml:space="preserve">is </w:t>
      </w:r>
      <w:r>
        <w:rPr>
          <w:szCs w:val="26"/>
        </w:rPr>
        <w:t xml:space="preserve">an </w:t>
      </w:r>
      <w:r>
        <w:rPr>
          <w:rStyle w:val="StyleUnderline"/>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Cs w:val="26"/>
        </w:rPr>
        <w:t xml:space="preserve">the number of humans in existence </w:t>
      </w:r>
      <w:r>
        <w:rPr>
          <w:szCs w:val="26"/>
        </w:rPr>
        <w:t>in the</w:t>
      </w:r>
      <w:r>
        <w:rPr>
          <w:rStyle w:val="StyleUnderline"/>
          <w:szCs w:val="26"/>
        </w:rPr>
        <w:t xml:space="preserve"> </w:t>
      </w:r>
      <w:proofErr w:type="spellStart"/>
      <w:r>
        <w:rPr>
          <w:szCs w:val="26"/>
        </w:rPr>
        <w:t>The</w:t>
      </w:r>
      <w:proofErr w:type="spellEnd"/>
      <w:r>
        <w:rPr>
          <w:szCs w:val="26"/>
        </w:rPr>
        <w:t xml:space="preserve"> future, </w:t>
      </w:r>
      <w:r>
        <w:rPr>
          <w:rStyle w:val="StyleUnderline"/>
          <w:szCs w:val="26"/>
        </w:rPr>
        <w:t>given that we don’t go extinct</w:t>
      </w:r>
      <w:r>
        <w:rPr>
          <w:szCs w:val="26"/>
        </w:rPr>
        <w:t xml:space="preserve"> any time soon, </w:t>
      </w:r>
      <w:r>
        <w:rPr>
          <w:rStyle w:val="StyleUnderline"/>
          <w:szCs w:val="26"/>
        </w:rPr>
        <w:t xml:space="preserve">would be </w:t>
      </w:r>
      <w:r>
        <w:rPr>
          <w:rStyle w:val="Emphasis"/>
          <w:sz w:val="26"/>
          <w:highlight w:val="green"/>
        </w:rPr>
        <w:t>2×10^14</w:t>
      </w:r>
      <w:r>
        <w:rPr>
          <w:szCs w:val="26"/>
        </w:rPr>
        <w:t xml:space="preserve">. </w:t>
      </w:r>
      <w:r>
        <w:rPr>
          <w:rStyle w:val="StyleUnderline"/>
          <w:szCs w:val="26"/>
        </w:rPr>
        <w:t xml:space="preserve">So if it is good to bring new people into existence, then it’s very good to prevent </w:t>
      </w:r>
      <w:r>
        <w:rPr>
          <w:szCs w:val="26"/>
        </w:rPr>
        <w:t>human</w:t>
      </w:r>
      <w:r>
        <w:rPr>
          <w:rStyle w:val="StyleUnderline"/>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Cs w:val="26"/>
        </w:rPr>
        <w:t>Third, we should expect</w:t>
      </w:r>
      <w:r>
        <w:rPr>
          <w:szCs w:val="26"/>
        </w:rPr>
        <w:t xml:space="preserve"> ourselves </w:t>
      </w:r>
      <w:r>
        <w:rPr>
          <w:rStyle w:val="StyleUnderline"/>
          <w:szCs w:val="26"/>
        </w:rPr>
        <w:t>to progress, morally</w:t>
      </w:r>
      <w:r>
        <w:rPr>
          <w:szCs w:val="26"/>
        </w:rPr>
        <w:t xml:space="preserve">, over the next few centuries, </w:t>
      </w:r>
      <w:r>
        <w:rPr>
          <w:rStyle w:val="StyleUnderline"/>
          <w:szCs w:val="26"/>
        </w:rPr>
        <w:t>as we have</w:t>
      </w:r>
      <w:r>
        <w:rPr>
          <w:szCs w:val="26"/>
        </w:rPr>
        <w:t xml:space="preserve"> progressed </w:t>
      </w:r>
      <w:r>
        <w:rPr>
          <w:rStyle w:val="StyleUnderline"/>
          <w:szCs w:val="26"/>
        </w:rPr>
        <w:t>in the past.</w:t>
      </w:r>
      <w:r>
        <w:rPr>
          <w:szCs w:val="26"/>
        </w:rPr>
        <w:t xml:space="preserve"> So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Cs w:val="26"/>
        </w:rPr>
        <w:t>Suppose that we have</w:t>
      </w:r>
      <w:r>
        <w:rPr>
          <w:szCs w:val="26"/>
        </w:rPr>
        <w:t xml:space="preserve"> 0.8 credence that it is a bad thing to produce new people, and </w:t>
      </w:r>
      <w:r>
        <w:rPr>
          <w:rStyle w:val="StyleUnderline"/>
          <w:szCs w:val="26"/>
        </w:rPr>
        <w:t>0.2</w:t>
      </w:r>
      <w:r>
        <w:rPr>
          <w:szCs w:val="26"/>
        </w:rPr>
        <w:t xml:space="preserve"> </w:t>
      </w:r>
      <w:r>
        <w:rPr>
          <w:rStyle w:val="StyleUnderline"/>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Pr>
          <w:szCs w:val="26"/>
        </w:rPr>
        <w:t>credences</w:t>
      </w:r>
      <w:proofErr w:type="spellEnd"/>
      <w:r>
        <w:rPr>
          <w:szCs w:val="26"/>
        </w:rPr>
        <w:t>, the expected benefit of letting the human race go extinct now would be (.8-.</w:t>
      </w:r>
      <w:proofErr w:type="gramStart"/>
      <w:r>
        <w:rPr>
          <w:szCs w:val="26"/>
        </w:rPr>
        <w:t>2)×</w:t>
      </w:r>
      <w:proofErr w:type="gramEnd"/>
      <w:r>
        <w:rPr>
          <w:szCs w:val="26"/>
        </w:rPr>
        <w:t>(2×10^14)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Pr>
          <w:szCs w:val="26"/>
        </w:rPr>
        <w:t>let the human race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w:t>
      </w:r>
      <w:r>
        <w:rPr>
          <w:rStyle w:val="Emphasis"/>
          <w:sz w:val="26"/>
          <w:highlight w:val="green"/>
        </w:rPr>
        <w:t>for certain</w:t>
      </w:r>
      <w:r>
        <w:rPr>
          <w:rStyle w:val="StyleUnderline"/>
          <w:szCs w:val="26"/>
          <w:highlight w:val="green"/>
        </w:rPr>
        <w:t xml:space="preserve"> whether </w:t>
      </w:r>
      <w:r>
        <w:rPr>
          <w:rStyle w:val="StyleUnderline"/>
          <w:szCs w:val="26"/>
        </w:rPr>
        <w:t xml:space="preserve">or not additional </w:t>
      </w:r>
      <w:r>
        <w:rPr>
          <w:rStyle w:val="StyleUnderline"/>
          <w:szCs w:val="26"/>
          <w:highlight w:val="green"/>
        </w:rPr>
        <w:t>people</w:t>
      </w:r>
      <w:r>
        <w:rPr>
          <w:rStyle w:val="StyleUnderline"/>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szCs w:val="26"/>
        </w:rPr>
        <w:t>×(</w:t>
      </w:r>
      <w:proofErr w:type="gramEnd"/>
      <w:r>
        <w:rPr>
          <w:szCs w:val="26"/>
        </w:rPr>
        <w:t xml:space="preserve">10^10) (because of the delay of letting the human race go extinct), the expected value of which is 2.4×(10^10). But </w:t>
      </w:r>
      <w:r>
        <w:rPr>
          <w:rStyle w:val="StyleUnderline"/>
          <w:szCs w:val="26"/>
        </w:rPr>
        <w:t>there’s</w:t>
      </w:r>
      <w:r>
        <w:rPr>
          <w:szCs w:val="26"/>
        </w:rPr>
        <w:t xml:space="preserve"> also </w:t>
      </w:r>
      <w:r>
        <w:rPr>
          <w:rStyle w:val="StyleUnderline"/>
          <w:szCs w:val="26"/>
        </w:rPr>
        <w:t>a 20% chance of a gain of 2</w:t>
      </w:r>
      <w:proofErr w:type="gramStart"/>
      <w:r>
        <w:rPr>
          <w:rStyle w:val="StyleUnderline"/>
          <w:szCs w:val="26"/>
        </w:rPr>
        <w:t>×(</w:t>
      </w:r>
      <w:proofErr w:type="gramEnd"/>
      <w:r>
        <w:rPr>
          <w:rStyle w:val="StyleUnderline"/>
          <w:szCs w:val="26"/>
        </w:rPr>
        <w:t>10^14),</w:t>
      </w:r>
      <w:r>
        <w:rPr>
          <w:szCs w:val="26"/>
        </w:rPr>
        <w:t xml:space="preserve"> </w:t>
      </w:r>
      <w:r>
        <w:rPr>
          <w:rStyle w:val="StyleUnderline"/>
          <w:szCs w:val="26"/>
        </w:rPr>
        <w:t>the expected value of which is 4×(10^13).</w:t>
      </w:r>
      <w:r>
        <w:rPr>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Pr>
          <w:szCs w:val="26"/>
        </w:rPr>
        <w:t>for a few hundred years</w:t>
      </w:r>
      <w:r>
        <w:rPr>
          <w:rStyle w:val="StyleUnderline"/>
          <w:szCs w:val="26"/>
        </w:rPr>
        <w:t xml:space="preserve"> </w:t>
      </w:r>
      <w:r>
        <w:rPr>
          <w:rStyle w:val="StyleUnderline"/>
          <w:szCs w:val="26"/>
          <w:highlight w:val="green"/>
        </w:rPr>
        <w:t xml:space="preserve">is </w:t>
      </w:r>
      <w:r>
        <w:rPr>
          <w:rStyle w:val="Emphasis"/>
          <w:sz w:val="26"/>
        </w:rPr>
        <w:t xml:space="preserve">vanishingly </w:t>
      </w:r>
      <w:r>
        <w:rPr>
          <w:rStyle w:val="Emphasis"/>
          <w:sz w:val="26"/>
          <w:highlight w:val="green"/>
        </w:rPr>
        <w:t>small</w:t>
      </w:r>
      <w:r>
        <w:rPr>
          <w:rStyle w:val="StyleUnderline"/>
          <w:szCs w:val="26"/>
          <w:highlight w:val="green"/>
        </w:rPr>
        <w:t xml:space="preserve"> compared with</w:t>
      </w:r>
      <w:r>
        <w:rPr>
          <w:rStyle w:val="StyleUnderline"/>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Cs w:val="26"/>
        </w:rPr>
        <w:t xml:space="preserve"> </w:t>
      </w:r>
      <w:r>
        <w:rPr>
          <w:szCs w:val="26"/>
        </w:rPr>
        <w:t>while one gains new information.</w:t>
      </w:r>
    </w:p>
    <w:p w14:paraId="51272A5E" w14:textId="77777777" w:rsidR="00CA0D62" w:rsidRDefault="00CA0D62" w:rsidP="00CA0D62">
      <w:pPr>
        <w:pStyle w:val="Heading3"/>
      </w:pPr>
      <w:r>
        <w:t>1AC – Underview</w:t>
      </w:r>
    </w:p>
    <w:p w14:paraId="669147F0" w14:textId="0C88AE67" w:rsidR="00CA0D62" w:rsidRPr="00B7233C" w:rsidRDefault="00CA0D62" w:rsidP="00CA0D62">
      <w:pPr>
        <w:pStyle w:val="Heading4"/>
        <w:spacing w:line="240" w:lineRule="auto"/>
        <w:rPr>
          <w:rFonts w:cs="Calibri"/>
          <w:color w:val="000000" w:themeColor="text1"/>
        </w:rPr>
      </w:pPr>
      <w:r>
        <w:rPr>
          <w:rFonts w:cs="Calibri"/>
          <w:color w:val="000000" w:themeColor="text1"/>
        </w:rPr>
        <w:t xml:space="preserve">1] </w:t>
      </w:r>
      <w:r w:rsidRPr="00B7233C">
        <w:rPr>
          <w:rFonts w:cs="Calibri"/>
          <w:color w:val="000000" w:themeColor="text1"/>
        </w:rPr>
        <w:t xml:space="preserve">Interpretation: At all TOC bid distributing tournaments debating the </w:t>
      </w:r>
      <w:r>
        <w:rPr>
          <w:rFonts w:cs="Calibri"/>
          <w:color w:val="000000" w:themeColor="text1"/>
        </w:rPr>
        <w:t>November December</w:t>
      </w:r>
      <w:r w:rsidRPr="00B7233C">
        <w:rPr>
          <w:rFonts w:cs="Calibri"/>
          <w:color w:val="000000" w:themeColor="text1"/>
        </w:rPr>
        <w:t xml:space="preserve"> 20</w:t>
      </w:r>
      <w:r>
        <w:rPr>
          <w:rFonts w:cs="Calibri"/>
          <w:color w:val="000000" w:themeColor="text1"/>
        </w:rPr>
        <w:t>21</w:t>
      </w:r>
      <w:r w:rsidRPr="00B7233C">
        <w:rPr>
          <w:rFonts w:cs="Calibri"/>
          <w:color w:val="000000" w:themeColor="text1"/>
        </w:rPr>
        <w:t xml:space="preserve"> LD topic</w:t>
      </w:r>
      <w:r>
        <w:rPr>
          <w:rFonts w:cs="Calibri"/>
          <w:color w:val="000000" w:themeColor="text1"/>
        </w:rPr>
        <w:t>, debaters must have their contact info</w:t>
      </w:r>
      <w:r w:rsidRPr="00B7233C">
        <w:rPr>
          <w:rFonts w:cs="Calibri"/>
          <w:color w:val="000000" w:themeColor="text1"/>
        </w:rPr>
        <w:t xml:space="preserve"> on the NDCA LD wiki. </w:t>
      </w:r>
      <w:r w:rsidRPr="00B7233C">
        <w:rPr>
          <w:rFonts w:cs="Calibri"/>
          <w:color w:val="000000" w:themeColor="text1"/>
          <w:shd w:val="clear" w:color="auto" w:fill="FFFFFF"/>
        </w:rPr>
        <w:t>The disclosure must occur within 30 minutes of the round.</w:t>
      </w:r>
    </w:p>
    <w:p w14:paraId="6E81C2B0" w14:textId="77777777" w:rsidR="00CA0D62" w:rsidRDefault="00CA0D62" w:rsidP="00CA0D62">
      <w:pPr>
        <w:pStyle w:val="Heading4"/>
        <w:spacing w:line="240" w:lineRule="auto"/>
        <w:rPr>
          <w:rFonts w:cs="Calibri"/>
          <w:color w:val="000000" w:themeColor="text1"/>
        </w:rPr>
      </w:pPr>
      <w:r w:rsidRPr="00B7233C">
        <w:rPr>
          <w:rFonts w:cs="Calibri"/>
          <w:color w:val="000000" w:themeColor="text1"/>
        </w:rPr>
        <w:t>Violation – you didn’t – I have screenshots</w:t>
      </w:r>
    </w:p>
    <w:p w14:paraId="0316C77D" w14:textId="77777777" w:rsidR="00CA0D62" w:rsidRDefault="00CA0D62" w:rsidP="00CA0D62">
      <w:pPr>
        <w:rPr>
          <w:rFonts w:eastAsiaTheme="majorEastAsia"/>
          <w:b/>
          <w:bCs/>
          <w:color w:val="000000" w:themeColor="text1"/>
          <w:sz w:val="26"/>
          <w:szCs w:val="26"/>
        </w:rPr>
      </w:pPr>
      <w:r>
        <w:rPr>
          <w:noProof/>
          <w:lang w:eastAsia="zh-CN"/>
        </w:rPr>
        <w:drawing>
          <wp:inline distT="0" distB="0" distL="0" distR="0" wp14:anchorId="6DAAB47F" wp14:editId="48DB690B">
            <wp:extent cx="5495027" cy="17323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99651" cy="1733788"/>
                    </a:xfrm>
                    <a:prstGeom prst="rect">
                      <a:avLst/>
                    </a:prstGeom>
                  </pic:spPr>
                </pic:pic>
              </a:graphicData>
            </a:graphic>
          </wp:inline>
        </w:drawing>
      </w:r>
      <w:r>
        <w:rPr>
          <w:noProof/>
          <w:lang w:eastAsia="zh-CN"/>
        </w:rPr>
        <w:drawing>
          <wp:inline distT="0" distB="0" distL="0" distR="0" wp14:anchorId="24599D0B" wp14:editId="1CEA84DE">
            <wp:extent cx="5909095" cy="1618169"/>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63735" cy="1633132"/>
                    </a:xfrm>
                    <a:prstGeom prst="rect">
                      <a:avLst/>
                    </a:prstGeom>
                  </pic:spPr>
                </pic:pic>
              </a:graphicData>
            </a:graphic>
          </wp:inline>
        </w:drawing>
      </w:r>
    </w:p>
    <w:p w14:paraId="1BEFA91B" w14:textId="6F8C8B8C" w:rsidR="00CA0D62" w:rsidRPr="00A76E62" w:rsidRDefault="00CA0D62" w:rsidP="00CA0D62">
      <w:pPr>
        <w:pStyle w:val="Heading4"/>
        <w:spacing w:line="240" w:lineRule="auto"/>
        <w:rPr>
          <w:rFonts w:cs="Calibri"/>
          <w:color w:val="000000" w:themeColor="text1"/>
        </w:rPr>
      </w:pPr>
      <w:r>
        <w:rPr>
          <w:rFonts w:cs="Calibri"/>
          <w:color w:val="000000" w:themeColor="text1"/>
        </w:rPr>
        <w:t xml:space="preserve">[1] Content warnings – disclosing contact info ensures debaters don’t run positions </w:t>
      </w:r>
      <w:r w:rsidR="00CE01A5">
        <w:rPr>
          <w:rFonts w:cs="Calibri"/>
          <w:color w:val="000000" w:themeColor="text1"/>
        </w:rPr>
        <w:t xml:space="preserve">or use pronouns </w:t>
      </w:r>
      <w:r>
        <w:rPr>
          <w:rFonts w:cs="Calibri"/>
          <w:color w:val="000000" w:themeColor="text1"/>
        </w:rPr>
        <w:t xml:space="preserve">that make their opponent feel unsafe or uncomfortable. That o/w since debate should be accessible to everyone which is k2 education since people wouldn’t want to do debate if they feel unsafe. </w:t>
      </w:r>
      <w:r w:rsidRPr="00A76E62">
        <w:rPr>
          <w:rFonts w:cs="Calibri"/>
          <w:color w:val="000000" w:themeColor="text1"/>
        </w:rPr>
        <w:t>Accessibility is an independent voter: we cannot have any debate without the ability to participate.</w:t>
      </w:r>
    </w:p>
    <w:p w14:paraId="5437281B" w14:textId="7BA232E4" w:rsidR="00CA0D62" w:rsidRDefault="00CA0D62" w:rsidP="00CA0D62">
      <w:pPr>
        <w:pStyle w:val="Heading4"/>
      </w:pPr>
      <w:r>
        <w:rPr>
          <w:bCs/>
          <w:color w:val="000000" w:themeColor="text1"/>
          <w:szCs w:val="26"/>
        </w:rPr>
        <w:t>[2]</w:t>
      </w:r>
      <w:r w:rsidR="00CE01A5">
        <w:t xml:space="preserve"> </w:t>
      </w:r>
      <w:r>
        <w:t xml:space="preserve">Pre round prep – it would be impossible to contact you before round, since I don’t know who to or your preferred contact – destroys </w:t>
      </w:r>
      <w:proofErr w:type="spellStart"/>
      <w:r>
        <w:t>preround</w:t>
      </w:r>
      <w:proofErr w:type="spellEnd"/>
      <w:r>
        <w:t xml:space="preserve"> prep because you could be breaking new, or making changes to your aff and I wouldn’t even know. Outweighs, since </w:t>
      </w:r>
      <w:proofErr w:type="spellStart"/>
      <w:r>
        <w:t>preround</w:t>
      </w:r>
      <w:proofErr w:type="spellEnd"/>
      <w:r>
        <w:t xml:space="preserve"> prep is a gateway issue to engagement.</w:t>
      </w:r>
    </w:p>
    <w:p w14:paraId="630A8699" w14:textId="1A51AB9B" w:rsidR="00CA0D62" w:rsidRPr="006C7B25" w:rsidRDefault="00CA0D62" w:rsidP="00CA0D62">
      <w:pPr>
        <w:pStyle w:val="Heading4"/>
      </w:pPr>
      <w:r>
        <w:t>[3]</w:t>
      </w:r>
      <w:r w:rsidR="00CE01A5">
        <w:t xml:space="preserve"> </w:t>
      </w:r>
      <w:r>
        <w:t xml:space="preserve">Clash – I could know more about your </w:t>
      </w:r>
      <w:r>
        <w:t>neg if</w:t>
      </w:r>
      <w:r>
        <w:t xml:space="preserve"> I asked questions about it </w:t>
      </w:r>
      <w:proofErr w:type="spellStart"/>
      <w:r>
        <w:t>preround</w:t>
      </w:r>
      <w:proofErr w:type="spellEnd"/>
      <w:r>
        <w:t xml:space="preserve">, which is key to </w:t>
      </w:r>
      <w:proofErr w:type="spellStart"/>
      <w:r>
        <w:t>indepth</w:t>
      </w:r>
      <w:proofErr w:type="spellEnd"/>
      <w:r>
        <w:t xml:space="preserve"> clash in round, otherwise you can get away with sneaky pivots.</w:t>
      </w:r>
    </w:p>
    <w:p w14:paraId="5D21635D" w14:textId="7E43D56D" w:rsidR="00CA0D62" w:rsidRPr="00B7233C" w:rsidRDefault="00CA0D62" w:rsidP="00CA0D62">
      <w:pPr>
        <w:pStyle w:val="Heading4"/>
        <w:rPr>
          <w:bCs/>
          <w:color w:val="000000" w:themeColor="text1"/>
          <w:szCs w:val="26"/>
        </w:rPr>
      </w:pPr>
      <w:r>
        <w:rPr>
          <w:color w:val="000000" w:themeColor="text1"/>
        </w:rPr>
        <w:t xml:space="preserve">Education is a voter – terminal impact of debate. </w:t>
      </w:r>
      <w:r w:rsidRPr="00B7233C">
        <w:rPr>
          <w:bCs/>
          <w:color w:val="000000" w:themeColor="text1"/>
          <w:szCs w:val="26"/>
        </w:rPr>
        <w:t>Fairness is a voter—debate is a competitive activity that requires objective evaluation</w:t>
      </w:r>
      <w:r>
        <w:rPr>
          <w:bCs/>
          <w:color w:val="000000" w:themeColor="text1"/>
          <w:szCs w:val="26"/>
        </w:rPr>
        <w:t xml:space="preserve">. </w:t>
      </w:r>
      <w:r w:rsidRPr="00B7233C">
        <w:rPr>
          <w:bCs/>
          <w:color w:val="000000" w:themeColor="text1"/>
          <w:szCs w:val="26"/>
        </w:rPr>
        <w:t>Drop the debater—the abuse has already occurred and my time allocation has shifted – also to deter future abuse and set better norms</w:t>
      </w:r>
      <w:r>
        <w:rPr>
          <w:bCs/>
          <w:color w:val="000000" w:themeColor="text1"/>
          <w:szCs w:val="26"/>
        </w:rPr>
        <w:t xml:space="preserve">. </w:t>
      </w:r>
      <w:r w:rsidRPr="00B7233C">
        <w:rPr>
          <w:bCs/>
          <w:color w:val="000000" w:themeColor="text1"/>
          <w:szCs w:val="26"/>
        </w:rPr>
        <w:t xml:space="preserve">Use competing interps—leads to a race to the top since we figure out the best possible norm and avoids judge intervention since there’s a clear </w:t>
      </w:r>
      <w:proofErr w:type="spellStart"/>
      <w:r w:rsidRPr="00B7233C">
        <w:rPr>
          <w:bCs/>
          <w:color w:val="000000" w:themeColor="text1"/>
          <w:szCs w:val="26"/>
        </w:rPr>
        <w:t>brightline</w:t>
      </w:r>
      <w:proofErr w:type="spellEnd"/>
      <w:r w:rsidRPr="00B7233C">
        <w:rPr>
          <w:bCs/>
          <w:color w:val="000000" w:themeColor="text1"/>
          <w:szCs w:val="26"/>
        </w:rPr>
        <w:t>. No RVIs—</w:t>
      </w:r>
    </w:p>
    <w:p w14:paraId="64EDC318" w14:textId="77777777" w:rsidR="00CA0D62" w:rsidRPr="00B7233C" w:rsidRDefault="00CA0D62" w:rsidP="00CA0D62">
      <w:pPr>
        <w:pStyle w:val="Heading4"/>
        <w:rPr>
          <w:bCs/>
          <w:color w:val="000000" w:themeColor="text1"/>
          <w:szCs w:val="26"/>
        </w:rPr>
      </w:pPr>
      <w:r w:rsidRPr="00B7233C">
        <w:rPr>
          <w:bCs/>
          <w:color w:val="000000" w:themeColor="text1"/>
          <w:szCs w:val="26"/>
        </w:rPr>
        <w:t>a. Baiting—they’ll just bait theory and prep it out—justifies infinite abuse and results in a chilling effect and b</w:t>
      </w:r>
      <w:proofErr w:type="gramStart"/>
      <w:r w:rsidRPr="00B7233C">
        <w:rPr>
          <w:bCs/>
          <w:color w:val="000000" w:themeColor="text1"/>
          <w:szCs w:val="26"/>
        </w:rPr>
        <w:t xml:space="preserve">) </w:t>
      </w:r>
      <w:r w:rsidRPr="00B7233C">
        <w:rPr>
          <w:color w:val="000000" w:themeColor="text1"/>
          <w:sz w:val="24"/>
        </w:rPr>
        <w:t>)</w:t>
      </w:r>
      <w:proofErr w:type="gramEnd"/>
      <w:r w:rsidRPr="00B7233C">
        <w:rPr>
          <w:color w:val="000000" w:themeColor="text1"/>
          <w:sz w:val="24"/>
        </w:rPr>
        <w:t xml:space="preserve"> </w:t>
      </w:r>
      <w:r w:rsidRPr="00B7233C">
        <w:rPr>
          <w:bCs/>
          <w:color w:val="000000" w:themeColor="text1"/>
          <w:sz w:val="24"/>
        </w:rPr>
        <w:t>illogical – you don’t win because you’re fair</w:t>
      </w:r>
    </w:p>
    <w:p w14:paraId="2A2A90E4" w14:textId="77777777" w:rsidR="00CA0D62" w:rsidRPr="00740DF9" w:rsidRDefault="00CA0D62" w:rsidP="00CA0D62">
      <w:pPr>
        <w:pStyle w:val="Heading4"/>
      </w:pPr>
      <w:r>
        <w:t xml:space="preserve">2] </w:t>
      </w:r>
      <w:r w:rsidRPr="00740DF9">
        <w:t xml:space="preserve">1AR theory is legit – anything else means </w:t>
      </w:r>
      <w:r w:rsidRPr="00740DF9">
        <w:rPr>
          <w:u w:val="single"/>
        </w:rPr>
        <w:t>infinite abuse</w:t>
      </w:r>
      <w:r w:rsidRPr="00740DF9">
        <w:t xml:space="preserve"> – drop the debater, competing interps, and the highest layer – 1AR are </w:t>
      </w:r>
      <w:r w:rsidRPr="00740DF9">
        <w:rPr>
          <w:u w:val="single"/>
        </w:rPr>
        <w:t>too short</w:t>
      </w:r>
      <w:r w:rsidRPr="00740DF9">
        <w:t xml:space="preserve"> to make up for the time trade-off – no RVIs – 6 min 2NR means they can brute force me every time.</w:t>
      </w:r>
    </w:p>
    <w:p w14:paraId="3E05556B" w14:textId="77777777" w:rsidR="00CA0D62" w:rsidRPr="00167965" w:rsidRDefault="00CA0D62" w:rsidP="00CA0D62"/>
    <w:p w14:paraId="146B6B08" w14:textId="77777777" w:rsidR="00576C89" w:rsidRPr="00576C89" w:rsidRDefault="00576C89" w:rsidP="00CA0D62">
      <w:pPr>
        <w:pStyle w:val="Heading4"/>
      </w:pPr>
    </w:p>
    <w:sectPr w:rsidR="00576C89" w:rsidRPr="00576C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996306214528"/>
  </w:docVars>
  <w:rsids>
    <w:rsidRoot w:val="00450A1A"/>
    <w:rsid w:val="001E57CB"/>
    <w:rsid w:val="00381903"/>
    <w:rsid w:val="00406F24"/>
    <w:rsid w:val="00425AB6"/>
    <w:rsid w:val="00450A1A"/>
    <w:rsid w:val="00455A68"/>
    <w:rsid w:val="00466F02"/>
    <w:rsid w:val="004B7A17"/>
    <w:rsid w:val="00576C89"/>
    <w:rsid w:val="006910D4"/>
    <w:rsid w:val="006D68E7"/>
    <w:rsid w:val="00986789"/>
    <w:rsid w:val="00A876C6"/>
    <w:rsid w:val="00AD1522"/>
    <w:rsid w:val="00B06AC5"/>
    <w:rsid w:val="00CA0D62"/>
    <w:rsid w:val="00CE01A5"/>
    <w:rsid w:val="00FA0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626E8"/>
  <w15:chartTrackingRefBased/>
  <w15:docId w15:val="{0640AF62-4063-41EB-BE74-6ABDDEDE3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A0D62"/>
    <w:rPr>
      <w:rFonts w:ascii="Calibri" w:eastAsiaTheme="minorHAnsi" w:hAnsi="Calibri"/>
      <w:lang w:eastAsia="en-US"/>
    </w:rPr>
  </w:style>
  <w:style w:type="paragraph" w:styleId="Heading1">
    <w:name w:val="heading 1"/>
    <w:aliases w:val="Pocket"/>
    <w:basedOn w:val="Normal"/>
    <w:next w:val="Normal"/>
    <w:link w:val="Heading1Char"/>
    <w:qFormat/>
    <w:rsid w:val="00CA0D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0D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A0D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CA0D6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A0D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0D62"/>
  </w:style>
  <w:style w:type="character" w:customStyle="1" w:styleId="Heading1Char">
    <w:name w:val="Heading 1 Char"/>
    <w:aliases w:val="Pocket Char"/>
    <w:basedOn w:val="DefaultParagraphFont"/>
    <w:link w:val="Heading1"/>
    <w:rsid w:val="00CA0D62"/>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CA0D62"/>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CA0D62"/>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CA0D62"/>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7"/>
    <w:qFormat/>
    <w:rsid w:val="00CA0D6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A0D62"/>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CA0D62"/>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CA0D62"/>
    <w:rPr>
      <w:color w:val="auto"/>
      <w:u w:val="none"/>
    </w:rPr>
  </w:style>
  <w:style w:type="character" w:styleId="FollowedHyperlink">
    <w:name w:val="FollowedHyperlink"/>
    <w:basedOn w:val="DefaultParagraphFont"/>
    <w:uiPriority w:val="99"/>
    <w:semiHidden/>
    <w:unhideWhenUsed/>
    <w:rsid w:val="00CA0D62"/>
    <w:rPr>
      <w:color w:val="auto"/>
      <w:u w:val="none"/>
    </w:rPr>
  </w:style>
  <w:style w:type="paragraph" w:customStyle="1" w:styleId="textbold">
    <w:name w:val="text bold"/>
    <w:basedOn w:val="Normal"/>
    <w:link w:val="Emphasis"/>
    <w:autoRedefine/>
    <w:uiPriority w:val="7"/>
    <w:qFormat/>
    <w:rsid w:val="00450A1A"/>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450A1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autoRedefine/>
    <w:uiPriority w:val="99"/>
    <w:qFormat/>
    <w:rsid w:val="00450A1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4B7A17"/>
    <w:rPr>
      <w:u w:val="single"/>
    </w:rPr>
  </w:style>
  <w:style w:type="paragraph" w:styleId="Title">
    <w:name w:val="Title"/>
    <w:aliases w:val="title,UNDERLINE,Cites and Cards,Bold Underlined,Block Heading,Read This,Non Read Text,Debate Normal"/>
    <w:basedOn w:val="Normal"/>
    <w:link w:val="TitleChar"/>
    <w:uiPriority w:val="1"/>
    <w:qFormat/>
    <w:rsid w:val="004B7A17"/>
    <w:pPr>
      <w:spacing w:before="240" w:after="60"/>
      <w:ind w:left="432" w:right="432"/>
      <w:jc w:val="center"/>
      <w:outlineLvl w:val="0"/>
    </w:pPr>
    <w:rPr>
      <w:rFonts w:asciiTheme="minorHAnsi" w:eastAsiaTheme="minorEastAsia" w:hAnsiTheme="minorHAnsi"/>
      <w:u w:val="single"/>
      <w:lang w:eastAsia="zh-CN"/>
    </w:rPr>
  </w:style>
  <w:style w:type="character" w:customStyle="1" w:styleId="TitleChar1">
    <w:name w:val="Title Char1"/>
    <w:basedOn w:val="DefaultParagraphFont"/>
    <w:uiPriority w:val="10"/>
    <w:rsid w:val="004B7A17"/>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global/standards/introduction-to-international-labour-standards/the-benefits-of-international-labour-standards/lang--en/index.htm"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sci-hub.se/https://doi.org/10.1177/2031952521994412"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italcommons.law.yale.edu/cgi/viewcontent.cgi?article=1710&amp;context=yjil" TargetMode="External"/><Relationship Id="rId11" Type="http://schemas.openxmlformats.org/officeDocument/2006/relationships/hyperlink" Target="https://digitalcommons.law.yale.edu/cgi/viewcontent.cgi?article=1710&amp;context=yjil"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play.google.com/store/books/details?id=7o1tA__v4xwC&amp;rdid=book-7o1tA__v4xwC&amp;rdot=1" TargetMode="External"/><Relationship Id="rId4" Type="http://schemas.openxmlformats.org/officeDocument/2006/relationships/webSettings" Target="webSettings.xml"/><Relationship Id="rId9" Type="http://schemas.openxmlformats.org/officeDocument/2006/relationships/hyperlink" Target="https://www.bbvaopenmind.com/en/articles/technological-wild-cards-existential-risk-and-a-changing-humanit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13</TotalTime>
  <Pages>1</Pages>
  <Words>11328</Words>
  <Characters>64574</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Harvey Zhu</cp:lastModifiedBy>
  <cp:revision>5</cp:revision>
  <dcterms:created xsi:type="dcterms:W3CDTF">2021-11-21T00:31:00Z</dcterms:created>
  <dcterms:modified xsi:type="dcterms:W3CDTF">2021-11-21T01:07:00Z</dcterms:modified>
</cp:coreProperties>
</file>