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4836A" w14:textId="6FA57B77" w:rsidR="00A95652" w:rsidRDefault="00644319" w:rsidP="00644319">
      <w:pPr>
        <w:pStyle w:val="Heading1"/>
      </w:pPr>
      <w:r>
        <w:t>Loyola R5 – 1NC v Dulles TY</w:t>
      </w:r>
    </w:p>
    <w:p w14:paraId="2197747D" w14:textId="77777777" w:rsidR="0002413F" w:rsidRPr="00BD4C1E" w:rsidRDefault="0002413F" w:rsidP="0002413F">
      <w:pPr>
        <w:pStyle w:val="Heading2"/>
      </w:pPr>
      <w:r>
        <w:t>1</w:t>
      </w:r>
    </w:p>
    <w:p w14:paraId="4A5CA565" w14:textId="77777777" w:rsidR="0002413F" w:rsidRDefault="0002413F" w:rsidP="0002413F">
      <w:pPr>
        <w:pStyle w:val="Heading4"/>
        <w:rPr>
          <w:rFonts w:cs="Calibri"/>
        </w:rPr>
      </w:pPr>
      <w:r w:rsidRPr="00F570EE">
        <w:rPr>
          <w:rFonts w:cs="Calibri"/>
        </w:rPr>
        <w:t>Permissibility and presumption negate – a.  the resolution indicates the aff</w:t>
      </w:r>
      <w:r>
        <w:rPr>
          <w:rFonts w:cs="Calibri"/>
        </w:rPr>
        <w:t>irmative</w:t>
      </w:r>
      <w:r w:rsidRPr="00F570EE">
        <w:rPr>
          <w:rFonts w:cs="Calibri"/>
        </w:rPr>
        <w:t xml:space="preserve"> has to prove an obligation, and permissibility would deny the existence of an obligation b. Statements are more often false than true because any part can be false</w:t>
      </w:r>
      <w:r>
        <w:rPr>
          <w:rFonts w:cs="Calibri"/>
        </w:rPr>
        <w:t xml:space="preserve"> so negate because the aff is probably false</w:t>
      </w:r>
    </w:p>
    <w:p w14:paraId="5F41E031" w14:textId="77777777" w:rsidR="0002413F" w:rsidRPr="00BD4C1E" w:rsidRDefault="0002413F" w:rsidP="0002413F"/>
    <w:p w14:paraId="7D42A318" w14:textId="77777777" w:rsidR="0002413F" w:rsidRDefault="0002413F" w:rsidP="0002413F">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aff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0077D41F" w14:textId="77777777" w:rsidR="0002413F" w:rsidRPr="00527524" w:rsidRDefault="0002413F" w:rsidP="0002413F">
      <w:pPr>
        <w:rPr>
          <w:lang w:eastAsia="zh-CN"/>
        </w:rPr>
      </w:pPr>
    </w:p>
    <w:p w14:paraId="10115B3E" w14:textId="77777777" w:rsidR="0002413F" w:rsidRDefault="0002413F" w:rsidP="0002413F">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04E612EC" w14:textId="77777777" w:rsidR="0002413F" w:rsidRPr="00A257D8" w:rsidRDefault="0002413F" w:rsidP="0002413F">
      <w:pPr>
        <w:pStyle w:val="Heading4"/>
      </w:pPr>
      <w:r>
        <w:t>1.</w:t>
      </w:r>
      <w:r w:rsidRPr="00A257D8">
        <w:t xml:space="preserve"> Text – Oxford Dictionary defines ought as “</w:t>
      </w:r>
      <w:r w:rsidRPr="009B0022">
        <w:rPr>
          <w:u w:val="single"/>
        </w:rPr>
        <w:t>used to indicate something that is probable</w:t>
      </w:r>
      <w:r w:rsidRPr="00A257D8">
        <w:t>.”</w:t>
      </w:r>
    </w:p>
    <w:p w14:paraId="0970ABF6" w14:textId="77777777" w:rsidR="0002413F" w:rsidRPr="00187ED2" w:rsidRDefault="0002413F" w:rsidP="0002413F">
      <w:pPr>
        <w:rPr>
          <w:sz w:val="16"/>
          <w:szCs w:val="16"/>
        </w:rPr>
      </w:pPr>
      <w:hyperlink r:id="rId6" w:history="1">
        <w:r w:rsidRPr="00FE7871">
          <w:rPr>
            <w:rStyle w:val="Hyperlink"/>
            <w:sz w:val="16"/>
            <w:szCs w:val="16"/>
          </w:rPr>
          <w:t>https://en.oxforddictionaries.com/definition/ought //</w:t>
        </w:r>
      </w:hyperlink>
      <w:r>
        <w:rPr>
          <w:sz w:val="16"/>
          <w:szCs w:val="16"/>
        </w:rPr>
        <w:t>Massa</w:t>
      </w:r>
    </w:p>
    <w:p w14:paraId="4281AB63" w14:textId="77777777" w:rsidR="0002413F" w:rsidRPr="00A257D8" w:rsidRDefault="0002413F" w:rsidP="0002413F">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0398BAD7" w14:textId="77777777" w:rsidR="0002413F" w:rsidRPr="00187ED2" w:rsidRDefault="0002413F" w:rsidP="0002413F">
      <w:pPr>
        <w:rPr>
          <w:sz w:val="16"/>
          <w:szCs w:val="16"/>
        </w:rPr>
      </w:pPr>
      <w:r w:rsidRPr="00187ED2">
        <w:rPr>
          <w:sz w:val="16"/>
          <w:szCs w:val="16"/>
        </w:rPr>
        <w:t>(</w:t>
      </w:r>
      <w:hyperlink r:id="rId7"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15447903" w14:textId="77777777" w:rsidR="0002413F" w:rsidRDefault="0002413F" w:rsidP="0002413F">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7EE336B0" w14:textId="77777777" w:rsidR="0002413F" w:rsidRPr="00A46100" w:rsidRDefault="0002413F" w:rsidP="0002413F">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6DB5EC87" w14:textId="77777777" w:rsidR="0002413F" w:rsidRPr="00671316" w:rsidRDefault="0002413F" w:rsidP="0002413F">
      <w:r w:rsidRPr="008E232D">
        <w:rPr>
          <w:b/>
          <w:sz w:val="26"/>
          <w:szCs w:val="26"/>
          <w:highlight w:val="green"/>
          <w:u w:val="single"/>
        </w:rPr>
        <w:t>The is/ought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at the same time that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The is/ought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773FFB23" w14:textId="77777777" w:rsidR="0002413F" w:rsidRDefault="0002413F" w:rsidP="0002413F">
      <w:pPr>
        <w:pStyle w:val="Heading4"/>
      </w:pPr>
      <w:r>
        <w:t>4.</w:t>
      </w:r>
      <w:r w:rsidRPr="00A257D8">
        <w:t xml:space="preserve"> Neg definition choice – The aff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6C9276E8" w14:textId="77777777" w:rsidR="0002413F" w:rsidRPr="00F34B8D" w:rsidRDefault="0002413F" w:rsidP="0002413F">
      <w:pPr>
        <w:pStyle w:val="Heading4"/>
      </w:pPr>
      <w:r>
        <w:t xml:space="preserve">[1] </w:t>
      </w:r>
      <w:r w:rsidRPr="00941301">
        <w:t>Inherency – either a) the aff is non-inherent and you vote neg on presumption or b) it is and it isn’t logically going to happen.</w:t>
      </w:r>
    </w:p>
    <w:p w14:paraId="49E89299" w14:textId="77777777" w:rsidR="0002413F" w:rsidRPr="0016527D" w:rsidRDefault="0002413F" w:rsidP="0002413F">
      <w:pPr>
        <w:pStyle w:val="Heading2"/>
      </w:pPr>
      <w:r>
        <w:t>2</w:t>
      </w:r>
    </w:p>
    <w:p w14:paraId="7A4CDC35" w14:textId="77777777" w:rsidR="0002413F" w:rsidRPr="000E7E16" w:rsidRDefault="0002413F" w:rsidP="0002413F">
      <w:pPr>
        <w:pStyle w:val="Heading3"/>
        <w:rPr>
          <w:rFonts w:cs="Calibri"/>
        </w:rPr>
      </w:pPr>
      <w:r w:rsidRPr="00F570EE">
        <w:rPr>
          <w:rFonts w:cs="Calibri"/>
        </w:rPr>
        <w:t xml:space="preserve">1NC </w:t>
      </w:r>
      <w:r>
        <w:rPr>
          <w:rFonts w:cs="Calibri"/>
        </w:rPr>
        <w:t>–</w:t>
      </w:r>
      <w:r w:rsidRPr="00F570EE">
        <w:rPr>
          <w:rFonts w:cs="Calibri"/>
        </w:rPr>
        <w:t xml:space="preserve"> FW</w:t>
      </w:r>
    </w:p>
    <w:p w14:paraId="71A8DB48" w14:textId="77777777" w:rsidR="0002413F" w:rsidRDefault="0002413F" w:rsidP="0002413F">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75F14713" w14:textId="77777777" w:rsidR="0002413F" w:rsidRDefault="0002413F" w:rsidP="0002413F">
      <w:pPr>
        <w:pStyle w:val="Heading4"/>
      </w:pPr>
      <w:r>
        <w:t>Ethics must begin a priori:</w:t>
      </w:r>
    </w:p>
    <w:p w14:paraId="44408FB9" w14:textId="77777777" w:rsidR="0002413F" w:rsidRDefault="0002413F" w:rsidP="0002413F">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BD694BB" w14:textId="77777777" w:rsidR="0002413F" w:rsidRDefault="0002413F" w:rsidP="0002413F">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7214B2AE" w14:textId="77777777" w:rsidR="0002413F" w:rsidRDefault="0002413F" w:rsidP="0002413F">
      <w:pPr>
        <w:pStyle w:val="Heading4"/>
      </w:pPr>
      <w:r>
        <w:t>That means we must</w:t>
      </w:r>
      <w:r w:rsidRPr="000A5608">
        <w:t xml:space="preserve"> universally </w:t>
      </w:r>
      <w:r>
        <w:t xml:space="preserve">will </w:t>
      </w:r>
      <w:r w:rsidRPr="000A5608">
        <w:t>maxims—</w:t>
      </w:r>
      <w:r>
        <w:t xml:space="preserve"> </w:t>
      </w:r>
      <w:r w:rsidRPr="000A5608">
        <w:t>any non-universalizable norm justifies someone’s ability to impede on your ends</w:t>
      </w:r>
      <w:r>
        <w:t>.</w:t>
      </w:r>
      <w:r w:rsidRPr="000A5608">
        <w:t xml:space="preserve">  </w:t>
      </w:r>
    </w:p>
    <w:p w14:paraId="1F17BB05" w14:textId="77777777" w:rsidR="0002413F" w:rsidRDefault="0002413F" w:rsidP="0002413F">
      <w:pPr>
        <w:pStyle w:val="Heading4"/>
      </w:pPr>
      <w:r w:rsidRPr="000A5608">
        <w:t xml:space="preserve">Thus, the standard is consistency with the categorical imperative. </w:t>
      </w:r>
    </w:p>
    <w:p w14:paraId="6C6E6164" w14:textId="77777777" w:rsidR="0002413F" w:rsidRDefault="0002413F" w:rsidP="0002413F">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619B2A78" w14:textId="77777777" w:rsidR="0002413F" w:rsidRDefault="0002413F" w:rsidP="0002413F">
      <w:pPr>
        <w:pStyle w:val="Heading3"/>
      </w:pPr>
      <w:r w:rsidRPr="00F570EE">
        <w:t>1NC – Offense</w:t>
      </w:r>
    </w:p>
    <w:p w14:paraId="18B9223A" w14:textId="77777777" w:rsidR="0002413F" w:rsidRPr="00A057DB" w:rsidRDefault="0002413F" w:rsidP="0002413F">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1162BC60" w14:textId="77777777" w:rsidR="0002413F" w:rsidRPr="00E45605" w:rsidRDefault="0002413F" w:rsidP="0002413F">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13E17649" w14:textId="77777777" w:rsidR="0002413F" w:rsidRDefault="0002413F" w:rsidP="0002413F">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with regard to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4B8385F7" w14:textId="77777777" w:rsidR="0002413F" w:rsidRPr="00A057DB" w:rsidRDefault="0002413F" w:rsidP="0002413F"/>
    <w:p w14:paraId="0FB73E75" w14:textId="77777777" w:rsidR="0002413F" w:rsidRPr="00A057DB" w:rsidRDefault="0002413F" w:rsidP="0002413F">
      <w:pPr>
        <w:pStyle w:val="Heading4"/>
      </w:pPr>
      <w:r>
        <w:t xml:space="preserve">2] The aff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03E3CD4C" w14:textId="77777777" w:rsidR="0002413F" w:rsidRPr="001E5989" w:rsidRDefault="0002413F" w:rsidP="0002413F">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8" w:history="1">
        <w:r w:rsidRPr="005523C8">
          <w:rPr>
            <w:rStyle w:val="Hyperlink"/>
          </w:rPr>
          <w:t>https://www.ipwatchdog.com/2018/07/17/categorical-imperative-innovation-patenting/id=99178/</w:t>
        </w:r>
      </w:hyperlink>
      <w:r>
        <w:t xml:space="preserve"> SJ//DA recut SJKS</w:t>
      </w:r>
    </w:p>
    <w:p w14:paraId="55479854" w14:textId="77777777" w:rsidR="0002413F" w:rsidRDefault="0002413F" w:rsidP="0002413F">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36AB9F70" w14:textId="77777777" w:rsidR="0002413F" w:rsidRPr="0027259A" w:rsidRDefault="0002413F" w:rsidP="0002413F">
      <w:pPr>
        <w:rPr>
          <w:sz w:val="16"/>
        </w:rPr>
      </w:pPr>
    </w:p>
    <w:p w14:paraId="71106C1E" w14:textId="77777777" w:rsidR="0002413F" w:rsidRPr="00A057DB" w:rsidRDefault="0002413F" w:rsidP="0002413F">
      <w:pPr>
        <w:pStyle w:val="Heading4"/>
        <w:spacing w:before="240"/>
        <w:rPr>
          <w:u w:val="single"/>
        </w:rPr>
      </w:pPr>
      <w:r>
        <w:t xml:space="preserve">3] The aff encourages free riding- that treats people as </w:t>
      </w:r>
      <w:r>
        <w:softHyphen/>
      </w:r>
      <w:r>
        <w:rPr>
          <w:u w:val="single"/>
        </w:rPr>
        <w:t>means to an end</w:t>
      </w:r>
      <w:r>
        <w:t xml:space="preserve"> and takes advantage of their efforts which violates </w:t>
      </w:r>
      <w:r>
        <w:rPr>
          <w:u w:val="single"/>
        </w:rPr>
        <w:t>the principle of humanity</w:t>
      </w:r>
    </w:p>
    <w:p w14:paraId="1E10B256" w14:textId="77777777" w:rsidR="0002413F" w:rsidRPr="00D6603B" w:rsidRDefault="0002413F" w:rsidP="0002413F">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01965567" w14:textId="77777777" w:rsidR="0002413F" w:rsidRDefault="0002413F" w:rsidP="0002413F">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content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7F5700D1" w14:textId="77777777" w:rsidR="0002413F" w:rsidRDefault="0002413F" w:rsidP="0002413F">
      <w:pPr>
        <w:pStyle w:val="Heading4"/>
      </w:pPr>
      <w:r>
        <w:t xml:space="preserve">4] Unauthorized publication and usage of text is wrongful and infringes on inalienable moral rights </w:t>
      </w:r>
    </w:p>
    <w:p w14:paraId="47C75F2B" w14:textId="77777777" w:rsidR="0002413F" w:rsidRPr="00D6612E" w:rsidRDefault="0002413F" w:rsidP="0002413F">
      <w:r w:rsidRPr="00025664">
        <w:rPr>
          <w:rStyle w:val="Style13ptBold"/>
        </w:rPr>
        <w:t>Barron ’11</w:t>
      </w:r>
      <w:r>
        <w:t xml:space="preserve">. [Barron, Anne (2011) Kant, copyright and communicative freedom. Law and philosophy . pp. 1-48. </w:t>
      </w:r>
      <w:hyperlink r:id="rId10" w:history="1">
        <w:r w:rsidRPr="00351E72">
          <w:rPr>
            <w:rStyle w:val="Hyperlink"/>
          </w:rPr>
          <w:t>http://eprints.lse.ac.uk/37521/1/Kant_Copyright_and_Communicative_Freedom_%28lsero%29.pdf</w:t>
        </w:r>
      </w:hyperlink>
      <w:r>
        <w:t xml:space="preserve">] </w:t>
      </w:r>
      <w:proofErr w:type="spellStart"/>
      <w:r>
        <w:t>NChu</w:t>
      </w:r>
      <w:proofErr w:type="spellEnd"/>
    </w:p>
    <w:p w14:paraId="469AC2C5" w14:textId="77777777" w:rsidR="0002413F" w:rsidRPr="00565B29" w:rsidRDefault="0002413F" w:rsidP="0002413F">
      <w:pPr>
        <w:rPr>
          <w:sz w:val="16"/>
        </w:rPr>
      </w:pPr>
      <w:r w:rsidRPr="0052413F">
        <w:rPr>
          <w:sz w:val="16"/>
        </w:rPr>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t>
      </w:r>
      <w:proofErr w:type="spellStart"/>
      <w:r w:rsidRPr="0052413F">
        <w:rPr>
          <w:sz w:val="16"/>
        </w:rPr>
        <w:t>wellknown</w:t>
      </w:r>
      <w:proofErr w:type="spellEnd"/>
      <w:r w:rsidRPr="0052413F">
        <w:rPr>
          <w:sz w:val="16"/>
        </w:rPr>
        <w:t xml:space="preserve">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52413F">
        <w:rPr>
          <w:sz w:val="16"/>
        </w:rPr>
        <w:t xml:space="preserve">. On the one hand, </w:t>
      </w:r>
      <w:r w:rsidRPr="00F96787">
        <w:rPr>
          <w:rStyle w:val="StyleUnderline"/>
          <w:highlight w:val="green"/>
        </w:rPr>
        <w:t>an author’s manuscript</w:t>
      </w:r>
      <w:r w:rsidRPr="0052413F">
        <w:rPr>
          <w:sz w:val="16"/>
        </w:rPr>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52413F">
        <w:rPr>
          <w:sz w:val="16"/>
        </w:rPr>
        <w:t xml:space="preserve"> </w:t>
      </w:r>
      <w:r w:rsidRPr="00F96787">
        <w:rPr>
          <w:rStyle w:val="StyleUnderline"/>
          <w:highlight w:val="green"/>
        </w:rPr>
        <w:t>This right would include the right to use the object,</w:t>
      </w:r>
      <w:r w:rsidRPr="005B3BCD">
        <w:rPr>
          <w:rStyle w:val="StyleUnderline"/>
        </w:rPr>
        <w:t xml:space="preserve"> to </w:t>
      </w:r>
      <w:r w:rsidRPr="00F96787">
        <w:rPr>
          <w:rStyle w:val="StyleUnderline"/>
          <w:highlight w:val="green"/>
        </w:rPr>
        <w:t>sell the object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52413F">
        <w:rPr>
          <w:sz w:val="16"/>
        </w:rPr>
        <w:t xml:space="preserve"> On the other hand, </w:t>
      </w:r>
      <w:r w:rsidRPr="005B3BCD">
        <w:rPr>
          <w:rStyle w:val="StyleUnderline"/>
        </w:rPr>
        <w:t>a published book</w:t>
      </w:r>
      <w:r w:rsidRPr="0052413F">
        <w:rPr>
          <w:sz w:val="16"/>
        </w:rPr>
        <w:t xml:space="preserve"> (considered as the vehicle of its author’s speech) </w:t>
      </w:r>
      <w:r w:rsidRPr="005B3BCD">
        <w:rPr>
          <w:rStyle w:val="StyleUnderline"/>
        </w:rPr>
        <w:t>is also a communication from publisher to public in the name of the author</w:t>
      </w:r>
      <w:r w:rsidRPr="0052413F">
        <w:rPr>
          <w:sz w:val="16"/>
        </w:rPr>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52413F">
        <w:rPr>
          <w:sz w:val="16"/>
        </w:rPr>
        <w:t xml:space="preserve"> it follows that </w:t>
      </w:r>
      <w:r w:rsidRPr="00F96787">
        <w:rPr>
          <w:rStyle w:val="StyleUnderline"/>
          <w:highlight w:val="green"/>
        </w:rPr>
        <w:t>unauthorized publication</w:t>
      </w:r>
      <w:r w:rsidRPr="005B3BCD">
        <w:rPr>
          <w:rStyle w:val="StyleUnderline"/>
        </w:rPr>
        <w:t xml:space="preserve"> of copies of the author’s text </w:t>
      </w:r>
      <w:r w:rsidRPr="0052413F">
        <w:rPr>
          <w:sz w:val="16"/>
        </w:rPr>
        <w:t xml:space="preserve">– though not unauthorized reproduction as such – </w:t>
      </w:r>
      <w:r w:rsidRPr="00F96787">
        <w:rPr>
          <w:rStyle w:val="StyleUnderline"/>
          <w:highlight w:val="green"/>
        </w:rPr>
        <w:t>is wrongful</w:t>
      </w:r>
      <w:r w:rsidRPr="0052413F">
        <w:rPr>
          <w:sz w:val="16"/>
        </w:rPr>
        <w:t xml:space="preserve">. </w:t>
      </w:r>
      <w:r w:rsidRPr="005B3BCD">
        <w:rPr>
          <w:rStyle w:val="StyleUnderline"/>
        </w:rPr>
        <w:t xml:space="preserve">By </w:t>
      </w:r>
      <w:r w:rsidRPr="0008050A">
        <w:rPr>
          <w:rStyle w:val="StyleUnderline"/>
          <w:highlight w:val="green"/>
        </w:rPr>
        <w:t>selling copies of an author’s text</w:t>
      </w:r>
      <w:r w:rsidRPr="005B3BCD">
        <w:rPr>
          <w:rStyle w:val="StyleUnderline"/>
        </w:rPr>
        <w:t xml:space="preserve"> to the public, the unauthorized publisher is not just dealing with commodities</w:t>
      </w:r>
      <w:r w:rsidRPr="0052413F">
        <w:rPr>
          <w:sz w:val="16"/>
        </w:rPr>
        <w:t xml:space="preserve"> – printed books – </w:t>
      </w:r>
      <w:r w:rsidRPr="005B3BCD">
        <w:rPr>
          <w:rStyle w:val="StyleUnderline"/>
        </w:rPr>
        <w:t xml:space="preserve">in his own name, but </w:t>
      </w:r>
      <w:r w:rsidRPr="0008050A">
        <w:rPr>
          <w:rStyle w:val="StyleUnderline"/>
          <w:highlight w:val="green"/>
        </w:rPr>
        <w:t>is disseminating</w:t>
      </w:r>
      <w:r w:rsidRPr="005B3BCD">
        <w:rPr>
          <w:rStyle w:val="StyleUnderline"/>
        </w:rPr>
        <w:t xml:space="preserve"> an author’s </w:t>
      </w:r>
      <w:r w:rsidRPr="0008050A">
        <w:rPr>
          <w:rStyle w:val="StyleUnderline"/>
          <w:highlight w:val="green"/>
        </w:rPr>
        <w:t>speech</w:t>
      </w:r>
      <w:r w:rsidRPr="0052413F">
        <w:rPr>
          <w:sz w:val="16"/>
        </w:rPr>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1C3F99">
        <w:rPr>
          <w:rStyle w:val="StyleUnderline"/>
          <w:highlight w:val="green"/>
        </w:rPr>
        <w:t>authors</w:t>
      </w:r>
      <w:r w:rsidRPr="00F96787">
        <w:rPr>
          <w:rStyle w:val="StyleUnderline"/>
        </w:rPr>
        <w:t xml:space="preserve"> ought to </w:t>
      </w:r>
      <w:r w:rsidRPr="001C3F99">
        <w:rPr>
          <w:rStyle w:val="StyleUnderline"/>
          <w:highlight w:val="green"/>
        </w:rPr>
        <w:t>have inalienable ‘moral’ rights in relation to their works</w:t>
      </w:r>
      <w:r w:rsidRPr="0052413F">
        <w:rPr>
          <w:sz w:val="16"/>
        </w:rPr>
        <w:t>.24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more often than not held by corporate investors. And since it is economic rights which are the focus of concerns about copyright expansionism and its implications for the public domain, the formal recognition of a doctrine of moral rights has done little to allay these concerns.</w:t>
      </w:r>
    </w:p>
    <w:p w14:paraId="3A2EEAB7" w14:textId="36DFF0C2" w:rsidR="0002413F" w:rsidRDefault="0002413F" w:rsidP="0002413F">
      <w:pPr>
        <w:pStyle w:val="Heading2"/>
      </w:pPr>
      <w:r>
        <w:t>3</w:t>
      </w:r>
    </w:p>
    <w:p w14:paraId="4824010B" w14:textId="1A531AB7" w:rsidR="0002413F" w:rsidRDefault="0002413F" w:rsidP="0002413F">
      <w:r>
        <w:t xml:space="preserve">Interp – </w:t>
      </w:r>
      <w:proofErr w:type="gramStart"/>
      <w:r>
        <w:t>cant</w:t>
      </w:r>
      <w:proofErr w:type="gramEnd"/>
      <w:r>
        <w:t xml:space="preserve"> say </w:t>
      </w:r>
      <w:proofErr w:type="spellStart"/>
      <w:r>
        <w:t>nge</w:t>
      </w:r>
      <w:proofErr w:type="spellEnd"/>
      <w:r>
        <w:t xml:space="preserve"> </w:t>
      </w:r>
      <w:proofErr w:type="spellStart"/>
      <w:r>
        <w:t>interps</w:t>
      </w:r>
      <w:proofErr w:type="spellEnd"/>
      <w:r>
        <w:t xml:space="preserve"> are counter </w:t>
      </w:r>
      <w:proofErr w:type="spellStart"/>
      <w:r>
        <w:t>interps</w:t>
      </w:r>
      <w:proofErr w:type="spellEnd"/>
      <w:r>
        <w:t xml:space="preserve">, accept aff </w:t>
      </w:r>
      <w:proofErr w:type="spellStart"/>
      <w:r>
        <w:t>interps</w:t>
      </w:r>
      <w:proofErr w:type="spellEnd"/>
      <w:r>
        <w:t>, and assume aff meats neg theory</w:t>
      </w:r>
    </w:p>
    <w:p w14:paraId="01349D6D" w14:textId="2D34D025" w:rsidR="0002413F" w:rsidRDefault="0002413F" w:rsidP="0002413F">
      <w:r>
        <w:t>[1] infinite abuse</w:t>
      </w:r>
    </w:p>
    <w:p w14:paraId="5E21E64B" w14:textId="06AE60D3" w:rsidR="0002413F" w:rsidRDefault="0002413F" w:rsidP="0002413F">
      <w:r>
        <w:t>[2] norming</w:t>
      </w:r>
    </w:p>
    <w:p w14:paraId="67262A2B" w14:textId="77777777" w:rsidR="0002413F" w:rsidRPr="00E56439" w:rsidRDefault="0002413F" w:rsidP="0002413F">
      <w:pPr>
        <w:pStyle w:val="Heading4"/>
        <w:rPr>
          <w:rFonts w:cs="Calibri"/>
        </w:rPr>
      </w:pPr>
      <w:r w:rsidRPr="00E56439">
        <w:rPr>
          <w:rFonts w:cs="Calibri"/>
        </w:rPr>
        <w:t>Fairness – debate is a competitive activity that requires fairness for objective evaluation. Outweighs because it’s the only intrinsic part of debate – all other rules can be debated over but rely on some conception of fairness to be justified.</w:t>
      </w:r>
    </w:p>
    <w:p w14:paraId="3E2CAAC2" w14:textId="77777777" w:rsidR="0002413F" w:rsidRPr="00E56439" w:rsidRDefault="0002413F" w:rsidP="0002413F">
      <w:pPr>
        <w:pStyle w:val="Heading4"/>
        <w:rPr>
          <w:rFonts w:cs="Calibri"/>
        </w:rPr>
      </w:pPr>
      <w:r w:rsidRPr="00E56439">
        <w:rPr>
          <w:rFonts w:cs="Calibri"/>
        </w:rPr>
        <w:t>Drop the debater – a] deter future abuse and b] set better norms for debate.</w:t>
      </w:r>
    </w:p>
    <w:p w14:paraId="529FA6F9" w14:textId="77777777" w:rsidR="0002413F" w:rsidRPr="00E56439" w:rsidRDefault="0002413F" w:rsidP="0002413F">
      <w:pPr>
        <w:pStyle w:val="Heading4"/>
        <w:rPr>
          <w:rFonts w:cs="Calibri"/>
        </w:rPr>
      </w:pPr>
      <w:r w:rsidRPr="00E56439">
        <w:rPr>
          <w:rFonts w:cs="Calibri"/>
        </w:rPr>
        <w:t xml:space="preserve">Competing </w:t>
      </w:r>
      <w:proofErr w:type="spellStart"/>
      <w:r w:rsidRPr="00E56439">
        <w:rPr>
          <w:rFonts w:cs="Calibri"/>
        </w:rPr>
        <w:t>interps</w:t>
      </w:r>
      <w:proofErr w:type="spellEnd"/>
      <w:r w:rsidRPr="00E56439">
        <w:rPr>
          <w:rFonts w:cs="Calibri"/>
        </w:rPr>
        <w:t xml:space="preserve"> – [a] reasonability is arbitrary and encourages judge intervention since there’s no clear norm, [b] it creates a race to the top where we create the best possible norms for debate.</w:t>
      </w:r>
    </w:p>
    <w:p w14:paraId="51D577C5" w14:textId="77777777" w:rsidR="0002413F" w:rsidRPr="00E56439" w:rsidRDefault="0002413F" w:rsidP="0002413F">
      <w:pPr>
        <w:pStyle w:val="Heading4"/>
        <w:rPr>
          <w:rFonts w:cs="Calibri"/>
        </w:rPr>
      </w:pPr>
      <w:r w:rsidRPr="00E56439">
        <w:rPr>
          <w:rFonts w:cs="Calibr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3A7E7D3E" w14:textId="77777777" w:rsidR="0002413F" w:rsidRPr="0002413F" w:rsidRDefault="0002413F" w:rsidP="0002413F"/>
    <w:p w14:paraId="724C4F40" w14:textId="65E5CF05" w:rsidR="0016527D" w:rsidRDefault="0016527D" w:rsidP="00BD4C1E">
      <w:pPr>
        <w:pStyle w:val="Heading2"/>
      </w:pPr>
      <w:r>
        <w:t>UV</w:t>
      </w:r>
    </w:p>
    <w:p w14:paraId="3C43D6C5" w14:textId="3789A393" w:rsidR="002143A7" w:rsidRDefault="002143A7" w:rsidP="002143A7">
      <w:r>
        <w:t>No adv</w:t>
      </w:r>
    </w:p>
    <w:p w14:paraId="55A21C05" w14:textId="77777777" w:rsidR="002143A7" w:rsidRPr="002143A7" w:rsidRDefault="002143A7" w:rsidP="002143A7"/>
    <w:p w14:paraId="683E180C" w14:textId="77777777" w:rsidR="00BD4C1E" w:rsidRPr="00943D54" w:rsidRDefault="00BD4C1E" w:rsidP="00BD4C1E">
      <w:pPr>
        <w:pStyle w:val="Heading3"/>
        <w:spacing w:before="0" w:after="80" w:line="276" w:lineRule="auto"/>
      </w:pPr>
      <w:r w:rsidRPr="00943D54">
        <w:t>Allow new 2NR responses to aff spikes:</w:t>
      </w:r>
    </w:p>
    <w:p w14:paraId="312D805E" w14:textId="77777777" w:rsidR="00BD4C1E" w:rsidRPr="00943D54" w:rsidRDefault="00BD4C1E" w:rsidP="00BD4C1E">
      <w:pPr>
        <w:pStyle w:val="Heading4"/>
        <w:spacing w:before="0" w:after="80" w:line="276" w:lineRule="auto"/>
      </w:pPr>
      <w:r>
        <w:t xml:space="preserve">[a] </w:t>
      </w:r>
      <w:r w:rsidRPr="00943D54">
        <w:t xml:space="preserve">Aff spikes aren’t complete arguments until the 1AR. There is no violation until the 1ar and the voter is often expanded on. </w:t>
      </w:r>
    </w:p>
    <w:p w14:paraId="39A2613A" w14:textId="77777777" w:rsidR="00BD4C1E" w:rsidRDefault="00BD4C1E" w:rsidP="00BD4C1E">
      <w:pPr>
        <w:pStyle w:val="Heading4"/>
        <w:spacing w:before="0" w:after="80" w:line="276" w:lineRule="auto"/>
      </w:pPr>
      <w:r>
        <w:t>[b]</w:t>
      </w:r>
      <w:r w:rsidRPr="00943D54">
        <w:t xml:space="preserve"> </w:t>
      </w:r>
      <w:r>
        <w:t>Key to clash</w:t>
      </w:r>
      <w:r w:rsidRPr="00943D54">
        <w:t xml:space="preserve"> because otherwise the aff will have lots of </w:t>
      </w:r>
      <w:proofErr w:type="spellStart"/>
      <w:r w:rsidRPr="00943D54">
        <w:t>blippy</w:t>
      </w:r>
      <w:proofErr w:type="spellEnd"/>
      <w:r w:rsidRPr="00943D54">
        <w:t xml:space="preserve"> spikes and just extend the dropped ones in the 1ar for an automatic ballot</w:t>
      </w:r>
      <w:r>
        <w:t xml:space="preserve"> which makes the 1N impossible</w:t>
      </w:r>
    </w:p>
    <w:p w14:paraId="24CAA207" w14:textId="77777777" w:rsidR="0002413F" w:rsidRDefault="0002413F" w:rsidP="0002413F">
      <w:pPr>
        <w:pStyle w:val="Heading3"/>
        <w:spacing w:before="0" w:after="80" w:line="276" w:lineRule="auto"/>
      </w:pPr>
      <w:r>
        <w:t>Give the neg an RVI on 1ar and 1ac theory</w:t>
      </w:r>
    </w:p>
    <w:p w14:paraId="0CB6BF09" w14:textId="77777777" w:rsidR="0002413F" w:rsidRDefault="0002413F" w:rsidP="0002413F">
      <w:pPr>
        <w:pStyle w:val="Heading4"/>
        <w:spacing w:before="0" w:after="80" w:line="276" w:lineRule="auto"/>
      </w:pPr>
      <w:r>
        <w:t xml:space="preserve">To clarify this includes your spikes which should also mean if I win an offensive reason to reject one </w:t>
      </w:r>
      <w:r w:rsidRPr="00C268D8">
        <w:t>of</w:t>
      </w:r>
      <w:r>
        <w:t xml:space="preserve"> your spikes it triggers an RVI.</w:t>
      </w:r>
    </w:p>
    <w:p w14:paraId="59CB839A" w14:textId="77777777" w:rsidR="0002413F" w:rsidRDefault="0002413F" w:rsidP="0002413F">
      <w:pPr>
        <w:pStyle w:val="Heading4"/>
        <w:spacing w:before="0" w:after="80" w:line="276" w:lineRule="auto"/>
      </w:pPr>
      <w:r>
        <w:t xml:space="preserve">[1] Not having an RVI incentivizes you to read a bunch of </w:t>
      </w:r>
      <w:proofErr w:type="spellStart"/>
      <w:r>
        <w:t>blippy</w:t>
      </w:r>
      <w:proofErr w:type="spellEnd"/>
      <w:r>
        <w:t xml:space="preserve"> underdeveloped spikes in the 1AC as well as a short 1ar shell solely as a time suck </w:t>
      </w:r>
      <w:proofErr w:type="spellStart"/>
      <w:r>
        <w:t>scewing</w:t>
      </w:r>
      <w:proofErr w:type="spellEnd"/>
      <w:r>
        <w:t xml:space="preserve"> my strategy. Strat skew key to equal access to the ballot.</w:t>
      </w:r>
    </w:p>
    <w:p w14:paraId="6F8481C9" w14:textId="77777777" w:rsidR="0002413F" w:rsidRDefault="0002413F" w:rsidP="0002413F">
      <w:pPr>
        <w:pStyle w:val="Heading4"/>
        <w:spacing w:before="0" w:after="80" w:line="276" w:lineRule="auto"/>
      </w:pPr>
      <w:r>
        <w:t xml:space="preserve">[2] Infinite abuse: absent an RVI, the aff can read game over arguments like evaluate the theory debate after the 1ar putting the NC in a </w:t>
      </w:r>
      <w:proofErr w:type="spellStart"/>
      <w:r>
        <w:t>doublebind</w:t>
      </w:r>
      <w:proofErr w:type="spellEnd"/>
      <w:r>
        <w:t xml:space="preserve">: either I answer them and waste time or concede them and auto lose. </w:t>
      </w:r>
    </w:p>
    <w:p w14:paraId="4973E9DD" w14:textId="77777777" w:rsidR="0002413F" w:rsidRPr="000913EB" w:rsidRDefault="0002413F" w:rsidP="0002413F">
      <w:pPr>
        <w:pStyle w:val="Heading4"/>
        <w:spacing w:before="0" w:after="80" w:line="276" w:lineRule="auto"/>
      </w:pPr>
      <w:r>
        <w:t>[3</w:t>
      </w:r>
      <w:r w:rsidRPr="00C5670F">
        <w:t xml:space="preserve">] Under competing </w:t>
      </w:r>
      <w:proofErr w:type="spellStart"/>
      <w:r w:rsidRPr="00C5670F">
        <w:t>interps</w:t>
      </w:r>
      <w:proofErr w:type="spellEnd"/>
      <w:r w:rsidRPr="00C5670F">
        <w:t xml:space="preserve"> we should create the best norms for debate. RVIS encourage debaters to actually test issues, including the spikes you are trying to defend as good norms.</w:t>
      </w:r>
    </w:p>
    <w:p w14:paraId="7EDFA836" w14:textId="2CF903CD" w:rsidR="0002413F" w:rsidRDefault="0002413F" w:rsidP="0002413F">
      <w:pPr>
        <w:pStyle w:val="Heading4"/>
        <w:spacing w:before="0" w:after="80" w:line="276" w:lineRule="auto"/>
      </w:pPr>
      <w:r>
        <w:t>[4] Ableism: Having an RVI on spikes is key to ensure that you don’t use them in an exclusionary manner, such as hiding them inside other spikes, which shuts people with flowing disabilities outside of debate.</w:t>
      </w:r>
      <w:r w:rsidR="00A338C2">
        <w:t xml:space="preserve"> – justifies new 2nr responses</w:t>
      </w:r>
    </w:p>
    <w:p w14:paraId="65451328" w14:textId="77777777" w:rsidR="0002413F" w:rsidRPr="00F52AB3" w:rsidRDefault="0002413F" w:rsidP="0002413F">
      <w:pPr>
        <w:pStyle w:val="Heading4"/>
        <w:spacing w:before="0" w:after="80" w:line="276" w:lineRule="auto"/>
      </w:pPr>
      <w:r>
        <w:t xml:space="preserve">[5] Forcing them to go for their </w:t>
      </w:r>
      <w:proofErr w:type="spellStart"/>
      <w:r>
        <w:t>interp</w:t>
      </w:r>
      <w:proofErr w:type="spellEnd"/>
      <w:r>
        <w:t xml:space="preserve"> ensures debaters </w:t>
      </w:r>
      <w:proofErr w:type="spellStart"/>
      <w:r>
        <w:t>wont</w:t>
      </w:r>
      <w:proofErr w:type="spellEnd"/>
      <w:r>
        <w:t xml:space="preserve"> just spam spikes, but instead only preempt genuine abuse, which means A) we spend more rounds on substance and B) people read shorter </w:t>
      </w:r>
      <w:proofErr w:type="spellStart"/>
      <w:r>
        <w:t>underviews</w:t>
      </w:r>
      <w:proofErr w:type="spellEnd"/>
      <w:r>
        <w:t xml:space="preserve"> and more substance.</w:t>
      </w:r>
    </w:p>
    <w:p w14:paraId="25FCC2F8" w14:textId="77777777" w:rsidR="0002413F" w:rsidRPr="00487DFD" w:rsidRDefault="0002413F" w:rsidP="0002413F">
      <w:pPr>
        <w:pStyle w:val="Heading4"/>
        <w:spacing w:before="0" w:after="80" w:line="276" w:lineRule="auto"/>
      </w:pPr>
      <w:r>
        <w:t>[6] I have already invested a large amount of the 1NC on theory instead of substance, and not having an RVI allows them to completely ignore this flow of the debate and dump on case, making negating impossible.</w:t>
      </w:r>
    </w:p>
    <w:p w14:paraId="659782D6" w14:textId="77777777" w:rsidR="0002413F" w:rsidRPr="009B70E1" w:rsidRDefault="0002413F" w:rsidP="0002413F">
      <w:pPr>
        <w:pStyle w:val="Heading3"/>
        <w:spacing w:before="0" w:after="80" w:line="276" w:lineRule="auto"/>
      </w:pPr>
      <w:r w:rsidRPr="009B70E1">
        <w:t>Reject spikes not at the top of the case</w:t>
      </w:r>
    </w:p>
    <w:p w14:paraId="00833997" w14:textId="77777777" w:rsidR="0002413F" w:rsidRPr="00C268D8" w:rsidRDefault="0002413F" w:rsidP="0002413F">
      <w:pPr>
        <w:pStyle w:val="Heading4"/>
        <w:spacing w:before="0" w:after="80" w:line="276" w:lineRule="auto"/>
      </w:pPr>
      <w:r>
        <w:t>[1]</w:t>
      </w:r>
      <w:r w:rsidRPr="009B70E1">
        <w:t xml:space="preserve"> I don’t know what I have to do until after I formulate a strategy which means I will always violate. </w:t>
      </w:r>
    </w:p>
    <w:p w14:paraId="45451445" w14:textId="77777777" w:rsidR="0002413F" w:rsidRPr="00B10F67" w:rsidRDefault="0002413F" w:rsidP="0002413F">
      <w:pPr>
        <w:pStyle w:val="Heading4"/>
        <w:spacing w:before="0" w:after="80" w:line="276" w:lineRule="auto"/>
      </w:pPr>
      <w:r>
        <w:t>[2]</w:t>
      </w:r>
      <w:r w:rsidRPr="009B70E1">
        <w:t xml:space="preserve"> I can spend more time thinking about a substantive strategy – you concede substantive </w:t>
      </w:r>
      <w:r w:rsidRPr="00C268D8">
        <w:t>engagement</w:t>
      </w:r>
      <w:r w:rsidRPr="009B70E1">
        <w:t xml:space="preserve"> when you read paradigm issues. </w:t>
      </w:r>
    </w:p>
    <w:p w14:paraId="457A8D6A" w14:textId="6CD06AF9" w:rsidR="0002413F" w:rsidRDefault="0002413F" w:rsidP="0002413F"/>
    <w:p w14:paraId="12A4CC38" w14:textId="39B9454B" w:rsidR="0002413F" w:rsidRDefault="0002413F" w:rsidP="0002413F">
      <w:r>
        <w:t>1ar theory</w:t>
      </w:r>
    </w:p>
    <w:p w14:paraId="13A42098" w14:textId="0A1D3C2A" w:rsidR="0002413F" w:rsidRDefault="0002413F" w:rsidP="0002413F">
      <w:r>
        <w:t>[1] contextual</w:t>
      </w:r>
    </w:p>
    <w:p w14:paraId="1E99BADA" w14:textId="6E85DF2F" w:rsidR="0002413F" w:rsidRDefault="0002413F" w:rsidP="0002413F">
      <w:r>
        <w:t>[2] time skew solved</w:t>
      </w:r>
    </w:p>
    <w:p w14:paraId="20CFFD92" w14:textId="61065151" w:rsidR="0002413F" w:rsidRDefault="0002413F" w:rsidP="0002413F">
      <w:r>
        <w:t>[3] 2nr skew</w:t>
      </w:r>
    </w:p>
    <w:p w14:paraId="4A6A7C66" w14:textId="72332513" w:rsidR="0002413F" w:rsidRDefault="0002413F" w:rsidP="0002413F"/>
    <w:p w14:paraId="2F2249CE" w14:textId="75493DF5" w:rsidR="0002413F" w:rsidRDefault="0002413F" w:rsidP="0002413F">
      <w:r>
        <w:t>Meta-ethic</w:t>
      </w:r>
    </w:p>
    <w:p w14:paraId="15DAD63E" w14:textId="45D6B1FE" w:rsidR="0002413F" w:rsidRDefault="0002413F" w:rsidP="0002413F">
      <w:r w:rsidRPr="0002413F">
        <w:t>[1] no – auto win or a</w:t>
      </w:r>
      <w:r>
        <w:t>trocious</w:t>
      </w:r>
    </w:p>
    <w:p w14:paraId="58772A00" w14:textId="583AAB62" w:rsidR="0002413F" w:rsidRDefault="0002413F" w:rsidP="0002413F">
      <w:r>
        <w:t xml:space="preserve">[2] were better for </w:t>
      </w:r>
      <w:proofErr w:type="spellStart"/>
      <w:r>
        <w:t>phil</w:t>
      </w:r>
      <w:proofErr w:type="spellEnd"/>
      <w:r>
        <w:t xml:space="preserve"> ed</w:t>
      </w:r>
    </w:p>
    <w:p w14:paraId="5DCDB1F4" w14:textId="62BFD46F" w:rsidR="0002413F" w:rsidRDefault="0002413F" w:rsidP="0002413F">
      <w:r>
        <w:t xml:space="preserve">Counter </w:t>
      </w:r>
      <w:proofErr w:type="spellStart"/>
      <w:r>
        <w:t>interp</w:t>
      </w:r>
      <w:proofErr w:type="spellEnd"/>
      <w:r>
        <w:t xml:space="preserve"> – if I read a meta-ethic</w:t>
      </w:r>
    </w:p>
    <w:p w14:paraId="74458E9F" w14:textId="77777777" w:rsidR="0002413F" w:rsidRPr="0002413F" w:rsidRDefault="0002413F" w:rsidP="0002413F"/>
    <w:p w14:paraId="163705D7" w14:textId="071DA7D1" w:rsidR="0002413F" w:rsidRDefault="0002413F" w:rsidP="0002413F">
      <w:r>
        <w:t xml:space="preserve">We get 2nr I </w:t>
      </w:r>
      <w:proofErr w:type="gramStart"/>
      <w:r>
        <w:t>meets</w:t>
      </w:r>
      <w:proofErr w:type="gramEnd"/>
      <w:r>
        <w:t xml:space="preserve"> – 1nc is too short and 1ar recontextualization is worse</w:t>
      </w:r>
    </w:p>
    <w:p w14:paraId="17BBB92C" w14:textId="17BB81F6" w:rsidR="0002413F" w:rsidRDefault="0002413F" w:rsidP="0002413F"/>
    <w:p w14:paraId="0F757DF5" w14:textId="52461A44" w:rsidR="0002413F" w:rsidRDefault="0002413F" w:rsidP="0002413F">
      <w:r>
        <w:t xml:space="preserve">Neg </w:t>
      </w:r>
      <w:proofErr w:type="spellStart"/>
      <w:r>
        <w:t>interps</w:t>
      </w:r>
      <w:proofErr w:type="spellEnd"/>
      <w:r>
        <w:t xml:space="preserve"> arent counter </w:t>
      </w:r>
      <w:proofErr w:type="spellStart"/>
      <w:r>
        <w:t>interps</w:t>
      </w:r>
      <w:proofErr w:type="spellEnd"/>
    </w:p>
    <w:p w14:paraId="666A82C2" w14:textId="6D22C1D2" w:rsidR="0002413F" w:rsidRDefault="0002413F" w:rsidP="0002413F"/>
    <w:p w14:paraId="69729809" w14:textId="34DF23DB" w:rsidR="002143A7" w:rsidRDefault="002143A7" w:rsidP="0002413F">
      <w:r>
        <w:t xml:space="preserve">Don’t accept aff </w:t>
      </w:r>
      <w:proofErr w:type="spellStart"/>
      <w:r>
        <w:t>interps</w:t>
      </w:r>
      <w:proofErr w:type="spellEnd"/>
    </w:p>
    <w:p w14:paraId="6F6F5402" w14:textId="727F5184" w:rsidR="002143A7" w:rsidRDefault="002143A7" w:rsidP="0002413F">
      <w:r>
        <w:t xml:space="preserve">Mo reactivity </w:t>
      </w:r>
      <w:proofErr w:type="spellStart"/>
      <w:r>
        <w:t>advangatege</w:t>
      </w:r>
      <w:proofErr w:type="spellEnd"/>
    </w:p>
    <w:p w14:paraId="40EC49F0" w14:textId="77777777" w:rsidR="0002413F" w:rsidRPr="0002413F" w:rsidRDefault="0002413F" w:rsidP="0002413F"/>
    <w:p w14:paraId="651BB3EA" w14:textId="50512B03" w:rsidR="0016527D" w:rsidRDefault="0016527D" w:rsidP="00BD4C1E">
      <w:pPr>
        <w:pStyle w:val="Heading2"/>
      </w:pPr>
      <w:r w:rsidRPr="0002413F">
        <w:t>FW</w:t>
      </w:r>
    </w:p>
    <w:p w14:paraId="54EBE4BC" w14:textId="27690E3D" w:rsidR="002E5941" w:rsidRDefault="002E5941" w:rsidP="002E5941">
      <w:r>
        <w:t>Kant controls IL</w:t>
      </w:r>
    </w:p>
    <w:p w14:paraId="0269CB3E" w14:textId="77777777" w:rsidR="002E5941" w:rsidRPr="002E5941" w:rsidRDefault="002E5941" w:rsidP="002E5941"/>
    <w:p w14:paraId="6184D58E" w14:textId="753DFBD3" w:rsidR="002143A7" w:rsidRDefault="002143A7" w:rsidP="002143A7">
      <w:r>
        <w:t>Ideal theory is good</w:t>
      </w:r>
    </w:p>
    <w:p w14:paraId="65F2B44D" w14:textId="17F01DFE" w:rsidR="002143A7" w:rsidRDefault="002143A7" w:rsidP="002143A7"/>
    <w:p w14:paraId="71BB4FE5" w14:textId="564E954B" w:rsidR="002143A7" w:rsidRDefault="002143A7" w:rsidP="002143A7">
      <w:r>
        <w:t>Moral pluralism – worse ethics, bad</w:t>
      </w:r>
    </w:p>
    <w:p w14:paraId="1FC24AD2" w14:textId="77777777" w:rsidR="002143A7" w:rsidRDefault="002143A7" w:rsidP="002143A7"/>
    <w:p w14:paraId="787FE884" w14:textId="2C782354" w:rsidR="002143A7" w:rsidRDefault="002143A7" w:rsidP="002143A7">
      <w:r>
        <w:t xml:space="preserve">Empirics – unreliable, </w:t>
      </w:r>
      <w:proofErr w:type="spellStart"/>
      <w:r>
        <w:t>isought</w:t>
      </w:r>
      <w:proofErr w:type="spellEnd"/>
      <w:r>
        <w:t xml:space="preserve"> fallacy</w:t>
      </w:r>
    </w:p>
    <w:p w14:paraId="196A8DEE" w14:textId="1DBEB186" w:rsidR="002143A7" w:rsidRDefault="002143A7" w:rsidP="002143A7"/>
    <w:p w14:paraId="37AD1994" w14:textId="06BB0994" w:rsidR="002143A7" w:rsidRDefault="002143A7" w:rsidP="002143A7"/>
    <w:p w14:paraId="506B18D4" w14:textId="7AC50F58" w:rsidR="002143A7" w:rsidRDefault="002143A7" w:rsidP="002143A7">
      <w:r>
        <w:t>All reasons to vote neg</w:t>
      </w:r>
    </w:p>
    <w:p w14:paraId="74EA9F1F" w14:textId="77777777" w:rsidR="002143A7" w:rsidRDefault="002143A7" w:rsidP="002143A7"/>
    <w:p w14:paraId="1FE83CD1" w14:textId="734DF173" w:rsidR="002143A7" w:rsidRDefault="002143A7" w:rsidP="002143A7">
      <w:proofErr w:type="spellStart"/>
      <w:r>
        <w:t>Indeixclas</w:t>
      </w:r>
      <w:proofErr w:type="spellEnd"/>
      <w:r>
        <w:t xml:space="preserve"> is a voting issue</w:t>
      </w:r>
    </w:p>
    <w:p w14:paraId="1034BDE5" w14:textId="1323A2F1" w:rsidR="002143A7" w:rsidRDefault="002143A7" w:rsidP="002143A7">
      <w:proofErr w:type="spellStart"/>
      <w:r>
        <w:t>Accesisibility</w:t>
      </w:r>
      <w:proofErr w:type="spellEnd"/>
      <w:r>
        <w:t xml:space="preserve"> – teach them lesson</w:t>
      </w:r>
    </w:p>
    <w:p w14:paraId="592EC493" w14:textId="7238311D" w:rsidR="002143A7" w:rsidRDefault="002143A7" w:rsidP="002143A7"/>
    <w:p w14:paraId="70C10D15" w14:textId="7660C3C9" w:rsidR="002143A7" w:rsidRDefault="002143A7" w:rsidP="002143A7">
      <w:r>
        <w:t>Condo logic is a voting issue</w:t>
      </w:r>
    </w:p>
    <w:p w14:paraId="7943FC4A" w14:textId="40328FE7" w:rsidR="002143A7" w:rsidRDefault="002143A7" w:rsidP="002143A7"/>
    <w:p w14:paraId="6EC775D8" w14:textId="53459BB1" w:rsidR="002143A7" w:rsidRDefault="002143A7" w:rsidP="002143A7">
      <w:r>
        <w:t xml:space="preserve">Principle of explosion is false – misunderstands the linguistic effect that parts of </w:t>
      </w:r>
      <w:proofErr w:type="spellStart"/>
      <w:r>
        <w:t>phasess</w:t>
      </w:r>
      <w:proofErr w:type="spellEnd"/>
      <w:r>
        <w:t xml:space="preserve"> have</w:t>
      </w:r>
    </w:p>
    <w:p w14:paraId="3072C65E" w14:textId="3E30E1A9" w:rsidR="002143A7" w:rsidRDefault="002143A7" w:rsidP="002143A7"/>
    <w:p w14:paraId="744DDE3E" w14:textId="6268F8B3" w:rsidR="002143A7" w:rsidRDefault="002143A7" w:rsidP="002143A7">
      <w:r>
        <w:t>Dogmatism false – misunderstands</w:t>
      </w:r>
    </w:p>
    <w:p w14:paraId="5CD2EFF6" w14:textId="67E767B6" w:rsidR="002143A7" w:rsidRDefault="002143A7" w:rsidP="002143A7"/>
    <w:p w14:paraId="3382B046" w14:textId="7F49E40D" w:rsidR="002143A7" w:rsidRDefault="002143A7" w:rsidP="002143A7">
      <w:r>
        <w:t>7 – we have more truth</w:t>
      </w:r>
    </w:p>
    <w:p w14:paraId="50BEBBFC" w14:textId="403E96BA" w:rsidR="002143A7" w:rsidRDefault="002143A7" w:rsidP="002143A7"/>
    <w:p w14:paraId="3C2931CA" w14:textId="7285E27D" w:rsidR="002143A7" w:rsidRDefault="002143A7" w:rsidP="002143A7">
      <w:proofErr w:type="spellStart"/>
      <w:r>
        <w:t>Boninis</w:t>
      </w:r>
      <w:proofErr w:type="spellEnd"/>
      <w:r>
        <w:t xml:space="preserve"> – informed decision</w:t>
      </w:r>
    </w:p>
    <w:p w14:paraId="154ED158" w14:textId="0BC1E13B" w:rsidR="002143A7" w:rsidRDefault="002143A7" w:rsidP="002143A7"/>
    <w:p w14:paraId="27EA5A1E" w14:textId="58B2FECC" w:rsidR="002143A7" w:rsidRDefault="002143A7" w:rsidP="002143A7">
      <w:r>
        <w:t xml:space="preserve">Over thinking - </w:t>
      </w:r>
    </w:p>
    <w:p w14:paraId="28D8BC5B" w14:textId="77777777" w:rsidR="002143A7" w:rsidRDefault="002143A7" w:rsidP="002143A7"/>
    <w:p w14:paraId="213A5101" w14:textId="77777777" w:rsidR="002143A7" w:rsidRDefault="002143A7" w:rsidP="002143A7"/>
    <w:p w14:paraId="7D495039" w14:textId="77777777" w:rsidR="002143A7" w:rsidRPr="002143A7" w:rsidRDefault="002143A7" w:rsidP="002143A7"/>
    <w:p w14:paraId="051247DD" w14:textId="43DC2FEB" w:rsidR="0016527D" w:rsidRDefault="0016527D" w:rsidP="00BD4C1E">
      <w:pPr>
        <w:pStyle w:val="Heading2"/>
      </w:pPr>
      <w:r>
        <w:t>Case</w:t>
      </w:r>
    </w:p>
    <w:p w14:paraId="78C1E2E0" w14:textId="6CFA94BA" w:rsidR="00196F50" w:rsidRDefault="00196F50" w:rsidP="0016527D">
      <w:r>
        <w:t xml:space="preserve">[4] They reduce free flow of information – no one will share information if it can be stolen – patents are net better </w:t>
      </w:r>
      <w:proofErr w:type="spellStart"/>
      <w:r>
        <w:t>bc</w:t>
      </w:r>
      <w:proofErr w:type="spellEnd"/>
      <w:r>
        <w:t xml:space="preserve"> they make info accessible but preclude your </w:t>
      </w:r>
      <w:proofErr w:type="spellStart"/>
      <w:r>
        <w:t>ablity</w:t>
      </w:r>
      <w:proofErr w:type="spellEnd"/>
      <w:r>
        <w:t xml:space="preserve"> to profit – that encourages future innovation</w:t>
      </w:r>
    </w:p>
    <w:sectPr w:rsidR="00196F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44319"/>
    <w:rsid w:val="000139A3"/>
    <w:rsid w:val="0002413F"/>
    <w:rsid w:val="00100833"/>
    <w:rsid w:val="00101DC6"/>
    <w:rsid w:val="00104529"/>
    <w:rsid w:val="00105942"/>
    <w:rsid w:val="00107396"/>
    <w:rsid w:val="00144A4C"/>
    <w:rsid w:val="0016527D"/>
    <w:rsid w:val="00176AB0"/>
    <w:rsid w:val="00177B7D"/>
    <w:rsid w:val="0018322D"/>
    <w:rsid w:val="00196F50"/>
    <w:rsid w:val="001B5776"/>
    <w:rsid w:val="001E527A"/>
    <w:rsid w:val="001F78CE"/>
    <w:rsid w:val="002143A7"/>
    <w:rsid w:val="00251FC7"/>
    <w:rsid w:val="002855A7"/>
    <w:rsid w:val="002B146A"/>
    <w:rsid w:val="002B5E17"/>
    <w:rsid w:val="002E5941"/>
    <w:rsid w:val="00315690"/>
    <w:rsid w:val="00316B75"/>
    <w:rsid w:val="00325646"/>
    <w:rsid w:val="00344384"/>
    <w:rsid w:val="003460F2"/>
    <w:rsid w:val="0038158C"/>
    <w:rsid w:val="003902BA"/>
    <w:rsid w:val="003A09E2"/>
    <w:rsid w:val="00407037"/>
    <w:rsid w:val="004605D6"/>
    <w:rsid w:val="004C60E8"/>
    <w:rsid w:val="004E3579"/>
    <w:rsid w:val="004E728B"/>
    <w:rsid w:val="004F39E0"/>
    <w:rsid w:val="00537BD5"/>
    <w:rsid w:val="0057268A"/>
    <w:rsid w:val="005A2C16"/>
    <w:rsid w:val="005D2912"/>
    <w:rsid w:val="006065BD"/>
    <w:rsid w:val="0064431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461"/>
    <w:rsid w:val="009622B2"/>
    <w:rsid w:val="0097032B"/>
    <w:rsid w:val="009D2EAD"/>
    <w:rsid w:val="009D54B2"/>
    <w:rsid w:val="009E1922"/>
    <w:rsid w:val="009F7ED2"/>
    <w:rsid w:val="00A338C2"/>
    <w:rsid w:val="00A93661"/>
    <w:rsid w:val="00A95652"/>
    <w:rsid w:val="00AC0AB8"/>
    <w:rsid w:val="00B33C6D"/>
    <w:rsid w:val="00B4508F"/>
    <w:rsid w:val="00B55AD5"/>
    <w:rsid w:val="00B8057C"/>
    <w:rsid w:val="00BD4C1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85765"/>
  <w15:chartTrackingRefBased/>
  <w15:docId w15:val="{178617FF-7CED-4C9E-B7E6-A9BE0FFE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4319"/>
    <w:rPr>
      <w:rFonts w:ascii="Calibri" w:hAnsi="Calibri"/>
    </w:rPr>
  </w:style>
  <w:style w:type="paragraph" w:styleId="Heading1">
    <w:name w:val="heading 1"/>
    <w:aliases w:val="Pocket"/>
    <w:basedOn w:val="Normal"/>
    <w:next w:val="Normal"/>
    <w:link w:val="Heading1Char"/>
    <w:qFormat/>
    <w:rsid w:val="006443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43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43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w:basedOn w:val="Normal"/>
    <w:next w:val="Normal"/>
    <w:link w:val="Heading4Char"/>
    <w:uiPriority w:val="3"/>
    <w:unhideWhenUsed/>
    <w:qFormat/>
    <w:rsid w:val="006443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43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319"/>
  </w:style>
  <w:style w:type="character" w:customStyle="1" w:styleId="Heading1Char">
    <w:name w:val="Heading 1 Char"/>
    <w:aliases w:val="Pocket Char"/>
    <w:basedOn w:val="DefaultParagraphFont"/>
    <w:link w:val="Heading1"/>
    <w:rsid w:val="006443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43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4319"/>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44319"/>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64431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431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cite,B,9.5 pt"/>
    <w:basedOn w:val="DefaultParagraphFont"/>
    <w:uiPriority w:val="6"/>
    <w:qFormat/>
    <w:rsid w:val="00644319"/>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C"/>
    <w:basedOn w:val="DefaultParagraphFont"/>
    <w:link w:val="Card"/>
    <w:uiPriority w:val="99"/>
    <w:unhideWhenUsed/>
    <w:rsid w:val="00644319"/>
    <w:rPr>
      <w:color w:val="auto"/>
      <w:u w:val="none"/>
    </w:rPr>
  </w:style>
  <w:style w:type="character" w:styleId="FollowedHyperlink">
    <w:name w:val="FollowedHyperlink"/>
    <w:basedOn w:val="DefaultParagraphFont"/>
    <w:uiPriority w:val="99"/>
    <w:semiHidden/>
    <w:unhideWhenUsed/>
    <w:rsid w:val="00644319"/>
    <w:rPr>
      <w:color w:val="auto"/>
      <w:u w:val="none"/>
    </w:rPr>
  </w:style>
  <w:style w:type="paragraph" w:customStyle="1" w:styleId="textbold">
    <w:name w:val="text bold"/>
    <w:basedOn w:val="Normal"/>
    <w:link w:val="Emphasis"/>
    <w:uiPriority w:val="7"/>
    <w:qFormat/>
    <w:rsid w:val="00644319"/>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No Spacing2,Read stuff,Debate Text,card,No Spacing11,No Spacing1"/>
    <w:basedOn w:val="Heading1"/>
    <w:link w:val="Hyperlink"/>
    <w:autoRedefine/>
    <w:uiPriority w:val="99"/>
    <w:qFormat/>
    <w:rsid w:val="006443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18/07/17/categorical-imperative-innovation-patenting/id=99178/" TargetMode="External"/><Relationship Id="rId3" Type="http://schemas.openxmlformats.org/officeDocument/2006/relationships/styles" Target="styles.xml"/><Relationship Id="rId7" Type="http://schemas.openxmlformats.org/officeDocument/2006/relationships/hyperlink" Target="http://www.merriam-webster.com/dictionary/ough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oxforddictionaries.com/definition/ought%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prints.lse.ac.uk/37521/1/Kant_Copyright_and_Communicative_Freedom_%28lsero%29.pdf" TargetMode="External"/><Relationship Id="rId4" Type="http://schemas.openxmlformats.org/officeDocument/2006/relationships/settings" Target="settings.xml"/><Relationship Id="rId9"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3857</Words>
  <Characters>21990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8</cp:revision>
  <dcterms:created xsi:type="dcterms:W3CDTF">2021-09-05T14:38:00Z</dcterms:created>
  <dcterms:modified xsi:type="dcterms:W3CDTF">2021-09-05T17:49:00Z</dcterms:modified>
</cp:coreProperties>
</file>