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F77C1" w14:textId="681B2433" w:rsidR="00A95652" w:rsidRDefault="00264E3F" w:rsidP="00264E3F">
      <w:pPr>
        <w:pStyle w:val="Heading1"/>
      </w:pPr>
      <w:r>
        <w:t xml:space="preserve">Greenhill R3 – 1NC v Harker </w:t>
      </w:r>
      <w:proofErr w:type="spellStart"/>
      <w:r>
        <w:t>ASh</w:t>
      </w:r>
      <w:proofErr w:type="spellEnd"/>
    </w:p>
    <w:p w14:paraId="5EFF0BB1" w14:textId="472FDDB5" w:rsidR="009F4D13" w:rsidRDefault="009F4D13" w:rsidP="00264E3F">
      <w:pPr>
        <w:pStyle w:val="Heading2"/>
      </w:pPr>
      <w:r>
        <w:t>1</w:t>
      </w:r>
    </w:p>
    <w:p w14:paraId="33C9F4D6" w14:textId="77777777" w:rsidR="002423FD" w:rsidRDefault="002423FD" w:rsidP="002423FD">
      <w:pPr>
        <w:pStyle w:val="Heading4"/>
      </w:pPr>
      <w:r>
        <w:t xml:space="preserve">Interp and violation: "The member nations" </w:t>
      </w:r>
      <w:r w:rsidRPr="002423FD">
        <w:t>denotes</w:t>
      </w:r>
      <w:r>
        <w:t xml:space="preserve"> the totality of member nations in the WTO. The aff may not defend a subset of WTO member nations ought to reduce IP protections for medicines. </w:t>
      </w:r>
    </w:p>
    <w:p w14:paraId="65C28131" w14:textId="77777777" w:rsidR="002423FD" w:rsidRDefault="002423FD" w:rsidP="002423FD">
      <w:proofErr w:type="spellStart"/>
      <w:r>
        <w:rPr>
          <w:rStyle w:val="Style13ptBold"/>
        </w:rPr>
        <w:t>Sharvy</w:t>
      </w:r>
      <w:proofErr w:type="spellEnd"/>
      <w:r>
        <w:rPr>
          <w:rStyle w:val="Style13ptBold"/>
        </w:rPr>
        <w:t xml:space="preserve"> 80</w:t>
      </w:r>
      <w:r>
        <w:t xml:space="preserve"> </w:t>
      </w:r>
      <w:r>
        <w:rPr>
          <w:sz w:val="16"/>
          <w:szCs w:val="16"/>
        </w:rPr>
        <w:t xml:space="preserve">[Richard </w:t>
      </w:r>
      <w:proofErr w:type="spellStart"/>
      <w:r>
        <w:rPr>
          <w:sz w:val="16"/>
          <w:szCs w:val="16"/>
        </w:rPr>
        <w:t>Sharvy</w:t>
      </w:r>
      <w:proofErr w:type="spellEnd"/>
      <w:r>
        <w:rPr>
          <w:sz w:val="16"/>
          <w:szCs w:val="16"/>
        </w:rPr>
        <w:t>, philosopher. "A More General Theory of Definite Descriptions on JSTOR," The Philosophical Review, Vol. 89, No. 4, Oct. 1980, accessed 8-22-2021, https://www.jstor.org/stable/2184738] HWIC</w:t>
      </w:r>
    </w:p>
    <w:p w14:paraId="71E331A1" w14:textId="77777777" w:rsidR="002423FD" w:rsidRDefault="002423FD" w:rsidP="002423FD">
      <w:pPr>
        <w:rPr>
          <w:rStyle w:val="Emphasis"/>
        </w:rPr>
      </w:pPr>
      <w:r>
        <w:rPr>
          <w:sz w:val="14"/>
        </w:rPr>
        <w:t xml:space="preserve">3. Definite Plural Descriptions. </w:t>
      </w:r>
      <w:r>
        <w:rPr>
          <w:rStyle w:val="StyleUnderline"/>
        </w:rPr>
        <w:t>Phrases like 'the sheep in New Zealand' and 'the people in Auckland' are also ordinary and common definite descriptions, and they do denote.</w:t>
      </w:r>
      <w:r>
        <w:rPr>
          <w:sz w:val="14"/>
        </w:rPr>
        <w:t xml:space="preserve"> But because </w:t>
      </w:r>
      <w:r>
        <w:rPr>
          <w:rStyle w:val="StyleUnderline"/>
        </w:rPr>
        <w:t>their contained predicates are plural predicates like 'are people in Auckland', which apply to more than one object</w:t>
      </w:r>
      <w:r>
        <w:rPr>
          <w:sz w:val="14"/>
        </w:rPr>
        <w:t>, such expressions are not subject to a Russellian analysis. There is no such thing as (ax * x are people in Auckland), since a number of distinct items satisfy the predicate-</w:t>
      </w:r>
      <w:r>
        <w:rPr>
          <w:rStyle w:val="StyleUnderline"/>
          <w:highlight w:val="green"/>
        </w:rPr>
        <w:t>the men in Auckland are people in Auckland, and so are</w:t>
      </w:r>
      <w:r>
        <w:rPr>
          <w:rStyle w:val="StyleUnderline"/>
        </w:rPr>
        <w:t xml:space="preserve"> the </w:t>
      </w:r>
      <w:r>
        <w:rPr>
          <w:rStyle w:val="StyleUnderline"/>
          <w:highlight w:val="green"/>
        </w:rPr>
        <w:t>women</w:t>
      </w:r>
      <w:r>
        <w:rPr>
          <w:rStyle w:val="StyleUnderline"/>
        </w:rPr>
        <w:t xml:space="preserve"> in Auckland </w:t>
      </w:r>
      <w:r>
        <w:rPr>
          <w:rStyle w:val="StyleUnderline"/>
          <w:highlight w:val="green"/>
        </w:rPr>
        <w:t>and</w:t>
      </w:r>
      <w:r>
        <w:rPr>
          <w:rStyle w:val="StyleUnderline"/>
        </w:rPr>
        <w:t xml:space="preserve"> the </w:t>
      </w:r>
      <w:r>
        <w:rPr>
          <w:rStyle w:val="StyleUnderline"/>
          <w:highlight w:val="green"/>
        </w:rPr>
        <w:t>children</w:t>
      </w:r>
      <w:r>
        <w:rPr>
          <w:rStyle w:val="StyleUnderline"/>
        </w:rPr>
        <w:t xml:space="preserve"> in Auckland</w:t>
      </w:r>
      <w:r>
        <w:rPr>
          <w:sz w:val="14"/>
        </w:rPr>
        <w:t xml:space="preserve">. The definite plural description </w:t>
      </w:r>
      <w:r>
        <w:rPr>
          <w:rStyle w:val="Emphasis"/>
          <w:highlight w:val="green"/>
        </w:rPr>
        <w:t>'the people in Auckland' designates the sum or totality of all the people in Auckland</w:t>
      </w:r>
      <w:r>
        <w:rPr>
          <w:rStyle w:val="Emphasis"/>
        </w:rPr>
        <w:t>.</w:t>
      </w:r>
      <w:r>
        <w:rPr>
          <w:sz w:val="14"/>
        </w:rPr>
        <w:t xml:space="preserve"> This is </w:t>
      </w:r>
      <w:r>
        <w:rPr>
          <w:rStyle w:val="StyleUnderline"/>
        </w:rPr>
        <w:t xml:space="preserve">the sum of </w:t>
      </w:r>
      <w:r>
        <w:rPr>
          <w:rStyle w:val="StyleUnderline"/>
          <w:highlight w:val="green"/>
        </w:rPr>
        <w:t>all that to which the predicate 'are people in Auckland' applies</w:t>
      </w:r>
      <w:r>
        <w:rPr>
          <w:rStyle w:val="StyleUnderline"/>
        </w:rPr>
        <w:t>:</w:t>
      </w:r>
      <w:r>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w:t>
      </w:r>
      <w:proofErr w:type="spellStart"/>
      <w:r>
        <w:rPr>
          <w:sz w:val="14"/>
        </w:rPr>
        <w:t>ecy</w:t>
      </w:r>
      <w:proofErr w:type="spellEnd"/>
      <w:r>
        <w:rPr>
          <w:sz w:val="14"/>
        </w:rPr>
        <w:t xml:space="preserve"> .y E a)) (cf. Quine 1963, p. 53). In my notation this would be written: </w:t>
      </w:r>
      <w:proofErr w:type="spellStart"/>
      <w:r>
        <w:rPr>
          <w:sz w:val="14"/>
        </w:rPr>
        <w:t>Ua</w:t>
      </w:r>
      <w:proofErr w:type="spellEnd"/>
      <w:r>
        <w:rPr>
          <w:sz w:val="14"/>
        </w:rPr>
        <w:t xml:space="preserve"> = {</w:t>
      </w:r>
      <w:proofErr w:type="spellStart"/>
      <w:r>
        <w:rPr>
          <w:sz w:val="14"/>
        </w:rPr>
        <w:t>x:xe</w:t>
      </w:r>
      <w:proofErr w:type="spellEnd"/>
      <w:r>
        <w:rPr>
          <w:sz w:val="14"/>
        </w:rPr>
        <w:t>(</w:t>
      </w:r>
      <w:proofErr w:type="spellStart"/>
      <w:r>
        <w:rPr>
          <w:sz w:val="14"/>
        </w:rPr>
        <w:t>Qy</w:t>
      </w:r>
      <w:proofErr w:type="spellEnd"/>
      <w:r>
        <w:rPr>
          <w:sz w:val="14"/>
        </w:rPr>
        <w:t xml:space="preserve"> </w:t>
      </w:r>
      <w:proofErr w:type="spellStart"/>
      <w:r>
        <w:rPr>
          <w:sz w:val="14"/>
        </w:rPr>
        <w:t>yEa</w:t>
      </w:r>
      <w:proofErr w:type="spellEnd"/>
      <w:r>
        <w:rPr>
          <w:sz w:val="14"/>
        </w:rPr>
        <w:t>)) -the x's that are a member of some member of a. Quine observes 5I do not say 'nonempty' simply because it would be redundant: no class of people is empty. I do include the singletons, so that {</w:t>
      </w:r>
      <w:proofErr w:type="spellStart"/>
      <w:r>
        <w:rPr>
          <w:sz w:val="14"/>
        </w:rPr>
        <w:t>Sharvy</w:t>
      </w:r>
      <w:proofErr w:type="spellEnd"/>
      <w:r>
        <w:rPr>
          <w:sz w:val="14"/>
        </w:rPr>
        <w:t>} are people in Auckland. This might seem odd. However, the instances or instantiations of 'all men are mortal' include sentences like '</w:t>
      </w:r>
      <w:proofErr w:type="spellStart"/>
      <w:r>
        <w:rPr>
          <w:sz w:val="14"/>
        </w:rPr>
        <w:t>Sharvy</w:t>
      </w:r>
      <w:proofErr w:type="spellEnd"/>
      <w:r>
        <w:rPr>
          <w:sz w:val="14"/>
        </w:rPr>
        <w:t xml:space="preserve">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w:t>
      </w:r>
      <w:proofErr w:type="spellStart"/>
      <w:r>
        <w:rPr>
          <w:sz w:val="14"/>
        </w:rPr>
        <w:t>nonclass</w:t>
      </w:r>
      <w:proofErr w:type="spellEnd"/>
      <w:r>
        <w:rPr>
          <w:sz w:val="14"/>
        </w:rPr>
        <w:t xml:space="preserve">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w:t>
      </w:r>
      <w:proofErr w:type="spellStart"/>
      <w:r>
        <w:rPr>
          <w:sz w:val="14"/>
        </w:rPr>
        <w:t>settheoretic</w:t>
      </w:r>
      <w:proofErr w:type="spellEnd"/>
      <w:r>
        <w:rPr>
          <w:sz w:val="14"/>
        </w:rPr>
        <w:t xml:space="preserve">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w:t>
      </w:r>
      <w:proofErr w:type="spellStart"/>
      <w:r>
        <w:rPr>
          <w:sz w:val="14"/>
        </w:rPr>
        <w:t>m,w</w:t>
      </w:r>
      <w:proofErr w:type="spellEnd"/>
      <w:r>
        <w:rPr>
          <w:sz w:val="14"/>
        </w:rPr>
        <w:t>} satisfies that predicate, and U {a: a are men and women in this room) = U {{</w:t>
      </w:r>
      <w:proofErr w:type="spellStart"/>
      <w:r>
        <w:rPr>
          <w:sz w:val="14"/>
        </w:rPr>
        <w:t>m,w</w:t>
      </w:r>
      <w:proofErr w:type="spellEnd"/>
      <w:r>
        <w:rPr>
          <w:sz w:val="14"/>
        </w:rPr>
        <w:t>}} = {</w:t>
      </w:r>
      <w:proofErr w:type="spellStart"/>
      <w:r>
        <w:rPr>
          <w:sz w:val="14"/>
        </w:rPr>
        <w:t>m,w</w:t>
      </w:r>
      <w:proofErr w:type="spellEnd"/>
      <w:r>
        <w:rPr>
          <w:sz w:val="14"/>
        </w:rPr>
        <w:t xml:space="preserve">} = (7a a are men and women in this room). See note 8 also. Consider the definite description 'the square root of 2'. This is ordinarily used to refer to the positive square root of 2. My theory explains this; if real numbers are defined in the usual way as lower cuts of </w:t>
      </w:r>
      <w:proofErr w:type="spellStart"/>
      <w:r>
        <w:rPr>
          <w:sz w:val="14"/>
        </w:rPr>
        <w:t>rationals</w:t>
      </w:r>
      <w:proofErr w:type="spellEnd"/>
      <w:r>
        <w:rPr>
          <w:sz w:val="14"/>
        </w:rPr>
        <w:t xml:space="preserve"> (cf. Russell 1903, </w:t>
      </w:r>
      <w:proofErr w:type="spellStart"/>
      <w:r>
        <w:rPr>
          <w:sz w:val="14"/>
        </w:rPr>
        <w:t>ch.</w:t>
      </w:r>
      <w:proofErr w:type="spellEnd"/>
      <w:r>
        <w:rPr>
          <w:sz w:val="14"/>
        </w:rPr>
        <w:t xml:space="preserve">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w:t>
      </w:r>
      <w:proofErr w:type="spellStart"/>
      <w:r>
        <w:rPr>
          <w:sz w:val="14"/>
        </w:rPr>
        <w:t>sm</w:t>
      </w:r>
      <w:proofErr w:type="spellEnd"/>
      <w:r>
        <w:rPr>
          <w:sz w:val="14"/>
        </w:rPr>
        <w:t xml:space="preserve"> G that all G are part of. The requirement in (4) that x satisfy G is useful for distinguishing the definite plural description 'the authors of PM' from the definite singular description 'the author of PM'. The former denotes Whitehead and Russell, as it should.7 Without the </w:t>
      </w:r>
      <w:proofErr w:type="spellStart"/>
      <w:r>
        <w:rPr>
          <w:sz w:val="14"/>
        </w:rPr>
        <w:t>requirementhat</w:t>
      </w:r>
      <w:proofErr w:type="spellEnd"/>
      <w:r>
        <w:rPr>
          <w:sz w:val="14"/>
        </w:rPr>
        <w:t xml:space="preserve"> x satisfy G, using (1) or simply union, so would the latter. But although Whitehead and Russell are authors of PM, they are not an author of PM.</w:t>
      </w:r>
      <w:r>
        <w:rPr>
          <w:rStyle w:val="StyleUnderline"/>
        </w:rPr>
        <w:t xml:space="preserve"> That requirement also leads to the intuitively correct results for expressions like 'the Wilmington Ten' and 'the five men in this room'. If there are only four men in this </w:t>
      </w:r>
      <w:proofErr w:type="spellStart"/>
      <w:r>
        <w:rPr>
          <w:rStyle w:val="StyleUnderline"/>
        </w:rPr>
        <w:t>toom</w:t>
      </w:r>
      <w:proofErr w:type="spellEnd"/>
      <w:r>
        <w:rPr>
          <w:rStyle w:val="StyleUnderline"/>
        </w:rPr>
        <w:t>, the description 'the five men in this room' fails to denote because the predicate 'are five men in this room' applies to nothing. If there are six men in this room, then that description also fails to denote</w:t>
      </w:r>
      <w:r>
        <w:rPr>
          <w:sz w:val="14"/>
        </w:rPr>
        <w:t xml:space="preserve">-not because that predicate applies to more than one item (i.e., to every part of the six containing just five men), but </w:t>
      </w:r>
      <w:r>
        <w:rPr>
          <w:rStyle w:val="StyleUnderline"/>
        </w:rPr>
        <w:t>because it fails to apply to their sum.</w:t>
      </w:r>
      <w:r>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Pr>
          <w:rStyle w:val="StyleUnderline"/>
          <w:highlight w:val="green"/>
        </w:rPr>
        <w:t>The property of being denoted</w:t>
      </w:r>
      <w:r>
        <w:rPr>
          <w:rStyle w:val="StyleUnderline"/>
        </w:rPr>
        <w:t xml:space="preserve"> by an expression </w:t>
      </w:r>
      <w:r>
        <w:rPr>
          <w:rStyle w:val="StyleUnderline"/>
          <w:highlight w:val="green"/>
        </w:rPr>
        <w:t xml:space="preserve">is not </w:t>
      </w:r>
      <w:proofErr w:type="spellStart"/>
      <w:r>
        <w:rPr>
          <w:rStyle w:val="StyleUnderline"/>
          <w:highlight w:val="green"/>
        </w:rPr>
        <w:t>dissective</w:t>
      </w:r>
      <w:proofErr w:type="spellEnd"/>
      <w:r>
        <w:rPr>
          <w:rStyle w:val="StyleUnderline"/>
          <w:highlight w:val="green"/>
        </w:rPr>
        <w:t>. I may refer to something without referring to each of its parts</w:t>
      </w:r>
      <w:r>
        <w:rPr>
          <w:rStyle w:val="StyleUnderline"/>
        </w:rPr>
        <w:t>.</w:t>
      </w:r>
      <w:r>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w:t>
      </w:r>
      <w:proofErr w:type="spellStart"/>
      <w:r>
        <w:rPr>
          <w:sz w:val="14"/>
        </w:rPr>
        <w:t>Foradori</w:t>
      </w:r>
      <w:proofErr w:type="spellEnd"/>
      <w:r>
        <w:rPr>
          <w:sz w:val="14"/>
        </w:rPr>
        <w:t xml:space="preserve">.)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Pr>
          <w:rStyle w:val="StyleUnderline"/>
        </w:rPr>
        <w:t>my furniture is part of the world's furniture, and the chair in my billiard room is part of my furniture. But is a leg of that chair part of my furniture? I doubt it</w:t>
      </w:r>
      <w:r>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w:t>
      </w:r>
      <w:proofErr w:type="spellStart"/>
      <w:r>
        <w:rPr>
          <w:sz w:val="14"/>
        </w:rPr>
        <w:t>ofy</w:t>
      </w:r>
      <w:proofErr w:type="spellEnd"/>
      <w:r>
        <w:rPr>
          <w:sz w:val="14"/>
        </w:rPr>
        <w:t xml:space="preserve">. </w:t>
      </w:r>
      <w:r>
        <w:rPr>
          <w:rStyle w:val="StyleUnderline"/>
        </w:rPr>
        <w:t>Notice the difference between 'some' and 'some of. It's true that some of the men and women in Auckland are men, but false that some men and women in Auckland are men</w:t>
      </w:r>
      <w:r>
        <w:rPr>
          <w:sz w:val="14"/>
        </w:rPr>
        <w:t xml:space="preserve">. It's true that some of the whiskey-and-water </w:t>
      </w:r>
      <w:proofErr w:type="spellStart"/>
      <w:r>
        <w:rPr>
          <w:sz w:val="14"/>
        </w:rPr>
        <w:t>inmy</w:t>
      </w:r>
      <w:proofErr w:type="spellEnd"/>
      <w:r>
        <w:rPr>
          <w:sz w:val="14"/>
        </w:rPr>
        <w:t xml:space="preserve"> glass is water, but false that some whiskey-and-water </w:t>
      </w:r>
      <w:proofErr w:type="spellStart"/>
      <w:r>
        <w:rPr>
          <w:sz w:val="14"/>
        </w:rPr>
        <w:t>inmy</w:t>
      </w:r>
      <w:proofErr w:type="spellEnd"/>
      <w:r>
        <w:rPr>
          <w:sz w:val="14"/>
        </w:rPr>
        <w:t xml:space="preserve"> glass is water. 'part of' and 'some of' seem to be synonymous here; examples like these occur with mass and plural predicates that are not </w:t>
      </w:r>
      <w:proofErr w:type="spellStart"/>
      <w:r>
        <w:rPr>
          <w:sz w:val="14"/>
        </w:rPr>
        <w:t>dissective</w:t>
      </w:r>
      <w:proofErr w:type="spellEnd"/>
      <w:r>
        <w:rPr>
          <w:sz w:val="14"/>
        </w:rPr>
        <w:t xml:space="preser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w:t>
      </w:r>
      <w:proofErr w:type="spellStart"/>
      <w:r>
        <w:rPr>
          <w:sz w:val="14"/>
        </w:rPr>
        <w:t>dissective</w:t>
      </w:r>
      <w:proofErr w:type="spellEnd"/>
      <w:r>
        <w:rPr>
          <w:sz w:val="14"/>
        </w:rPr>
        <w:t xml:space="preserve"> properties; it is compounds like 'are men and women' that fail to be </w:t>
      </w:r>
      <w:proofErr w:type="spellStart"/>
      <w:r>
        <w:rPr>
          <w:sz w:val="14"/>
        </w:rPr>
        <w:t>dissective</w:t>
      </w:r>
      <w:proofErr w:type="spellEnd"/>
      <w:r>
        <w:rPr>
          <w:sz w:val="14"/>
        </w:rPr>
        <w:t xml:space="preser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Pr>
          <w:rStyle w:val="StyleUnderline"/>
        </w:rPr>
        <w:t>the expressions 'the counties of Utah' and 'the townships of Utah' will have distinct denotations, as they should. Without the distinction</w:t>
      </w:r>
      <w:r>
        <w:rPr>
          <w:sz w:val="14"/>
        </w:rPr>
        <w:t xml:space="preserve"> made above, </w:t>
      </w:r>
      <w:r>
        <w:rPr>
          <w:rStyle w:val="StyleUnderline"/>
        </w:rPr>
        <w:t>they might appear to collapse</w:t>
      </w:r>
      <w:r>
        <w:rPr>
          <w:sz w:val="14"/>
        </w:rPr>
        <w:t xml:space="preserve"> into the same object, </w:t>
      </w:r>
      <w:r>
        <w:rPr>
          <w:rStyle w:val="StyleUnderline"/>
        </w:rPr>
        <w:t>since the territory occupied by the counties is identical to that occupied by the townships;</w:t>
      </w:r>
      <w:r>
        <w:rPr>
          <w:sz w:val="14"/>
        </w:rPr>
        <w:t xml:space="preserve"> (px) (x is territory of (</w:t>
      </w:r>
      <w:proofErr w:type="spellStart"/>
      <w:r>
        <w:rPr>
          <w:sz w:val="14"/>
        </w:rPr>
        <w:t>b.y</w:t>
      </w:r>
      <w:proofErr w:type="spellEnd"/>
      <w:r>
        <w:rPr>
          <w:sz w:val="14"/>
        </w:rPr>
        <w:t xml:space="preserve">)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w:t>
      </w:r>
      <w:proofErr w:type="spellStart"/>
      <w:r>
        <w:rPr>
          <w:sz w:val="14"/>
        </w:rPr>
        <w:t>identicals</w:t>
      </w:r>
      <w:proofErr w:type="spellEnd"/>
      <w:r>
        <w:rPr>
          <w:sz w:val="14"/>
        </w:rPr>
        <w:t xml:space="preserve">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w:t>
      </w:r>
      <w:proofErr w:type="spellStart"/>
      <w:r>
        <w:rPr>
          <w:sz w:val="14"/>
        </w:rPr>
        <w:t>Ml</w:t>
      </w:r>
      <w:proofErr w:type="spellEnd"/>
      <w:r>
        <w:rPr>
          <w:sz w:val="14"/>
        </w:rPr>
        <w:t xml:space="preserve">' and not '(x)(Lx D Mx)'; this is clear for (i). Question: how, then, does (ii), along with 'Aslan is a lion' imply 'Aslan is mammalian'? Answer: the implication is not a formal one at all, but depends on the fact that 'are mammalian' is </w:t>
      </w:r>
      <w:proofErr w:type="spellStart"/>
      <w:r>
        <w:rPr>
          <w:sz w:val="14"/>
        </w:rPr>
        <w:t>dissective</w:t>
      </w:r>
      <w:proofErr w:type="spellEnd"/>
      <w:r>
        <w:rPr>
          <w:sz w:val="14"/>
        </w:rPr>
        <w:t xml:space="preserve">; 'are widespread' is not </w:t>
      </w:r>
      <w:proofErr w:type="spellStart"/>
      <w:r>
        <w:rPr>
          <w:sz w:val="14"/>
        </w:rPr>
        <w:t>dissective</w:t>
      </w:r>
      <w:proofErr w:type="spellEnd"/>
      <w:r>
        <w:rPr>
          <w:sz w:val="14"/>
        </w:rPr>
        <w:t xml:space="preser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w:t>
      </w:r>
      <w:proofErr w:type="spellStart"/>
      <w:r>
        <w:rPr>
          <w:sz w:val="14"/>
        </w:rPr>
        <w:t>dissective</w:t>
      </w:r>
      <w:proofErr w:type="spellEnd"/>
      <w:r>
        <w:rPr>
          <w:sz w:val="14"/>
        </w:rPr>
        <w:t xml:space="preserve">. 4. Conclusion. For any given predicate G there is an appropriate part of or some of relation ? on the extension of G.8 Notice that 8The structure &lt;{x: Gx},?) is often a mereology, i.e., a model of the so-called calculus of individuals. But it may fail to be a mereology. </w:t>
      </w:r>
      <w:proofErr w:type="spellStart"/>
      <w:r>
        <w:rPr>
          <w:sz w:val="14"/>
        </w:rPr>
        <w:t>Idefine</w:t>
      </w:r>
      <w:proofErr w:type="spellEnd"/>
      <w:r>
        <w:rPr>
          <w:sz w:val="14"/>
        </w:rPr>
        <w:t xml:space="preserv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own just one shoe, '( </w:t>
      </w:r>
      <w:proofErr w:type="spellStart"/>
      <w:r>
        <w:rPr>
          <w:sz w:val="14"/>
        </w:rPr>
        <w:t>pxS</w:t>
      </w:r>
      <w:proofErr w:type="spellEnd"/>
      <w:r>
        <w:rPr>
          <w:sz w:val="14"/>
        </w:rPr>
        <w:t xml:space="preserve">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Pr>
          <w:rStyle w:val="StyleUnderline"/>
        </w:rPr>
        <w:t>the predicate 'are men and women'; this predicate is satisfied by the people in Auckland (they are men and women), but not by the men in Auckland</w:t>
      </w:r>
      <w:r>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V(P(U (M U W)) - {4}, C). 9 </w:t>
      </w:r>
      <w:r>
        <w:rPr>
          <w:rStyle w:val="StyleUnderline"/>
        </w:rPr>
        <w:t>We have an account of the generic 'the' along these same lines. The New Zealand Flag is a New Zealand flag to which every New Zealand flag bears a certain relation ?.</w:t>
      </w:r>
      <w:r>
        <w:rPr>
          <w:sz w:val="14"/>
        </w:rPr>
        <w:t xml:space="preserve"> This seems a little more natural if we add the syllables '</w:t>
      </w:r>
      <w:proofErr w:type="spellStart"/>
      <w:r>
        <w:rPr>
          <w:sz w:val="14"/>
        </w:rPr>
        <w:t>akes</w:t>
      </w:r>
      <w:proofErr w:type="spellEnd"/>
      <w:r>
        <w:rPr>
          <w:sz w:val="14"/>
        </w:rPr>
        <w:t>' or '</w:t>
      </w:r>
      <w:proofErr w:type="spellStart"/>
      <w:r>
        <w:rPr>
          <w:sz w:val="14"/>
        </w:rPr>
        <w:t>icipates</w:t>
      </w:r>
      <w:proofErr w:type="spellEnd"/>
      <w:r>
        <w:rPr>
          <w:sz w:val="14"/>
        </w:rPr>
        <w:t xml:space="preserve">'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Pr>
          <w:rStyle w:val="Emphasis"/>
          <w:highlight w:val="green"/>
        </w:rPr>
        <w:t>the primary use of 'the'</w:t>
      </w:r>
      <w:r>
        <w:rPr>
          <w:rStyle w:val="Emphasis"/>
        </w:rPr>
        <w:t xml:space="preserve"> is not to indicate uniqueness. Rather, it </w:t>
      </w:r>
      <w:r>
        <w:rPr>
          <w:rStyle w:val="Emphasis"/>
          <w:highlight w:val="green"/>
        </w:rPr>
        <w:t>is to indicate totality; implication of uniqueness is a side effect</w:t>
      </w:r>
      <w:r>
        <w:rPr>
          <w:rStyle w:val="Emphasis"/>
        </w:rPr>
        <w:t>.</w:t>
      </w:r>
    </w:p>
    <w:p w14:paraId="33F3DEDB" w14:textId="77777777" w:rsidR="002423FD" w:rsidRDefault="002423FD" w:rsidP="002423FD">
      <w:proofErr w:type="spellStart"/>
      <w:r>
        <w:rPr>
          <w:rStyle w:val="Heading4Char"/>
        </w:rPr>
        <w:t>Nebel</w:t>
      </w:r>
      <w:proofErr w:type="spellEnd"/>
      <w:r>
        <w:rPr>
          <w:rStyle w:val="Heading4Char"/>
        </w:rPr>
        <w:t xml:space="preserve"> 19</w:t>
      </w:r>
      <w:r>
        <w:t xml:space="preserve">. [Jake </w:t>
      </w:r>
      <w:proofErr w:type="spellStart"/>
      <w:r>
        <w:t>Nebel</w:t>
      </w:r>
      <w:proofErr w:type="spellEnd"/>
      <w:r>
        <w:t xml:space="preserve"> is an assistant professor of philosophy at the University of Southern California and executive director of Victory Briefs. He writes a lot of this stuff lol – duh.] “Genericity on the Standardized Tests Resolution.” </w:t>
      </w:r>
      <w:proofErr w:type="spellStart"/>
      <w:r>
        <w:t>Vbriefly</w:t>
      </w:r>
      <w:proofErr w:type="spellEnd"/>
      <w:r>
        <w:t xml:space="preserve">. August 12, 2019. </w:t>
      </w:r>
      <w:hyperlink r:id="rId6" w:history="1">
        <w:r>
          <w:rPr>
            <w:rStyle w:val="Hyperlink"/>
            <w:color w:val="000000"/>
            <w:u w:val="single"/>
          </w:rPr>
          <w:t>https://www.vbriefly.com/2019/08/12/genericity-on-the-standardized-tests-resolution/?fbclid=IwAR0hUkKdDzHWrNeqEVI7m59pwsnmqLl490n4uRLQTe7bWmWDO_avWCNzi14</w:t>
        </w:r>
      </w:hyperlink>
      <w:r>
        <w:rPr>
          <w:rStyle w:val="Hyperlink"/>
        </w:rPr>
        <w:t xml:space="preserve"> TG</w:t>
      </w:r>
    </w:p>
    <w:p w14:paraId="2DB94AA8" w14:textId="77777777" w:rsidR="002423FD" w:rsidRDefault="002423FD" w:rsidP="002423FD">
      <w:r>
        <w:t xml:space="preserve">Both distinctions are important. </w:t>
      </w:r>
      <w:r>
        <w:rPr>
          <w:rStyle w:val="StyleUnderline"/>
          <w:highlight w:val="green"/>
        </w:rPr>
        <w:t>Generic</w:t>
      </w:r>
      <w:r>
        <w:rPr>
          <w:rStyle w:val="StyleUnderline"/>
        </w:rPr>
        <w:t xml:space="preserve"> resolutions </w:t>
      </w:r>
      <w:r>
        <w:rPr>
          <w:rStyle w:val="StyleUnderline"/>
          <w:highlight w:val="green"/>
        </w:rPr>
        <w:t>can’t be affirmed by</w:t>
      </w:r>
      <w:r>
        <w:rPr>
          <w:rStyle w:val="StyleUnderline"/>
        </w:rPr>
        <w:t xml:space="preserve"> specifying </w:t>
      </w:r>
      <w:r>
        <w:rPr>
          <w:rStyle w:val="StyleUnderline"/>
          <w:highlight w:val="green"/>
        </w:rPr>
        <w:t>particular instances</w:t>
      </w:r>
      <w:r>
        <w:rPr>
          <w:rStyle w:val="StyleUnderline"/>
        </w:rPr>
        <w:t>.</w:t>
      </w:r>
      <w:r>
        <w:t xml:space="preserve"> But, since generics tolerate exceptions, plan-inclusive counterplans (PICs) do not negate generic resolutions.</w:t>
      </w:r>
    </w:p>
    <w:p w14:paraId="3871D35E" w14:textId="77777777" w:rsidR="002423FD" w:rsidRDefault="002423FD" w:rsidP="002423FD">
      <w: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1C689CE" w14:textId="77777777" w:rsidR="002423FD" w:rsidRDefault="002423FD" w:rsidP="002423FD">
      <w: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8A15058" w14:textId="77777777" w:rsidR="002423FD" w:rsidRDefault="002423FD" w:rsidP="002423FD">
      <w:r>
        <w:t xml:space="preserve"> </w:t>
      </w:r>
      <w:r>
        <w:rPr>
          <w:rStyle w:val="StyleUnderline"/>
        </w:rPr>
        <w:t>“Colleges and universities” is a generic bare plural</w:t>
      </w:r>
      <w:r>
        <w:t>. I don’t think this claim should require any argument, when you think about it, but here are a few reasons.</w:t>
      </w:r>
    </w:p>
    <w:p w14:paraId="1F9415C4" w14:textId="77777777" w:rsidR="002423FD" w:rsidRDefault="002423FD" w:rsidP="002423FD">
      <w: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F13C9DC" w14:textId="77777777" w:rsidR="002423FD" w:rsidRDefault="002423FD" w:rsidP="002423FD">
      <w:pPr>
        <w:rPr>
          <w:rStyle w:val="StyleUnderline"/>
        </w:rPr>
      </w:pPr>
      <w:r>
        <w:rPr>
          <w:rStyle w:val="StyleUnderline"/>
        </w:rPr>
        <w:t xml:space="preserve">Second, </w:t>
      </w:r>
      <w:r>
        <w:rPr>
          <w:rStyle w:val="StyleUnderline"/>
          <w:highlight w:val="green"/>
        </w:rPr>
        <w:t>“colleges</w:t>
      </w:r>
      <w:r>
        <w:rPr>
          <w:rStyle w:val="StyleUnderline"/>
        </w:rPr>
        <w:t xml:space="preserve"> and universities” </w:t>
      </w:r>
      <w:r>
        <w:rPr>
          <w:rStyle w:val="StyleUnderline"/>
          <w:highlight w:val="green"/>
        </w:rPr>
        <w:t>fails the </w:t>
      </w:r>
      <w:hyperlink r:id="rId7" w:anchor="IsolGeneInte" w:history="1">
        <w:r>
          <w:rPr>
            <w:rStyle w:val="StyleUnderline"/>
            <w:color w:val="000000"/>
            <w:highlight w:val="green"/>
          </w:rPr>
          <w:t>upward-entailment test</w:t>
        </w:r>
      </w:hyperlink>
      <w:r>
        <w:rPr>
          <w:rStyle w:val="StyleUnderline"/>
          <w:highlight w:val="green"/>
        </w:rPr>
        <w:t xml:space="preserve"> for existential</w:t>
      </w:r>
      <w:r>
        <w:rPr>
          <w:rStyle w:val="StyleUnderline"/>
        </w:rPr>
        <w:t xml:space="preserve"> uses of </w:t>
      </w:r>
      <w:r>
        <w:rPr>
          <w:rStyle w:val="StyleUnderline"/>
          <w:highlight w:val="green"/>
        </w:rPr>
        <w:t>bare plurals</w:t>
      </w:r>
      <w: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Pr>
          <w:rStyle w:val="StyleUnderline"/>
          <w:highlight w:val="green"/>
        </w:rPr>
        <w:t xml:space="preserve">Colleges </w:t>
      </w:r>
      <w:r>
        <w:rPr>
          <w:rStyle w:val="StyleUnderline"/>
        </w:rPr>
        <w:t xml:space="preserve">and universities </w:t>
      </w:r>
      <w:r>
        <w:rPr>
          <w:rStyle w:val="StyleUnderline"/>
          <w:highlight w:val="green"/>
        </w:rPr>
        <w:t>ought not consider the SAT.”</w:t>
      </w:r>
      <w:r>
        <w:t xml:space="preserve"> (To isolate “colleges and universities,” I’ve eliminated the other bare plurals in the resolution; it cannot plausibly be generic in the isolated case but existential in the resolution.) </w:t>
      </w:r>
      <w:r>
        <w:rPr>
          <w:rStyle w:val="StyleUnderline"/>
        </w:rPr>
        <w:t xml:space="preserve">This sentence </w:t>
      </w:r>
      <w:r>
        <w:rPr>
          <w:rStyle w:val="StyleUnderline"/>
          <w:highlight w:val="green"/>
        </w:rPr>
        <w:t>does not entail the more general statement that educational institutions ought not consider the SAT.</w:t>
      </w:r>
      <w:r>
        <w:rPr>
          <w:rStyle w:val="StyleUnderline"/>
        </w:rPr>
        <w:t xml:space="preserve"> This shows that “colleges and universities” is generic, because it fails the upward-entailment test for existential bare plurals.</w:t>
      </w:r>
    </w:p>
    <w:p w14:paraId="0533C59B" w14:textId="77777777" w:rsidR="002423FD" w:rsidRDefault="002423FD" w:rsidP="002423FD">
      <w:r>
        <w:rPr>
          <w:rStyle w:val="StyleUnderline"/>
        </w:rPr>
        <w:t xml:space="preserve">Third, </w:t>
      </w:r>
      <w:r>
        <w:rPr>
          <w:rStyle w:val="StyleUnderline"/>
          <w:highlight w:val="green"/>
        </w:rPr>
        <w:t xml:space="preserve">“colleges </w:t>
      </w:r>
      <w:r>
        <w:rPr>
          <w:rStyle w:val="StyleUnderline"/>
        </w:rPr>
        <w:t xml:space="preserve">and universities” </w:t>
      </w:r>
      <w:r>
        <w:rPr>
          <w:rStyle w:val="StyleUnderline"/>
          <w:highlight w:val="green"/>
        </w:rPr>
        <w:t>fails the adverb of quantification test for existential bare plurals</w:t>
      </w:r>
      <w:r>
        <w:rPr>
          <w:rStyle w:val="StyleUnderline"/>
        </w:rPr>
        <w:t>. Consider the sentence, “</w:t>
      </w:r>
      <w:r>
        <w:rPr>
          <w:rStyle w:val="StyleUnderline"/>
          <w:highlight w:val="green"/>
        </w:rPr>
        <w:t>Dogs are barking outside my window</w:t>
      </w:r>
      <w:r>
        <w:rPr>
          <w:rStyle w:val="StyleUnderline"/>
        </w:rPr>
        <w:t xml:space="preserve">.” This sentence </w:t>
      </w:r>
      <w:r>
        <w:rPr>
          <w:rStyle w:val="StyleUnderline"/>
          <w:highlight w:val="green"/>
        </w:rPr>
        <w:t>expresses an existential</w:t>
      </w:r>
      <w:r>
        <w:rPr>
          <w:rStyle w:val="StyleUnderline"/>
        </w:rPr>
        <w:t xml:space="preserve"> statement that is </w:t>
      </w:r>
      <w:r>
        <w:rPr>
          <w:rStyle w:val="StyleUnderline"/>
          <w:highlight w:val="green"/>
        </w:rPr>
        <w:t>true just in case there are some dogs barking</w:t>
      </w:r>
      <w:r>
        <w:rPr>
          <w:rStyle w:val="StyleUnderline"/>
        </w:rPr>
        <w:t xml:space="preserve"> outside my window. One test of this appeals to the drastic change of meaning caused by </w:t>
      </w:r>
      <w:r>
        <w:rPr>
          <w:rStyle w:val="StyleUnderline"/>
          <w:highlight w:val="green"/>
        </w:rPr>
        <w:t>inserting any adverb of quantification</w:t>
      </w:r>
      <w:r>
        <w:rPr>
          <w:rStyle w:val="StyleUnderline"/>
        </w:rPr>
        <w:t xml:space="preserve"> (e.g., always, sometimes, generally, often, seldom, never, ever). You </w:t>
      </w:r>
      <w:r>
        <w:rPr>
          <w:rStyle w:val="StyleUnderline"/>
          <w:highlight w:val="green"/>
        </w:rPr>
        <w:t>cannot add</w:t>
      </w:r>
      <w:r>
        <w:rPr>
          <w:rStyle w:val="StyleUnderline"/>
        </w:rPr>
        <w:t xml:space="preserve"> any such adverb into the sentence without drastically changing its </w:t>
      </w:r>
      <w:r>
        <w:rPr>
          <w:rStyle w:val="StyleUnderline"/>
          <w:highlight w:val="green"/>
        </w:rPr>
        <w:t>meaning</w:t>
      </w:r>
      <w:r>
        <w:rPr>
          <w:rStyle w:val="StyleUnderline"/>
        </w:rPr>
        <w:t xml:space="preserve">. To apply this test to the resolution, let’s again isolate the bare plural subject: “Colleges and universities ought not consider the SAT.” Adding generally (“Colleges and </w:t>
      </w:r>
      <w:proofErr w:type="spellStart"/>
      <w:r>
        <w:rPr>
          <w:rStyle w:val="StyleUnderline"/>
        </w:rPr>
        <w:t>universitiesz</w:t>
      </w:r>
      <w:proofErr w:type="spellEnd"/>
      <w:r>
        <w:rPr>
          <w:rStyle w:val="StyleUnderline"/>
        </w:rPr>
        <w:t xml:space="preserve"> generally ought not consider the SAT”) or ever (“Colleges and universities ought not ever consider the SAT”) result in comparatively minor changes of meaning. </w:t>
      </w:r>
      <w:r>
        <w:t xml:space="preserve">(Note that this test doesn’t require there to be no change of meaning and doesn’t have to work for every adverb of quantification.) This strongly suggests what we already know: that </w:t>
      </w:r>
      <w:r>
        <w:rPr>
          <w:rStyle w:val="StyleUnderline"/>
        </w:rPr>
        <w:t xml:space="preserve">“colleges and universities” is generic rather than existential in the resolution. </w:t>
      </w:r>
    </w:p>
    <w:p w14:paraId="2E308621" w14:textId="77777777" w:rsidR="002423FD" w:rsidRPr="002423FD" w:rsidRDefault="002423FD" w:rsidP="002423FD">
      <w:pPr>
        <w:pStyle w:val="Heading4"/>
      </w:pPr>
      <w:r w:rsidRPr="002423FD">
        <w:t>It applies to “nations” – 1] upward entailment test – “member nations of the World Trade Organization” doesn’t entail that political bodies ought to reduce intellectual property protections because it doesn’t prove that the UN should reduce 2] adverb test – adding “always” to the res doesn’t substantially change its meaning because reduce is permanent.</w:t>
      </w:r>
    </w:p>
    <w:p w14:paraId="16966A05" w14:textId="77777777" w:rsidR="002423FD" w:rsidRPr="002423FD" w:rsidRDefault="002423FD" w:rsidP="002423FD">
      <w:pPr>
        <w:pStyle w:val="Heading4"/>
      </w:pPr>
      <w:r>
        <w:t>Standards:</w:t>
      </w:r>
    </w:p>
    <w:p w14:paraId="236E06FA" w14:textId="77777777" w:rsidR="002423FD" w:rsidRPr="002423FD" w:rsidRDefault="002423FD" w:rsidP="002423FD">
      <w:pPr>
        <w:pStyle w:val="Heading4"/>
      </w:pPr>
      <w:r w:rsidRPr="002423FD">
        <w:t>[1] precision – the counter-</w:t>
      </w:r>
      <w:proofErr w:type="spellStart"/>
      <w:r w:rsidRPr="002423FD">
        <w:t>interp</w:t>
      </w:r>
      <w:proofErr w:type="spellEnd"/>
      <w:r w:rsidRPr="002423FD">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4F0E7165" w14:textId="77777777" w:rsidR="002423FD" w:rsidRPr="002423FD" w:rsidRDefault="002423FD" w:rsidP="002423FD">
      <w:pPr>
        <w:pStyle w:val="Heading4"/>
      </w:pPr>
      <w:r w:rsidRPr="002423FD">
        <w:t xml:space="preserve">[2] Limits and ground – their model allows affs to defend anything from India to US to Indonesia— there's no universal DA since each has different functions and political implications — that explodes neg prep and leads to random country of the week affs which makes cutting stable neg links impossible — limits key to reciprocal engagement since they create a </w:t>
      </w:r>
      <w:proofErr w:type="spellStart"/>
      <w:r w:rsidRPr="002423FD">
        <w:t>caselist</w:t>
      </w:r>
      <w:proofErr w:type="spellEnd"/>
      <w:r w:rsidRPr="002423FD">
        <w:t xml:space="preserve"> for neg prep and it takes out ground like DAs to certain nations which are some of the few neg generics when affs spec nations.</w:t>
      </w:r>
    </w:p>
    <w:p w14:paraId="782121F4" w14:textId="77777777" w:rsidR="002423FD" w:rsidRPr="002423FD" w:rsidRDefault="002423FD" w:rsidP="002423FD">
      <w:pPr>
        <w:pStyle w:val="Heading4"/>
      </w:pPr>
      <w:r w:rsidRPr="002423FD">
        <w:t xml:space="preserve">[3] TVA solves – you could’ve read your plan as an advantage under a whole res advocacy. Potential abuse doesn’t justify in round abuse, and having no prep leads to </w:t>
      </w:r>
      <w:proofErr w:type="spellStart"/>
      <w:r w:rsidRPr="002423FD">
        <w:t>cheaty</w:t>
      </w:r>
      <w:proofErr w:type="spellEnd"/>
      <w:r w:rsidRPr="002423FD">
        <w:t xml:space="preserve"> word PICs and Process Cps which are net worse</w:t>
      </w:r>
    </w:p>
    <w:p w14:paraId="2A208DEB" w14:textId="77777777" w:rsidR="002423FD" w:rsidRPr="002423FD" w:rsidRDefault="002423FD" w:rsidP="002423FD">
      <w:pPr>
        <w:pStyle w:val="Heading4"/>
      </w:pPr>
      <w:r w:rsidRPr="002423FD">
        <w:t>Fairness – debate is a competitive activity that requires fairness for objective evaluation. Outweighs because it’s the only intrinsic part of debate – all other rules can be debated over but rely on some conception of fairness to be justified.</w:t>
      </w:r>
    </w:p>
    <w:p w14:paraId="3DF14903" w14:textId="77777777" w:rsidR="002423FD" w:rsidRPr="002423FD" w:rsidRDefault="002423FD" w:rsidP="002423FD">
      <w:pPr>
        <w:pStyle w:val="Heading4"/>
      </w:pPr>
      <w:r w:rsidRPr="002423FD">
        <w:t>Drop the debater – a] deter future abuse and b] set better norms for debate.</w:t>
      </w:r>
    </w:p>
    <w:p w14:paraId="6C8ACD5B" w14:textId="77777777" w:rsidR="002423FD" w:rsidRPr="002423FD" w:rsidRDefault="002423FD" w:rsidP="002423FD">
      <w:pPr>
        <w:pStyle w:val="Heading4"/>
      </w:pPr>
      <w:r w:rsidRPr="002423FD">
        <w:t xml:space="preserve">Competing </w:t>
      </w:r>
      <w:proofErr w:type="spellStart"/>
      <w:r w:rsidRPr="002423FD">
        <w:t>interps</w:t>
      </w:r>
      <w:proofErr w:type="spellEnd"/>
      <w:r w:rsidRPr="002423FD">
        <w:t xml:space="preserve"> – [a] reasonability is arbitrary and encourages judge intervention since there’s no clear norm, [b] it creates a race to the top where we create the best possible norms for debate.</w:t>
      </w:r>
    </w:p>
    <w:p w14:paraId="14C83F7A" w14:textId="77777777" w:rsidR="002423FD" w:rsidRPr="002423FD" w:rsidRDefault="002423FD" w:rsidP="002423FD">
      <w:pPr>
        <w:pStyle w:val="Heading4"/>
      </w:pPr>
      <w:r w:rsidRPr="002423FD">
        <w:t>No RVIs – [1] You shouldn’t win for proving you’re being fair – that’s an expectation. If the judge voted for who followed speech times best, it would be irresolvable since that is expected by both sides</w:t>
      </w:r>
    </w:p>
    <w:p w14:paraId="6137DB7F" w14:textId="77777777" w:rsidR="002423FD" w:rsidRPr="002423FD" w:rsidRDefault="002423FD" w:rsidP="002423FD">
      <w:pPr>
        <w:pStyle w:val="Heading4"/>
      </w:pPr>
      <w:r w:rsidRPr="002423FD">
        <w:t xml:space="preserve">[2] Baiting – good theory debaters bait the </w:t>
      </w:r>
      <w:proofErr w:type="spellStart"/>
      <w:r w:rsidRPr="002423FD">
        <w:t>rvi</w:t>
      </w:r>
      <w:proofErr w:type="spellEnd"/>
      <w:r w:rsidRPr="002423FD">
        <w:t xml:space="preserve"> with an abusive strategy which either [a] causes massive abuse substantively or [b] leads to a debate of who is the better theory debater, which is a bad model for debate</w:t>
      </w:r>
    </w:p>
    <w:p w14:paraId="36EC8F79" w14:textId="77777777" w:rsidR="002423FD" w:rsidRPr="002423FD" w:rsidRDefault="002423FD" w:rsidP="002423FD">
      <w:pPr>
        <w:pStyle w:val="Heading4"/>
      </w:pPr>
      <w:r w:rsidRPr="002423FD">
        <w:t xml:space="preserve">[3] Kill substantive education – invites debaters to collapse to theory for an </w:t>
      </w:r>
      <w:proofErr w:type="spellStart"/>
      <w:r w:rsidRPr="002423FD">
        <w:t>rvi</w:t>
      </w:r>
      <w:proofErr w:type="spellEnd"/>
    </w:p>
    <w:p w14:paraId="2C48E3DC" w14:textId="77777777" w:rsidR="002423FD" w:rsidRPr="002423FD" w:rsidRDefault="002423FD" w:rsidP="002423FD">
      <w:pPr>
        <w:pStyle w:val="Heading4"/>
      </w:pPr>
      <w:r w:rsidRPr="002423FD">
        <w:t xml:space="preserve">[4] Chilling effect – debaters are too scared to read theory because good theory debaters beat them on the </w:t>
      </w:r>
      <w:proofErr w:type="spellStart"/>
      <w:r w:rsidRPr="002423FD">
        <w:t>rvi</w:t>
      </w:r>
      <w:proofErr w:type="spellEnd"/>
      <w:r w:rsidRPr="002423FD">
        <w:t xml:space="preserve">, means infinite unchecked abuse and ow on severity </w:t>
      </w:r>
    </w:p>
    <w:p w14:paraId="035A2CAB" w14:textId="77777777" w:rsidR="002423FD" w:rsidRPr="002423FD" w:rsidRDefault="002423FD" w:rsidP="002423FD">
      <w:pPr>
        <w:pStyle w:val="Heading4"/>
      </w:pPr>
      <w:r w:rsidRPr="002423FD">
        <w:t xml:space="preserve">[5] </w:t>
      </w:r>
      <w:proofErr w:type="spellStart"/>
      <w:r w:rsidRPr="002423FD">
        <w:t>Timeskew</w:t>
      </w:r>
      <w:proofErr w:type="spellEnd"/>
      <w:r w:rsidRPr="002423FD">
        <w:t xml:space="preserve"> – they get 7-6 theory advantage, with 2ar recontextualization devastates negatives</w:t>
      </w:r>
    </w:p>
    <w:p w14:paraId="12593569" w14:textId="37B8835F" w:rsidR="002423FD" w:rsidRPr="002423FD" w:rsidRDefault="002423FD" w:rsidP="002423FD">
      <w:pPr>
        <w:pStyle w:val="Heading4"/>
      </w:pPr>
      <w:r w:rsidRPr="002423FD">
        <w:t>[6] Theory becomes nib that the negative is more incentivized to collapse to, which kills substantive education</w:t>
      </w:r>
    </w:p>
    <w:p w14:paraId="25659393" w14:textId="1A3E3189" w:rsidR="00264E3F" w:rsidRDefault="009F4D13" w:rsidP="00264E3F">
      <w:pPr>
        <w:pStyle w:val="Heading2"/>
      </w:pPr>
      <w:r>
        <w:t>2</w:t>
      </w:r>
    </w:p>
    <w:p w14:paraId="569479F5" w14:textId="77777777" w:rsidR="002423FD" w:rsidRDefault="002423FD" w:rsidP="002423FD">
      <w:pPr>
        <w:pStyle w:val="Heading4"/>
      </w:pPr>
      <w:r>
        <w:t xml:space="preserve">Reduce is distinct from </w:t>
      </w:r>
      <w:r w:rsidRPr="002423FD">
        <w:t>simply</w:t>
      </w:r>
      <w:r>
        <w:t xml:space="preserve"> changing</w:t>
      </w:r>
    </w:p>
    <w:p w14:paraId="19178266" w14:textId="77777777" w:rsidR="002423FD" w:rsidRDefault="002423FD" w:rsidP="002423FD">
      <w:r>
        <w:rPr>
          <w:rStyle w:val="Style13ptBold"/>
        </w:rPr>
        <w:t xml:space="preserve">Finch 73 </w:t>
      </w:r>
      <w:r>
        <w:t>(James A. Finch Jr., judge. “State ex rel. Cason v. Bond, 495 S.W.2d 385,” Supreme Court of Missouri, 1973)</w:t>
      </w:r>
    </w:p>
    <w:p w14:paraId="35F24717" w14:textId="475C133C" w:rsidR="002423FD" w:rsidRDefault="002423FD" w:rsidP="002423FD">
      <w:pPr>
        <w:rPr>
          <w:sz w:val="14"/>
        </w:rPr>
      </w:pPr>
      <w:r>
        <w:rPr>
          <w:sz w:val="14"/>
        </w:rPr>
        <w:t xml:space="preserve">"* * * The fact that this section relates solely to appropriation bills, in conjunction with the word 'reduce,' indicates clearly that the expression 'items or parts of items' refers to separable fiscal units. They are appropriations of sums of money. </w:t>
      </w:r>
      <w:r>
        <w:rPr>
          <w:rStyle w:val="StyleUnderline"/>
        </w:rPr>
        <w:t>Power is conferred</w:t>
      </w:r>
      <w:r>
        <w:rPr>
          <w:sz w:val="14"/>
        </w:rPr>
        <w:t xml:space="preserve"> upon the Governor </w:t>
      </w:r>
      <w:r>
        <w:rPr>
          <w:rStyle w:val="Emphasis"/>
        </w:rPr>
        <w:t>to reduce</w:t>
      </w:r>
      <w:r>
        <w:rPr>
          <w:sz w:val="14"/>
        </w:rPr>
        <w:t xml:space="preserve"> a sum of money appropriated, or to disapprove the appropriation entirely. </w:t>
      </w:r>
      <w:r>
        <w:rPr>
          <w:rStyle w:val="StyleUnderline"/>
          <w:highlight w:val="cyan"/>
        </w:rPr>
        <w:t xml:space="preserve">No power is conferred to </w:t>
      </w:r>
      <w:r>
        <w:rPr>
          <w:rStyle w:val="Emphasis"/>
          <w:highlight w:val="cyan"/>
        </w:rPr>
        <w:t>change the terms</w:t>
      </w:r>
      <w:r>
        <w:rPr>
          <w:rStyle w:val="StyleUnderline"/>
          <w:highlight w:val="cyan"/>
        </w:rPr>
        <w:t xml:space="preserve"> of an appropriation </w:t>
      </w:r>
      <w:r>
        <w:rPr>
          <w:rStyle w:val="Emphasis"/>
          <w:highlight w:val="cyan"/>
        </w:rPr>
        <w:t>except by reducing</w:t>
      </w:r>
      <w:r>
        <w:rPr>
          <w:rStyle w:val="StyleUnderline"/>
          <w:highlight w:val="cyan"/>
        </w:rPr>
        <w:t xml:space="preserve"> the amount thereof</w:t>
      </w:r>
      <w:r>
        <w:rPr>
          <w:sz w:val="14"/>
        </w:rPr>
        <w:t>. Words or phrases are not 'items or parts of items.' This principle applies to the condition [**14]  attached to the appropriation now in question.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70E98590" w14:textId="77777777" w:rsidR="002423FD" w:rsidRPr="002423FD" w:rsidRDefault="002423FD" w:rsidP="002423FD">
      <w:pPr>
        <w:pStyle w:val="Heading4"/>
      </w:pPr>
      <w:r w:rsidRPr="002423FD">
        <w:t>Changing terms doesn’t qualify as a reduction</w:t>
      </w:r>
    </w:p>
    <w:p w14:paraId="49B5DE74" w14:textId="77777777" w:rsidR="002423FD" w:rsidRDefault="002423FD" w:rsidP="002423FD">
      <w:pPr>
        <w:spacing w:line="254" w:lineRule="auto"/>
        <w:rPr>
          <w:rFonts w:eastAsia="Cambria"/>
        </w:rPr>
      </w:pPr>
      <w:r>
        <w:rPr>
          <w:rFonts w:eastAsia="Cambria"/>
          <w:b/>
          <w:bCs/>
          <w:sz w:val="26"/>
        </w:rPr>
        <w:t>Supreme Court of Missouri 73</w:t>
      </w:r>
      <w:r>
        <w:rPr>
          <w:rFonts w:eastAsia="Cambria"/>
        </w:rPr>
        <w:t xml:space="preserve"> – (State ex rel. Cason v. Bond, 495 S.W.2d 385, Lexis) ///BDN</w:t>
      </w:r>
    </w:p>
    <w:p w14:paraId="325ABDAA" w14:textId="3828714A" w:rsidR="002423FD" w:rsidRPr="002423FD" w:rsidRDefault="002423FD" w:rsidP="002423FD">
      <w:r>
        <w:rPr>
          <w:rStyle w:val="StyleUnderline"/>
          <w:rFonts w:eastAsia="Cambria"/>
        </w:rPr>
        <w:t xml:space="preserve">* * * The fact that this section relates solely to appropriation bills, in conjunction with the word </w:t>
      </w:r>
      <w:r>
        <w:rPr>
          <w:rStyle w:val="StyleUnderline"/>
          <w:rFonts w:eastAsia="Cambria"/>
          <w:highlight w:val="green"/>
        </w:rPr>
        <w:t>'reduce,' indicates clearly</w:t>
      </w:r>
      <w:r>
        <w:rPr>
          <w:rStyle w:val="StyleUnderline"/>
          <w:rFonts w:eastAsia="Cambria"/>
        </w:rPr>
        <w:t xml:space="preserve"> that the expression 'items or parts of items' refers to separable fiscal units. They are appropriations of sums of money</w:t>
      </w:r>
      <w:r>
        <w:rPr>
          <w:rStyle w:val="StyleUnderline"/>
          <w:rFonts w:eastAsia="Cambria"/>
          <w:highlight w:val="green"/>
        </w:rPr>
        <w:t xml:space="preserve">. </w:t>
      </w:r>
      <w:r>
        <w:rPr>
          <w:rStyle w:val="Emphasis"/>
          <w:rFonts w:eastAsia="Cambria"/>
          <w:highlight w:val="green"/>
        </w:rPr>
        <w:t>Power is conferred upon</w:t>
      </w:r>
      <w:r>
        <w:rPr>
          <w:rStyle w:val="StyleUnderline"/>
          <w:rFonts w:eastAsia="Cambria"/>
        </w:rPr>
        <w:t xml:space="preserve"> the Governor </w:t>
      </w:r>
      <w:r>
        <w:rPr>
          <w:rStyle w:val="StyleUnderline"/>
          <w:rFonts w:eastAsia="Cambria"/>
          <w:highlight w:val="green"/>
        </w:rPr>
        <w:t xml:space="preserve">to reduce </w:t>
      </w:r>
      <w:r>
        <w:rPr>
          <w:rStyle w:val="StyleUnderline"/>
          <w:rFonts w:eastAsia="Cambria"/>
        </w:rPr>
        <w:t xml:space="preserve">a sum of money appropriated, or to disapprove the appropriation entirely. </w:t>
      </w:r>
      <w:r>
        <w:rPr>
          <w:rStyle w:val="StyleUnderline"/>
          <w:rFonts w:eastAsia="Cambria"/>
          <w:highlight w:val="green"/>
        </w:rPr>
        <w:t xml:space="preserve">No power is conferred to </w:t>
      </w:r>
      <w:r>
        <w:rPr>
          <w:rStyle w:val="StyleUnderline"/>
          <w:rFonts w:eastAsia="MS Mincho"/>
          <w:highlight w:val="green"/>
        </w:rPr>
        <w:t>change the terms of an appropriation</w:t>
      </w:r>
      <w:r>
        <w:rPr>
          <w:rFonts w:eastAsia="Cambria"/>
        </w:rPr>
        <w:t xml:space="preserve"> except by reducing the amount</w:t>
      </w:r>
      <w:r>
        <w:t xml:space="preserve"> thereof. Words or phrases are not 'items or parts of items.' This principle applies to the condition [**14]  attached to the appropriation now in question.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2822B910" w14:textId="77777777" w:rsidR="009F4D13" w:rsidRDefault="009F4D13" w:rsidP="009F4D13"/>
    <w:p w14:paraId="57226750" w14:textId="6FFC1A58" w:rsidR="009F4D13" w:rsidRDefault="009F4D13" w:rsidP="009F4D13">
      <w:pPr>
        <w:pStyle w:val="Heading4"/>
        <w:rPr>
          <w:rFonts w:cs="Calibri"/>
          <w:sz w:val="22"/>
          <w:u w:val="single"/>
        </w:rPr>
      </w:pPr>
      <w:r>
        <w:t xml:space="preserve">Violation: </w:t>
      </w:r>
      <w:r w:rsidR="00EC0310">
        <w:t>they only change the burden of proof from the whistleblower to the company – that doesn’t reduce the trade secret protection itself.</w:t>
      </w:r>
    </w:p>
    <w:p w14:paraId="5DE2535C" w14:textId="77777777" w:rsidR="009F4D13" w:rsidRDefault="009F4D13" w:rsidP="00EC0310"/>
    <w:p w14:paraId="4EA4CE75" w14:textId="77777777" w:rsidR="009F4D13" w:rsidRDefault="009F4D13" w:rsidP="009F4D13">
      <w:pPr>
        <w:pStyle w:val="Heading4"/>
        <w:rPr>
          <w:rFonts w:cs="Calibri"/>
        </w:rPr>
      </w:pPr>
      <w:r>
        <w:rPr>
          <w:rFonts w:cs="Calibri"/>
        </w:rPr>
        <w:t>Vote neg:</w:t>
      </w:r>
    </w:p>
    <w:p w14:paraId="239136C6" w14:textId="54FD46B5" w:rsidR="009F4D13" w:rsidRDefault="009F4D13" w:rsidP="009F4D13">
      <w:pPr>
        <w:pStyle w:val="Heading4"/>
      </w:pPr>
      <w:r>
        <w:t xml:space="preserve">1] Limits and ground– their model allows affs to defend anything from pandemics to Biden’s presidency— </w:t>
      </w:r>
      <w:r w:rsidR="002423FD">
        <w:t>c/a offense above</w:t>
      </w:r>
    </w:p>
    <w:p w14:paraId="14EEFC5C" w14:textId="11357E1A" w:rsidR="009F4D13" w:rsidRDefault="009F4D13" w:rsidP="009F4D13">
      <w:pPr>
        <w:pStyle w:val="Heading4"/>
      </w:pPr>
      <w:r>
        <w:t xml:space="preserve">2] Precision </w:t>
      </w:r>
      <w:r w:rsidR="002423FD">
        <w:t>– c/a offense above</w:t>
      </w:r>
      <w:r>
        <w:t xml:space="preserve"> </w:t>
      </w:r>
    </w:p>
    <w:p w14:paraId="2F541244" w14:textId="77777777" w:rsidR="009F4D13" w:rsidRDefault="009F4D13" w:rsidP="009F4D13">
      <w:pPr>
        <w:pStyle w:val="Heading4"/>
        <w:rPr>
          <w:rFonts w:cs="Calibri"/>
        </w:rPr>
      </w:pPr>
      <w:r>
        <w:rPr>
          <w:rFonts w:cs="Calibri"/>
        </w:rPr>
        <w:t xml:space="preserve">3] TVA – defend the advantage to a whole </w:t>
      </w:r>
      <w:proofErr w:type="spellStart"/>
      <w:r>
        <w:rPr>
          <w:rFonts w:cs="Calibri"/>
        </w:rPr>
        <w:t>rez</w:t>
      </w:r>
      <w:proofErr w:type="spellEnd"/>
      <w:r>
        <w:rPr>
          <w:rFonts w:cs="Calibri"/>
        </w:rPr>
        <w:t xml:space="preserve"> timeframe. We don’t prevent new FWs, mechanisms, or advantages. PICs don’t solve – our model allows you to specify countries and medicines.</w:t>
      </w:r>
      <w:r>
        <w:rPr>
          <w:rFonts w:cs="Calibri"/>
          <w:color w:val="000000" w:themeColor="text1"/>
        </w:rPr>
        <w:t xml:space="preserve"> </w:t>
      </w:r>
    </w:p>
    <w:p w14:paraId="2F577C68" w14:textId="6E586C2C" w:rsidR="00264E3F" w:rsidRDefault="00264E3F" w:rsidP="00264E3F">
      <w:pPr>
        <w:pStyle w:val="Heading2"/>
        <w:rPr>
          <w:rFonts w:cs="Calibri"/>
          <w:bCs/>
        </w:rPr>
      </w:pPr>
      <w:r>
        <w:rPr>
          <w:rFonts w:cs="Calibri"/>
          <w:bCs/>
        </w:rPr>
        <w:t>3</w:t>
      </w:r>
    </w:p>
    <w:p w14:paraId="513AB8D6" w14:textId="6F567926" w:rsidR="00264E3F" w:rsidRDefault="00264E3F" w:rsidP="00264E3F">
      <w:r>
        <w:t>Interp: affirmative plan texts must have a carded solvency advocate that advocates for their specific plan.</w:t>
      </w:r>
    </w:p>
    <w:p w14:paraId="6372946C" w14:textId="0ECAD41F" w:rsidR="00264E3F" w:rsidRDefault="00264E3F" w:rsidP="00264E3F">
      <w:r>
        <w:t xml:space="preserve">Violation: they don’t. </w:t>
      </w:r>
      <w:r w:rsidR="00EC0310">
        <w:t xml:space="preserve">Both solvency cards only describe what whistleblowing and trade secret rights look like in the </w:t>
      </w:r>
      <w:proofErr w:type="spellStart"/>
      <w:r w:rsidR="00EC0310">
        <w:t>squo</w:t>
      </w:r>
      <w:proofErr w:type="spellEnd"/>
      <w:r w:rsidR="00EC0310">
        <w:t xml:space="preserve"> but don’t say the plan ought to happen or solves their impacts.</w:t>
      </w:r>
    </w:p>
    <w:p w14:paraId="6652A39B" w14:textId="4C947D68" w:rsidR="00264E3F" w:rsidRDefault="00264E3F" w:rsidP="00264E3F">
      <w:r>
        <w:t>[1] limits</w:t>
      </w:r>
    </w:p>
    <w:p w14:paraId="779BE102" w14:textId="026C2A71" w:rsidR="00264E3F" w:rsidRDefault="00264E3F" w:rsidP="00264E3F">
      <w:r>
        <w:t xml:space="preserve">[2] </w:t>
      </w:r>
      <w:proofErr w:type="spellStart"/>
      <w:r>
        <w:t>strat</w:t>
      </w:r>
      <w:proofErr w:type="spellEnd"/>
      <w:r>
        <w:t xml:space="preserve"> skew</w:t>
      </w:r>
    </w:p>
    <w:p w14:paraId="0AA4F52A" w14:textId="6107053B" w:rsidR="00264E3F" w:rsidRPr="00264E3F" w:rsidRDefault="00264E3F" w:rsidP="00264E3F">
      <w:r>
        <w:t>[3] topic literature</w:t>
      </w:r>
    </w:p>
    <w:p w14:paraId="784DB28F" w14:textId="443013CF" w:rsidR="00264E3F" w:rsidRDefault="00264E3F" w:rsidP="00264E3F">
      <w:pPr>
        <w:pStyle w:val="Heading2"/>
      </w:pPr>
      <w:r>
        <w:t>4</w:t>
      </w:r>
    </w:p>
    <w:p w14:paraId="42820A8A" w14:textId="77777777" w:rsidR="00264E3F" w:rsidRPr="00264E3F" w:rsidRDefault="00264E3F" w:rsidP="00264E3F">
      <w:pPr>
        <w:pStyle w:val="Heading3"/>
        <w:rPr>
          <w:rFonts w:cs="Calibri"/>
          <w:bCs/>
        </w:rPr>
      </w:pPr>
      <w:r w:rsidRPr="00264E3F">
        <w:rPr>
          <w:rFonts w:cs="Calibri"/>
          <w:bCs/>
        </w:rPr>
        <w:t>1NC – FW</w:t>
      </w:r>
    </w:p>
    <w:p w14:paraId="11DB1F7D" w14:textId="77777777" w:rsidR="00264E3F" w:rsidRPr="00264E3F" w:rsidRDefault="00264E3F" w:rsidP="00264E3F">
      <w:pPr>
        <w:pStyle w:val="Heading4"/>
      </w:pPr>
      <w:r w:rsidRPr="00264E3F">
        <w:t>Permissibility and presumption negate – [a] the resolution indicates the aff has to prove an obligation, and permissibility would deny the existence of an obligation [b] Statements are more often false than true because any part can be false. This means you negate if there is no offense because the resolution is probably false.</w:t>
      </w:r>
    </w:p>
    <w:p w14:paraId="1E53B03D" w14:textId="77777777" w:rsidR="00264E3F" w:rsidRPr="00264E3F" w:rsidRDefault="00264E3F" w:rsidP="00264E3F">
      <w:pPr>
        <w:pStyle w:val="Heading4"/>
      </w:pPr>
      <w:r w:rsidRPr="00264E3F">
        <w:t>Ethics must begin a priori:</w:t>
      </w:r>
    </w:p>
    <w:p w14:paraId="0B9CE5FC" w14:textId="77777777" w:rsidR="00264E3F" w:rsidRPr="00264E3F" w:rsidRDefault="00264E3F" w:rsidP="00264E3F">
      <w:pPr>
        <w:pStyle w:val="Heading4"/>
      </w:pPr>
      <w:r w:rsidRPr="00264E3F">
        <w:t>[1] Uncertainty – our experiences are inaccessible to others which allows people to say they don’t experience the same, however a priori principles are universally applied to all agents.</w:t>
      </w:r>
    </w:p>
    <w:p w14:paraId="1D2FB583" w14:textId="77777777" w:rsidR="00264E3F" w:rsidRPr="00264E3F" w:rsidRDefault="00264E3F" w:rsidP="00264E3F">
      <w:pPr>
        <w:pStyle w:val="Heading4"/>
      </w:pPr>
      <w:r w:rsidRPr="00264E3F">
        <w:t>[2] Bindingness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4A532893" w14:textId="77777777" w:rsidR="00264E3F" w:rsidRPr="00264E3F" w:rsidRDefault="00264E3F" w:rsidP="00264E3F">
      <w:pPr>
        <w:pStyle w:val="Heading4"/>
      </w:pPr>
      <w:r w:rsidRPr="00264E3F">
        <w:t xml:space="preserve">That means we must universally will maxims— any non-universalizable norm justifies someone’s ability to impede on your ends.  </w:t>
      </w:r>
    </w:p>
    <w:p w14:paraId="73485BE7" w14:textId="77777777" w:rsidR="00264E3F" w:rsidRPr="00264E3F" w:rsidRDefault="00264E3F" w:rsidP="00264E3F">
      <w:pPr>
        <w:pStyle w:val="Heading4"/>
      </w:pPr>
      <w:r w:rsidRPr="00264E3F">
        <w:t xml:space="preserve">Thus, the standard is consistency with the categorical imperative. </w:t>
      </w:r>
    </w:p>
    <w:p w14:paraId="3D9B5F2A" w14:textId="5DAE5404" w:rsidR="00264E3F" w:rsidRPr="00264E3F" w:rsidRDefault="00264E3F" w:rsidP="00264E3F">
      <w:pPr>
        <w:pStyle w:val="Heading4"/>
      </w:pPr>
      <w:r w:rsidRPr="00264E3F">
        <w:t xml:space="preserve">Prefer the standard: [a] 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Frameworks are topicality </w:t>
      </w:r>
      <w:proofErr w:type="spellStart"/>
      <w:r w:rsidRPr="00264E3F">
        <w:t>interps</w:t>
      </w:r>
      <w:proofErr w:type="spellEnd"/>
      <w:r w:rsidRPr="00264E3F">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76D460A2" w14:textId="77777777" w:rsidR="00264E3F" w:rsidRPr="00264E3F" w:rsidRDefault="00264E3F" w:rsidP="00264E3F">
      <w:pPr>
        <w:pStyle w:val="Heading3"/>
        <w:rPr>
          <w:bCs/>
        </w:rPr>
      </w:pPr>
      <w:r w:rsidRPr="00264E3F">
        <w:rPr>
          <w:bCs/>
        </w:rPr>
        <w:t>1NC – Offense</w:t>
      </w:r>
    </w:p>
    <w:p w14:paraId="4C8C142C" w14:textId="77777777" w:rsidR="00264E3F" w:rsidRPr="00264E3F" w:rsidRDefault="00264E3F" w:rsidP="00264E3F">
      <w:pPr>
        <w:pStyle w:val="Heading4"/>
        <w:rPr>
          <w:bCs/>
          <w:u w:val="single"/>
        </w:rPr>
      </w:pPr>
      <w:r w:rsidRPr="00264E3F">
        <w:rPr>
          <w:bCs/>
        </w:rPr>
        <w:t xml:space="preserve">1] Intellectual property is an </w:t>
      </w:r>
      <w:r w:rsidRPr="00264E3F">
        <w:rPr>
          <w:bCs/>
          <w:u w:val="single"/>
        </w:rPr>
        <w:t>inalienable personal right</w:t>
      </w:r>
      <w:r w:rsidRPr="00264E3F">
        <w:rPr>
          <w:bCs/>
        </w:rPr>
        <w:t xml:space="preserve"> of economic use</w:t>
      </w:r>
      <w:r w:rsidRPr="00264E3F">
        <w:rPr>
          <w:bCs/>
          <w:u w:val="single"/>
        </w:rPr>
        <w:t xml:space="preserve"> </w:t>
      </w:r>
    </w:p>
    <w:p w14:paraId="34EEB66C" w14:textId="77777777" w:rsidR="00264E3F" w:rsidRDefault="00264E3F" w:rsidP="00264E3F">
      <w:r>
        <w:rPr>
          <w:rFonts w:eastAsiaTheme="majorEastAsia" w:cstheme="majorBidi"/>
          <w:b/>
          <w:bCs/>
          <w:sz w:val="26"/>
        </w:rPr>
        <w:t>Pozzo 6</w:t>
      </w:r>
      <w:r>
        <w:t xml:space="preserve"> Pozzo, Riccardo. “Immanuel Kant on Intellectual Property.” Trans/Form/</w:t>
      </w:r>
      <w:proofErr w:type="spellStart"/>
      <w:r>
        <w:t>Ação</w:t>
      </w:r>
      <w:proofErr w:type="spellEnd"/>
      <w:r>
        <w:t>, vol. 29, no. 2, 2006, pp. 11–18., doi:10.1590/s0101-31732006000200002. SJ//DA recut Cookie JX</w:t>
      </w:r>
    </w:p>
    <w:p w14:paraId="44D9304A" w14:textId="77777777" w:rsidR="00264E3F" w:rsidRDefault="00264E3F" w:rsidP="00264E3F">
      <w:pPr>
        <w:rPr>
          <w:sz w:val="16"/>
        </w:rPr>
      </w:pPr>
      <w:r>
        <w:rPr>
          <w:sz w:val="16"/>
        </w:rPr>
        <w:t xml:space="preserve">Corpus </w:t>
      </w:r>
      <w:proofErr w:type="spellStart"/>
      <w:r>
        <w:rPr>
          <w:sz w:val="16"/>
        </w:rPr>
        <w:t>mysticum</w:t>
      </w:r>
      <w:proofErr w:type="spellEnd"/>
      <w:r>
        <w:rPr>
          <w:sz w:val="16"/>
        </w:rPr>
        <w:t xml:space="preserve">, opus </w:t>
      </w:r>
      <w:proofErr w:type="spellStart"/>
      <w:r>
        <w:rPr>
          <w:sz w:val="16"/>
        </w:rPr>
        <w:t>mysticum</w:t>
      </w:r>
      <w:proofErr w:type="spellEnd"/>
      <w:r>
        <w:rPr>
          <w:sz w:val="16"/>
        </w:rPr>
        <w:t xml:space="preserve">, </w:t>
      </w:r>
      <w:proofErr w:type="spellStart"/>
      <w:r>
        <w:rPr>
          <w:sz w:val="16"/>
        </w:rPr>
        <w:t>propriété</w:t>
      </w:r>
      <w:proofErr w:type="spellEnd"/>
      <w:r>
        <w:rPr>
          <w:sz w:val="16"/>
        </w:rPr>
        <w:t xml:space="preserve"> </w:t>
      </w:r>
      <w:proofErr w:type="spellStart"/>
      <w:r>
        <w:rPr>
          <w:sz w:val="16"/>
        </w:rPr>
        <w:t>incorporelle</w:t>
      </w:r>
      <w:proofErr w:type="spellEnd"/>
      <w:r>
        <w:rPr>
          <w:sz w:val="16"/>
        </w:rPr>
        <w:t xml:space="preserve">, </w:t>
      </w:r>
      <w:proofErr w:type="spellStart"/>
      <w:r>
        <w:rPr>
          <w:sz w:val="16"/>
        </w:rPr>
        <w:t>proprietà</w:t>
      </w:r>
      <w:proofErr w:type="spellEnd"/>
      <w:r>
        <w:rPr>
          <w:sz w:val="16"/>
        </w:rPr>
        <w:t xml:space="preserve"> </w:t>
      </w:r>
      <w:proofErr w:type="spellStart"/>
      <w:r>
        <w:rPr>
          <w:sz w:val="16"/>
        </w:rPr>
        <w:t>letteraria</w:t>
      </w:r>
      <w:proofErr w:type="spellEnd"/>
      <w:r>
        <w:rPr>
          <w:sz w:val="16"/>
        </w:rPr>
        <w:t xml:space="preserve">, </w:t>
      </w:r>
      <w:proofErr w:type="spellStart"/>
      <w:r>
        <w:rPr>
          <w:sz w:val="16"/>
        </w:rPr>
        <w:t>geistiges</w:t>
      </w:r>
      <w:proofErr w:type="spellEnd"/>
      <w:r>
        <w:rPr>
          <w:sz w:val="16"/>
        </w:rPr>
        <w:t xml:space="preserve"> </w:t>
      </w:r>
      <w:proofErr w:type="spellStart"/>
      <w:r>
        <w:rPr>
          <w:sz w:val="16"/>
        </w:rPr>
        <w:t>Eigentum</w:t>
      </w:r>
      <w:proofErr w:type="spellEnd"/>
      <w:r>
        <w:rPr>
          <w:sz w:val="16"/>
        </w:rPr>
        <w:t xml:space="preserve">. All these terms mean </w:t>
      </w:r>
      <w:r>
        <w:rPr>
          <w:b/>
          <w:bCs/>
          <w:highlight w:val="green"/>
          <w:u w:val="single"/>
        </w:rPr>
        <w:t>intellectual property,</w:t>
      </w:r>
      <w:r>
        <w:rPr>
          <w:b/>
          <w:bCs/>
          <w:u w:val="single"/>
        </w:rPr>
        <w:t xml:space="preserve"> the </w:t>
      </w:r>
      <w:r>
        <w:rPr>
          <w:b/>
          <w:bCs/>
          <w:highlight w:val="green"/>
          <w:u w:val="single"/>
        </w:rPr>
        <w:t>exist</w:t>
      </w:r>
      <w:r>
        <w:rPr>
          <w:b/>
          <w:bCs/>
          <w:u w:val="single"/>
        </w:rPr>
        <w:t>ence of which is intuitively clear</w:t>
      </w:r>
      <w:r>
        <w:rPr>
          <w:b/>
          <w:bCs/>
          <w:highlight w:val="green"/>
          <w:u w:val="single"/>
        </w:rPr>
        <w:t xml:space="preserve"> because of the</w:t>
      </w:r>
      <w:r>
        <w:rPr>
          <w:b/>
          <w:bCs/>
          <w:u w:val="single"/>
        </w:rPr>
        <w:t xml:space="preserve"> unbreakable </w:t>
      </w:r>
      <w:r>
        <w:rPr>
          <w:b/>
          <w:bCs/>
          <w:highlight w:val="green"/>
          <w:u w:val="single"/>
        </w:rPr>
        <w:t>bond</w:t>
      </w:r>
      <w:r>
        <w:rPr>
          <w:b/>
          <w:bCs/>
          <w:u w:val="single"/>
        </w:rPr>
        <w:t xml:space="preserve"> that ties the work </w:t>
      </w:r>
      <w:r>
        <w:rPr>
          <w:b/>
          <w:bCs/>
          <w:highlight w:val="green"/>
          <w:u w:val="single"/>
        </w:rPr>
        <w:t>to its creator</w:t>
      </w:r>
      <w:r>
        <w:rPr>
          <w:b/>
          <w:bCs/>
          <w:u w:val="single"/>
        </w:rPr>
        <w:t>.</w:t>
      </w:r>
      <w:r>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Pr>
          <w:sz w:val="16"/>
        </w:rPr>
        <w:t>mechanicum</w:t>
      </w:r>
      <w:proofErr w:type="spellEnd"/>
      <w:r>
        <w:rPr>
          <w:sz w:val="16"/>
        </w:rPr>
        <w:t xml:space="preserve">) that can be reproduced (by someone in legitimate possession of a copy of it), so that there is a right to a thing with regard to it. </w:t>
      </w:r>
      <w:r>
        <w:rPr>
          <w:rStyle w:val="Emphasis"/>
        </w:rPr>
        <w:t xml:space="preserve">On the other hand </w:t>
      </w:r>
      <w:r>
        <w:rPr>
          <w:rStyle w:val="Emphasis"/>
          <w:highlight w:val="green"/>
        </w:rPr>
        <w:t>a book</w:t>
      </w:r>
      <w:r>
        <w:rPr>
          <w:rStyle w:val="Emphasis"/>
        </w:rPr>
        <w:t xml:space="preserve"> is also a mere discourse of the publisher to the public, which the publisher </w:t>
      </w:r>
      <w:r>
        <w:rPr>
          <w:rStyle w:val="Emphasis"/>
          <w:highlight w:val="green"/>
        </w:rPr>
        <w:t>may not repeat publicly without</w:t>
      </w:r>
      <w:r>
        <w:rPr>
          <w:rStyle w:val="Emphasis"/>
        </w:rPr>
        <w:t xml:space="preserve"> having </w:t>
      </w:r>
      <w:r>
        <w:rPr>
          <w:rStyle w:val="Emphasis"/>
          <w:highlight w:val="green"/>
        </w:rPr>
        <w:t>a mandate</w:t>
      </w:r>
      <w:r>
        <w:rPr>
          <w:rStyle w:val="Emphasis"/>
        </w:rPr>
        <w:t xml:space="preserve"> from the author to do so (</w:t>
      </w:r>
      <w:proofErr w:type="spellStart"/>
      <w:r>
        <w:rPr>
          <w:rStyle w:val="Emphasis"/>
        </w:rPr>
        <w:t>praestatio</w:t>
      </w:r>
      <w:proofErr w:type="spellEnd"/>
      <w:r>
        <w:rPr>
          <w:rStyle w:val="Emphasis"/>
        </w:rPr>
        <w:t xml:space="preserve"> </w:t>
      </w:r>
      <w:proofErr w:type="spellStart"/>
      <w:r>
        <w:rPr>
          <w:rStyle w:val="Emphasis"/>
        </w:rPr>
        <w:t>operae</w:t>
      </w:r>
      <w:proofErr w:type="spellEnd"/>
      <w:r>
        <w:rPr>
          <w:rStyle w:val="Emphasis"/>
        </w:rPr>
        <w:t xml:space="preserve">), and this is </w:t>
      </w:r>
      <w:r>
        <w:rPr>
          <w:rStyle w:val="Emphasis"/>
          <w:highlight w:val="green"/>
        </w:rPr>
        <w:t>a right against a person</w:t>
      </w:r>
      <w:r>
        <w:rPr>
          <w:sz w:val="16"/>
        </w:rPr>
        <w:t xml:space="preserve">. The error consists in mistaking one of these rights for the other” (Kant, 1902, t.6, p.290). The corpus </w:t>
      </w:r>
      <w:proofErr w:type="spellStart"/>
      <w:r>
        <w:rPr>
          <w:sz w:val="16"/>
        </w:rPr>
        <w:t>mysticum</w:t>
      </w:r>
      <w:proofErr w:type="spellEnd"/>
      <w:r>
        <w:rPr>
          <w:sz w:val="16"/>
        </w:rPr>
        <w:t xml:space="preserve">, </w:t>
      </w:r>
      <w:r>
        <w:rPr>
          <w:b/>
          <w:bCs/>
          <w:u w:val="single"/>
        </w:rPr>
        <w:t xml:space="preserve">the </w:t>
      </w:r>
      <w:r>
        <w:rPr>
          <w:b/>
          <w:bCs/>
          <w:highlight w:val="green"/>
          <w:u w:val="single"/>
        </w:rPr>
        <w:t>work</w:t>
      </w:r>
      <w:r>
        <w:rPr>
          <w:b/>
          <w:bCs/>
          <w:u w:val="single"/>
        </w:rPr>
        <w:t xml:space="preserve"> considered as an immaterial good</w:t>
      </w:r>
      <w:r>
        <w:rPr>
          <w:b/>
          <w:bCs/>
          <w:highlight w:val="green"/>
          <w:u w:val="single"/>
        </w:rPr>
        <w:t>, remains property of the author on</w:t>
      </w:r>
      <w:r>
        <w:rPr>
          <w:b/>
          <w:bCs/>
          <w:u w:val="single"/>
        </w:rPr>
        <w:t xml:space="preserve"> behalf of </w:t>
      </w:r>
      <w:r>
        <w:rPr>
          <w:b/>
          <w:bCs/>
          <w:highlight w:val="green"/>
          <w:u w:val="single"/>
        </w:rPr>
        <w:t>the</w:t>
      </w:r>
      <w:r>
        <w:rPr>
          <w:b/>
          <w:bCs/>
          <w:u w:val="single"/>
        </w:rPr>
        <w:t xml:space="preserve"> original </w:t>
      </w:r>
      <w:r>
        <w:rPr>
          <w:b/>
          <w:bCs/>
          <w:highlight w:val="green"/>
          <w:u w:val="single"/>
        </w:rPr>
        <w:t>right of its creation</w:t>
      </w:r>
      <w:r>
        <w:rPr>
          <w:b/>
          <w:bCs/>
          <w:u w:val="single"/>
        </w:rPr>
        <w:t xml:space="preserve">. The corpus </w:t>
      </w:r>
      <w:proofErr w:type="spellStart"/>
      <w:r>
        <w:rPr>
          <w:b/>
          <w:bCs/>
          <w:u w:val="single"/>
        </w:rPr>
        <w:t>mechanicum</w:t>
      </w:r>
      <w:proofErr w:type="spellEnd"/>
      <w:r>
        <w:rPr>
          <w:b/>
          <w:bCs/>
          <w:u w:val="single"/>
        </w:rPr>
        <w:t xml:space="preserve"> consists of the exemplars of the book or of the work of art. It becomes the property of whoever has bought the material object in which the work has been reproduced or expressed.</w:t>
      </w:r>
      <w:r>
        <w:rPr>
          <w:sz w:val="16"/>
        </w:rPr>
        <w:t xml:space="preserve"> Seneca points out in De </w:t>
      </w:r>
      <w:proofErr w:type="spellStart"/>
      <w:r>
        <w:rPr>
          <w:sz w:val="16"/>
        </w:rPr>
        <w:t>beneficiis</w:t>
      </w:r>
      <w:proofErr w:type="spellEnd"/>
      <w:r>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Pr>
          <w:b/>
          <w:bCs/>
          <w:u w:val="single"/>
        </w:rPr>
        <w:t xml:space="preserve">The peculiarity of </w:t>
      </w:r>
      <w:r>
        <w:rPr>
          <w:b/>
          <w:bCs/>
          <w:highlight w:val="green"/>
          <w:u w:val="single"/>
        </w:rPr>
        <w:t>intellectual property</w:t>
      </w:r>
      <w:r>
        <w:rPr>
          <w:b/>
          <w:bCs/>
          <w:u w:val="single"/>
        </w:rPr>
        <w:t xml:space="preserve"> consists thus first in being indeed </w:t>
      </w:r>
      <w:r>
        <w:rPr>
          <w:b/>
          <w:bCs/>
          <w:highlight w:val="green"/>
          <w:u w:val="single"/>
        </w:rPr>
        <w:t>a</w:t>
      </w:r>
      <w:r>
        <w:rPr>
          <w:b/>
          <w:bCs/>
          <w:u w:val="single"/>
        </w:rPr>
        <w:t xml:space="preserve"> property, but property of an action; and second in being indeed </w:t>
      </w:r>
      <w:r>
        <w:rPr>
          <w:b/>
          <w:bCs/>
          <w:highlight w:val="green"/>
          <w:u w:val="single"/>
        </w:rPr>
        <w:t>inalienable</w:t>
      </w:r>
      <w:r>
        <w:rPr>
          <w:b/>
          <w:bCs/>
          <w:u w:val="single"/>
        </w:rPr>
        <w:t xml:space="preserve">, but also transferable in commission and license to a publisher. The bond the author has on his work confers him a </w:t>
      </w:r>
      <w:r>
        <w:rPr>
          <w:b/>
          <w:bCs/>
          <w:highlight w:val="green"/>
          <w:u w:val="single"/>
        </w:rPr>
        <w:t>moral</w:t>
      </w:r>
      <w:r>
        <w:rPr>
          <w:b/>
          <w:bCs/>
          <w:u w:val="single"/>
        </w:rPr>
        <w:t xml:space="preserve"> right that is indeed a </w:t>
      </w:r>
      <w:r>
        <w:rPr>
          <w:b/>
          <w:bCs/>
          <w:highlight w:val="green"/>
          <w:u w:val="single"/>
        </w:rPr>
        <w:t>personal right</w:t>
      </w:r>
      <w:r>
        <w:rPr>
          <w:b/>
          <w:bCs/>
          <w:u w:val="single"/>
        </w:rPr>
        <w:t xml:space="preserve">. It is also a right to exploit economically his work in all possible ways, a right </w:t>
      </w:r>
      <w:r>
        <w:rPr>
          <w:b/>
          <w:bCs/>
          <w:highlight w:val="green"/>
          <w:u w:val="single"/>
        </w:rPr>
        <w:t>of economic use</w:t>
      </w:r>
      <w:r>
        <w:rPr>
          <w:b/>
          <w:bCs/>
          <w:u w:val="single"/>
        </w:rPr>
        <w:t xml:space="preserve">, which is a patrimonial right. </w:t>
      </w:r>
      <w:r>
        <w:rPr>
          <w:b/>
          <w:bCs/>
          <w:highlight w:val="green"/>
          <w:u w:val="single"/>
        </w:rPr>
        <w:t>Kant</w:t>
      </w:r>
      <w:r>
        <w:rPr>
          <w:b/>
          <w:bCs/>
          <w:u w:val="single"/>
        </w:rPr>
        <w:t xml:space="preserve"> and Fichte argued that moral right and the right of economic use are strictly connected, and that the offense to one implies inevitably offense to the other. </w:t>
      </w:r>
      <w:r>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Pr>
          <w:sz w:val="16"/>
        </w:rPr>
        <w:t>Reimarus</w:t>
      </w:r>
      <w:proofErr w:type="spellEnd"/>
      <w:r>
        <w:rPr>
          <w:sz w:val="16"/>
        </w:rPr>
        <w:t xml:space="preserve"> asked writers “instead of writing for the aristocracy, to write for the tiers </w:t>
      </w:r>
      <w:proofErr w:type="spellStart"/>
      <w:r>
        <w:rPr>
          <w:sz w:val="16"/>
        </w:rPr>
        <w:t>état</w:t>
      </w:r>
      <w:proofErr w:type="spellEnd"/>
      <w:r>
        <w:rPr>
          <w:sz w:val="16"/>
        </w:rPr>
        <w:t xml:space="preserve"> of the reader’s world.” (</w:t>
      </w:r>
      <w:proofErr w:type="spellStart"/>
      <w:r>
        <w:rPr>
          <w:sz w:val="16"/>
        </w:rPr>
        <w:t>Reimarus</w:t>
      </w:r>
      <w:proofErr w:type="spellEnd"/>
      <w:r>
        <w:rPr>
          <w:sz w:val="16"/>
        </w:rPr>
        <w:t xml:space="preserve">, 1791b, p.595). </w:t>
      </w:r>
      <w:r>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Pr>
          <w:sz w:val="16"/>
        </w:rPr>
        <w:t xml:space="preserve">In Of the </w:t>
      </w:r>
      <w:proofErr w:type="spellStart"/>
      <w:r>
        <w:rPr>
          <w:sz w:val="16"/>
        </w:rPr>
        <w:t>Illegitimity</w:t>
      </w:r>
      <w:proofErr w:type="spellEnd"/>
      <w:r>
        <w:rPr>
          <w:sz w:val="16"/>
        </w:rPr>
        <w:t xml:space="preserve"> of Pirate Publishing, he considered the moral faculties related to </w:t>
      </w:r>
      <w:r>
        <w:rPr>
          <w:b/>
          <w:bCs/>
          <w:u w:val="single"/>
        </w:rPr>
        <w:t>intellectual property as an “inalienable right (</w:t>
      </w:r>
      <w:proofErr w:type="spellStart"/>
      <w:r>
        <w:rPr>
          <w:b/>
          <w:bCs/>
          <w:u w:val="single"/>
        </w:rPr>
        <w:t>ius</w:t>
      </w:r>
      <w:proofErr w:type="spellEnd"/>
      <w:r>
        <w:rPr>
          <w:b/>
          <w:bCs/>
          <w:u w:val="single"/>
        </w:rPr>
        <w:t xml:space="preserve"> </w:t>
      </w:r>
      <w:proofErr w:type="spellStart"/>
      <w:r>
        <w:rPr>
          <w:b/>
          <w:bCs/>
          <w:u w:val="single"/>
        </w:rPr>
        <w:t>personalissimum</w:t>
      </w:r>
      <w:proofErr w:type="spellEnd"/>
      <w:r>
        <w:rPr>
          <w:b/>
          <w:bCs/>
          <w:u w:val="single"/>
        </w:rPr>
        <w:t>) always himself to speak through anyone else, the right, that is, that no one may deliver the same speech to the public other than in his (the author’s) name”</w:t>
      </w:r>
      <w:r>
        <w:rPr>
          <w:sz w:val="16"/>
        </w:rPr>
        <w:t xml:space="preserve"> (Kant, 1902, t.8, p.85). Fichte went farther in the Demonstration of the </w:t>
      </w:r>
      <w:proofErr w:type="spellStart"/>
      <w:r>
        <w:rPr>
          <w:sz w:val="16"/>
        </w:rPr>
        <w:t>Illegitimity</w:t>
      </w:r>
      <w:proofErr w:type="spellEnd"/>
      <w:r>
        <w:rPr>
          <w:sz w:val="16"/>
        </w:rPr>
        <w:t xml:space="preserve"> of Pirate Publishing. </w:t>
      </w:r>
      <w:r>
        <w:rPr>
          <w:b/>
          <w:bCs/>
          <w:u w:val="single"/>
        </w:rPr>
        <w:t xml:space="preserve">He </w:t>
      </w:r>
      <w:r>
        <w:rPr>
          <w:b/>
          <w:bCs/>
          <w:highlight w:val="green"/>
          <w:u w:val="single"/>
        </w:rPr>
        <w:t>saw</w:t>
      </w:r>
      <w:r>
        <w:rPr>
          <w:b/>
          <w:bCs/>
          <w:u w:val="single"/>
        </w:rPr>
        <w:t xml:space="preserve"> </w:t>
      </w:r>
      <w:r>
        <w:rPr>
          <w:b/>
          <w:bCs/>
          <w:highlight w:val="green"/>
          <w:u w:val="single"/>
        </w:rPr>
        <w:t>i</w:t>
      </w:r>
      <w:r>
        <w:rPr>
          <w:b/>
          <w:bCs/>
          <w:u w:val="single"/>
        </w:rPr>
        <w:t xml:space="preserve">ntellectual </w:t>
      </w:r>
      <w:r>
        <w:rPr>
          <w:b/>
          <w:bCs/>
          <w:highlight w:val="green"/>
          <w:u w:val="single"/>
        </w:rPr>
        <w:t>p</w:t>
      </w:r>
      <w:r>
        <w:rPr>
          <w:b/>
          <w:bCs/>
          <w:u w:val="single"/>
        </w:rPr>
        <w:t xml:space="preserve">roperty </w:t>
      </w:r>
      <w:r>
        <w:rPr>
          <w:b/>
          <w:bCs/>
          <w:highlight w:val="green"/>
          <w:u w:val="single"/>
        </w:rPr>
        <w:t>as a</w:t>
      </w:r>
      <w:r>
        <w:rPr>
          <w:b/>
          <w:bCs/>
          <w:u w:val="single"/>
        </w:rPr>
        <w:t xml:space="preserve"> part of his </w:t>
      </w:r>
      <w:r>
        <w:rPr>
          <w:b/>
          <w:bCs/>
          <w:highlight w:val="green"/>
          <w:u w:val="single"/>
        </w:rPr>
        <w:t>metaphysical construction of intellectual activity</w:t>
      </w:r>
      <w:r>
        <w:rPr>
          <w:b/>
          <w:bCs/>
          <w:u w:val="single"/>
        </w:rPr>
        <w:t>, which was based on the principle that thoughts “are not transmitted hand to hand, they are not paid with shining cash, neither are they transmitted to us if we take home the book that contains them and put it into our library.</w:t>
      </w:r>
      <w:r>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Pr>
          <w:sz w:val="16"/>
        </w:rPr>
        <w:t>t.I</w:t>
      </w:r>
      <w:proofErr w:type="spellEnd"/>
      <w:r>
        <w:rPr>
          <w:sz w:val="16"/>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w:t>
      </w:r>
      <w:proofErr w:type="spellStart"/>
      <w:r>
        <w:rPr>
          <w:sz w:val="16"/>
        </w:rPr>
        <w:t>mysticum</w:t>
      </w:r>
      <w:proofErr w:type="spellEnd"/>
      <w:r>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Pr>
          <w:sz w:val="16"/>
        </w:rPr>
        <w:t>t.I</w:t>
      </w:r>
      <w:proofErr w:type="spellEnd"/>
      <w:r>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Pr>
          <w:sz w:val="16"/>
        </w:rPr>
        <w:t>Reimarus</w:t>
      </w:r>
      <w:proofErr w:type="spellEnd"/>
      <w:r>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Pr>
          <w:rStyle w:val="Emphasis"/>
        </w:rPr>
        <w:t xml:space="preserve">one cannot help noticing that upon the appearance of a private edition, publishers are forced to substantially lower the price of a book” </w:t>
      </w:r>
      <w:r>
        <w:rPr>
          <w:sz w:val="16"/>
        </w:rPr>
        <w:t>(</w:t>
      </w:r>
      <w:proofErr w:type="spellStart"/>
      <w:r>
        <w:rPr>
          <w:sz w:val="16"/>
        </w:rPr>
        <w:t>Reimarus</w:t>
      </w:r>
      <w:proofErr w:type="spellEnd"/>
      <w:r>
        <w:rPr>
          <w:sz w:val="16"/>
        </w:rPr>
        <w:t xml:space="preserve">, 1791a, pp.402-3). </w:t>
      </w:r>
      <w:proofErr w:type="spellStart"/>
      <w:r>
        <w:rPr>
          <w:sz w:val="16"/>
        </w:rPr>
        <w:t>Reimarus</w:t>
      </w:r>
      <w:proofErr w:type="spellEnd"/>
      <w:r>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Pr>
          <w:sz w:val="16"/>
        </w:rPr>
        <w:t>Reimarus</w:t>
      </w:r>
      <w:proofErr w:type="spellEnd"/>
      <w:r>
        <w:rPr>
          <w:sz w:val="16"/>
        </w:rPr>
        <w:t xml:space="preserve"> anticipated today’s stance on free use by referring to the principle that public interest on knowledge ought to prevail on the author’s interest and to balance the copyright. Moreover, </w:t>
      </w:r>
      <w:proofErr w:type="spellStart"/>
      <w:r>
        <w:rPr>
          <w:sz w:val="16"/>
        </w:rPr>
        <w:t>Reimarus</w:t>
      </w:r>
      <w:proofErr w:type="spellEnd"/>
      <w:r>
        <w:rPr>
          <w:sz w:val="16"/>
        </w:rPr>
        <w:t xml:space="preserve"> extended his argument beyond the realm of literary production to embrace, among others, </w:t>
      </w:r>
      <w:r>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Pr>
          <w:sz w:val="16"/>
        </w:rPr>
        <w:t>(</w:t>
      </w:r>
      <w:proofErr w:type="spellStart"/>
      <w:r>
        <w:rPr>
          <w:sz w:val="16"/>
        </w:rPr>
        <w:t>Reimarus</w:t>
      </w:r>
      <w:proofErr w:type="spellEnd"/>
      <w:r>
        <w:rPr>
          <w:sz w:val="16"/>
        </w:rPr>
        <w:t xml:space="preserve">, 1791b, t.2, pp.584). To sum up, </w:t>
      </w:r>
      <w:proofErr w:type="spellStart"/>
      <w:r>
        <w:rPr>
          <w:sz w:val="16"/>
        </w:rPr>
        <w:t>Reimarus’s</w:t>
      </w:r>
      <w:proofErr w:type="spellEnd"/>
      <w:r>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Pr>
          <w:sz w:val="16"/>
        </w:rPr>
        <w:t xml:space="preserve"> only expense in charge of the pirate publisher was buying the exemplar of the original edition out of which he was to make, as we say today, a free use.</w:t>
      </w:r>
    </w:p>
    <w:p w14:paraId="5B1E65AA" w14:textId="77777777" w:rsidR="00264E3F" w:rsidRDefault="00264E3F" w:rsidP="00264E3F"/>
    <w:p w14:paraId="382F2258" w14:textId="3C94AF86" w:rsidR="00264E3F" w:rsidRPr="00264E3F" w:rsidRDefault="00264E3F" w:rsidP="00264E3F">
      <w:pPr>
        <w:pStyle w:val="Heading4"/>
        <w:rPr>
          <w:bCs/>
        </w:rPr>
      </w:pPr>
      <w:r w:rsidRPr="00264E3F">
        <w:rPr>
          <w:bCs/>
        </w:rPr>
        <w:t>2]</w:t>
      </w:r>
      <w:r w:rsidR="002423FD">
        <w:rPr>
          <w:bCs/>
        </w:rPr>
        <w:t xml:space="preserve"> </w:t>
      </w:r>
      <w:r w:rsidRPr="00264E3F">
        <w:rPr>
          <w:bCs/>
        </w:rPr>
        <w:t xml:space="preserve">The aff violates the categorical imperative and is </w:t>
      </w:r>
      <w:r w:rsidRPr="00264E3F">
        <w:rPr>
          <w:bCs/>
          <w:u w:val="single"/>
        </w:rPr>
        <w:t>non-universalizable</w:t>
      </w:r>
      <w:r w:rsidRPr="00264E3F">
        <w:rPr>
          <w:bCs/>
        </w:rPr>
        <w:t xml:space="preserve">- governments have a </w:t>
      </w:r>
      <w:r w:rsidRPr="00264E3F">
        <w:rPr>
          <w:bCs/>
          <w:u w:val="single"/>
        </w:rPr>
        <w:t xml:space="preserve">binding obligation </w:t>
      </w:r>
      <w:r w:rsidRPr="00264E3F">
        <w:rPr>
          <w:bCs/>
        </w:rPr>
        <w:t xml:space="preserve">to protect creations </w:t>
      </w:r>
    </w:p>
    <w:p w14:paraId="03455FEA" w14:textId="77777777" w:rsidR="00264E3F" w:rsidRDefault="00264E3F" w:rsidP="00264E3F">
      <w:r>
        <w:rPr>
          <w:rFonts w:eastAsiaTheme="majorEastAsia" w:cstheme="majorBidi"/>
          <w:b/>
          <w:bCs/>
          <w:sz w:val="26"/>
        </w:rPr>
        <w:t>Van Dyke 18</w:t>
      </w:r>
      <w:r>
        <w:t xml:space="preserve"> Raymond Van Dyke, 7-17-2018, "The Categorical Imperative for Innovation and Patenting," </w:t>
      </w:r>
      <w:proofErr w:type="spellStart"/>
      <w:r>
        <w:t>IPWatchdog</w:t>
      </w:r>
      <w:proofErr w:type="spellEnd"/>
      <w:r>
        <w:t xml:space="preserve">, </w:t>
      </w:r>
      <w:hyperlink r:id="rId8" w:history="1">
        <w:r>
          <w:rPr>
            <w:rStyle w:val="Hyperlink"/>
            <w:color w:val="000000"/>
            <w:u w:val="single"/>
          </w:rPr>
          <w:t>https://www.ipwatchdog.com/2018/07/17/categorical-imperative-innovation-patenting/id=99178/</w:t>
        </w:r>
      </w:hyperlink>
      <w:r>
        <w:t xml:space="preserve"> SJ//DA recut SJKS</w:t>
      </w:r>
    </w:p>
    <w:p w14:paraId="177D5499" w14:textId="77777777" w:rsidR="00264E3F" w:rsidRDefault="00264E3F" w:rsidP="00264E3F">
      <w:pPr>
        <w:rPr>
          <w:sz w:val="16"/>
        </w:rPr>
      </w:pPr>
      <w:r>
        <w:rPr>
          <w:sz w:val="16"/>
        </w:rPr>
        <w:t xml:space="preserve">As we shall see, applying </w:t>
      </w:r>
      <w:r>
        <w:rPr>
          <w:b/>
          <w:bCs/>
          <w:highlight w:val="green"/>
          <w:u w:val="single"/>
        </w:rPr>
        <w:t>Kant</w:t>
      </w:r>
      <w:r>
        <w:rPr>
          <w:b/>
          <w:bCs/>
          <w:u w:val="single"/>
        </w:rPr>
        <w:t xml:space="preserve">ian logic </w:t>
      </w:r>
      <w:r>
        <w:rPr>
          <w:b/>
          <w:bCs/>
          <w:highlight w:val="green"/>
          <w:u w:val="single"/>
        </w:rPr>
        <w:t>entails</w:t>
      </w:r>
      <w:r>
        <w:rPr>
          <w:b/>
          <w:bCs/>
          <w:u w:val="single"/>
        </w:rPr>
        <w:t xml:space="preserve"> first </w:t>
      </w:r>
      <w:r>
        <w:rPr>
          <w:b/>
          <w:bCs/>
          <w:highlight w:val="green"/>
          <w:u w:val="single"/>
        </w:rPr>
        <w:t>acknowledging</w:t>
      </w:r>
      <w:r>
        <w:rPr>
          <w:b/>
          <w:bCs/>
          <w:u w:val="single"/>
        </w:rPr>
        <w:t xml:space="preserve"> some basic principles; that the people have </w:t>
      </w:r>
      <w:r>
        <w:rPr>
          <w:b/>
          <w:bCs/>
          <w:highlight w:val="green"/>
          <w:u w:val="single"/>
        </w:rPr>
        <w:t>a right to express themselves</w:t>
      </w:r>
      <w:r>
        <w:rPr>
          <w:b/>
          <w:bCs/>
          <w:u w:val="single"/>
        </w:rPr>
        <w:t xml:space="preserve">, that that expression (the fruits of their </w:t>
      </w:r>
      <w:r>
        <w:rPr>
          <w:b/>
          <w:bCs/>
          <w:highlight w:val="green"/>
          <w:u w:val="single"/>
        </w:rPr>
        <w:t>labor) has value and is theirs</w:t>
      </w:r>
      <w:r>
        <w:rPr>
          <w:b/>
          <w:bCs/>
          <w:u w:val="single"/>
        </w:rPr>
        <w:t xml:space="preserve"> (unless consent is given otherwise), </w:t>
      </w:r>
      <w:r>
        <w:rPr>
          <w:b/>
          <w:bCs/>
          <w:highlight w:val="green"/>
          <w:u w:val="single"/>
        </w:rPr>
        <w:t>and</w:t>
      </w:r>
      <w:r>
        <w:rPr>
          <w:b/>
          <w:bCs/>
          <w:u w:val="single"/>
        </w:rPr>
        <w:t xml:space="preserve"> that </w:t>
      </w:r>
      <w:r>
        <w:rPr>
          <w:b/>
          <w:bCs/>
          <w:highlight w:val="green"/>
          <w:u w:val="single"/>
        </w:rPr>
        <w:t>government is obligated to protect</w:t>
      </w:r>
      <w:r>
        <w:rPr>
          <w:b/>
          <w:bCs/>
          <w:u w:val="single"/>
        </w:rPr>
        <w:t xml:space="preserve"> people and </w:t>
      </w:r>
      <w:r>
        <w:rPr>
          <w:b/>
          <w:bCs/>
          <w:highlight w:val="green"/>
          <w:u w:val="single"/>
        </w:rPr>
        <w:t>their property.  Thus, an inventor</w:t>
      </w:r>
      <w:r>
        <w:rPr>
          <w:b/>
          <w:bCs/>
          <w:u w:val="single"/>
        </w:rPr>
        <w:t xml:space="preserve"> or creator </w:t>
      </w:r>
      <w:r>
        <w:rPr>
          <w:b/>
          <w:bCs/>
          <w:highlight w:val="green"/>
          <w:u w:val="single"/>
        </w:rPr>
        <w:t>has a</w:t>
      </w:r>
      <w:r>
        <w:rPr>
          <w:b/>
          <w:bCs/>
          <w:u w:val="single"/>
        </w:rPr>
        <w:t xml:space="preserve"> right in their own </w:t>
      </w:r>
      <w:r>
        <w:rPr>
          <w:b/>
          <w:bCs/>
          <w:highlight w:val="green"/>
          <w:u w:val="single"/>
        </w:rPr>
        <w:t>creation, which cannot be taken</w:t>
      </w:r>
      <w:r>
        <w:rPr>
          <w:b/>
          <w:bCs/>
          <w:u w:val="single"/>
        </w:rPr>
        <w:t xml:space="preserve"> from them </w:t>
      </w:r>
      <w:r>
        <w:rPr>
          <w:b/>
          <w:bCs/>
          <w:highlight w:val="green"/>
          <w:u w:val="single"/>
        </w:rPr>
        <w:t>without</w:t>
      </w:r>
      <w:r>
        <w:rPr>
          <w:b/>
          <w:bCs/>
          <w:u w:val="single"/>
        </w:rPr>
        <w:t xml:space="preserve"> their </w:t>
      </w:r>
      <w:r>
        <w:rPr>
          <w:b/>
          <w:bCs/>
          <w:highlight w:val="green"/>
          <w:u w:val="single"/>
        </w:rPr>
        <w:t>consent.</w:t>
      </w:r>
      <w:r>
        <w:rPr>
          <w:sz w:val="16"/>
        </w:rPr>
        <w:t xml:space="preserve"> So, employing this canon, </w:t>
      </w:r>
      <w:r>
        <w:rPr>
          <w:b/>
          <w:bCs/>
          <w:u w:val="single"/>
        </w:rPr>
        <w:t xml:space="preserve">a proposed Categorical Imperative (CI) is the following Statement: creators should be protected against the unlawful taking of their creation by others.  </w:t>
      </w:r>
      <w:r>
        <w:rPr>
          <w:b/>
          <w:bCs/>
          <w:highlight w:val="green"/>
          <w:u w:val="single"/>
        </w:rPr>
        <w:t>Applying this</w:t>
      </w:r>
      <w:r>
        <w:rPr>
          <w:b/>
          <w:bCs/>
          <w:u w:val="single"/>
        </w:rPr>
        <w:t xml:space="preserve"> Statement </w:t>
      </w:r>
      <w:r>
        <w:rPr>
          <w:b/>
          <w:bCs/>
          <w:highlight w:val="green"/>
          <w:u w:val="single"/>
        </w:rPr>
        <w:t>to everyone</w:t>
      </w:r>
      <w:r>
        <w:rPr>
          <w:b/>
          <w:bCs/>
          <w:u w:val="single"/>
        </w:rPr>
        <w:t xml:space="preserve">, i.e., does the Statement hold water if everyone does this, </w:t>
      </w:r>
      <w:r>
        <w:rPr>
          <w:b/>
          <w:bCs/>
          <w:highlight w:val="green"/>
          <w:u w:val="single"/>
        </w:rPr>
        <w:t>leads to a yes determination</w:t>
      </w:r>
      <w:r>
        <w:rPr>
          <w:b/>
          <w:bCs/>
          <w:u w:val="single"/>
        </w:rPr>
        <w:t>.  Whether a child, a book or a prototype, creations of all sorts should be protected, and this CI stands.</w:t>
      </w:r>
      <w:r>
        <w:rPr>
          <w:sz w:val="16"/>
        </w:rPr>
        <w:t xml:space="preserve">  This result also dovetails with the purpose of government: to protect the people and their possessions by providing laws to that effect, whether for the protection of tangible or intangible things. </w:t>
      </w:r>
      <w:r>
        <w:rPr>
          <w:b/>
          <w:bCs/>
          <w:u w:val="single"/>
        </w:rPr>
        <w:t>However</w:t>
      </w:r>
      <w:r>
        <w:rPr>
          <w:b/>
          <w:bCs/>
          <w:highlight w:val="green"/>
          <w:u w:val="single"/>
        </w:rPr>
        <w:t>, a contrary</w:t>
      </w:r>
      <w:r>
        <w:rPr>
          <w:b/>
          <w:bCs/>
          <w:u w:val="single"/>
        </w:rPr>
        <w:t xml:space="preserve"> </w:t>
      </w:r>
      <w:r>
        <w:rPr>
          <w:b/>
          <w:bCs/>
          <w:highlight w:val="green"/>
          <w:u w:val="single"/>
        </w:rPr>
        <w:t xml:space="preserve">proposal </w:t>
      </w:r>
      <w:r>
        <w:rPr>
          <w:b/>
          <w:bCs/>
          <w:u w:val="single"/>
        </w:rPr>
        <w:t xml:space="preserve">can be postulated: everyone should be able to use the creations of another without charge.  Can this Statement rise to the level of a CI?  This proposal, upon analysis </w:t>
      </w:r>
      <w:r>
        <w:rPr>
          <w:b/>
          <w:bCs/>
          <w:highlight w:val="green"/>
          <w:u w:val="single"/>
        </w:rPr>
        <w:t xml:space="preserve">would </w:t>
      </w:r>
      <w:r>
        <w:rPr>
          <w:b/>
          <w:bCs/>
          <w:u w:val="single"/>
        </w:rPr>
        <w:t xml:space="preserve">also </w:t>
      </w:r>
      <w:r>
        <w:rPr>
          <w:b/>
          <w:bCs/>
          <w:highlight w:val="green"/>
          <w:u w:val="single"/>
        </w:rPr>
        <w:t>lead to chaos.</w:t>
      </w:r>
      <w:r>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E233B17" w14:textId="77777777" w:rsidR="00264E3F" w:rsidRDefault="00264E3F" w:rsidP="00264E3F">
      <w:pPr>
        <w:rPr>
          <w:sz w:val="16"/>
        </w:rPr>
      </w:pPr>
    </w:p>
    <w:p w14:paraId="689EB31A" w14:textId="2F1E839E" w:rsidR="00264E3F" w:rsidRDefault="00264E3F" w:rsidP="00264E3F">
      <w:pPr>
        <w:pStyle w:val="Heading4"/>
        <w:rPr>
          <w:u w:val="single"/>
        </w:rPr>
      </w:pPr>
      <w:r>
        <w:t>3]</w:t>
      </w:r>
      <w:r w:rsidR="002423FD">
        <w:t xml:space="preserve"> </w:t>
      </w:r>
      <w:r>
        <w:t xml:space="preserve">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2B49CCCE" w14:textId="77777777" w:rsidR="00264E3F" w:rsidRDefault="00264E3F" w:rsidP="00264E3F">
      <w:r>
        <w:rPr>
          <w:rFonts w:eastAsiaTheme="majorEastAsia" w:cstheme="majorBidi"/>
          <w:b/>
          <w:bCs/>
          <w:sz w:val="26"/>
        </w:rPr>
        <w:t>Van Dyke 2</w:t>
      </w:r>
      <w:r>
        <w:t xml:space="preserve"> Raymond Van Dyke, 7-17-2018, "The Categorical Imperative for Innovation and Patenting," </w:t>
      </w:r>
      <w:proofErr w:type="spellStart"/>
      <w:r>
        <w:t>IPWatchdog</w:t>
      </w:r>
      <w:proofErr w:type="spellEnd"/>
      <w:r>
        <w:t xml:space="preserve">, </w:t>
      </w:r>
      <w:hyperlink r:id="rId9" w:history="1">
        <w:r>
          <w:rPr>
            <w:rStyle w:val="Hyperlink"/>
            <w:color w:val="000000"/>
            <w:u w:val="single"/>
          </w:rPr>
          <w:t>https://www.ipwatchdog.com/2018/07/17/categorical-imperative-innovation-patenting/id=99178/</w:t>
        </w:r>
      </w:hyperlink>
      <w:r>
        <w:t xml:space="preserve"> SJ//DA recut SJKS</w:t>
      </w:r>
    </w:p>
    <w:p w14:paraId="4942C4F1" w14:textId="77777777" w:rsidR="00264E3F" w:rsidRDefault="00264E3F" w:rsidP="00264E3F">
      <w:pPr>
        <w:rPr>
          <w:sz w:val="14"/>
        </w:rPr>
      </w:pPr>
      <w:r>
        <w:rPr>
          <w:sz w:val="14"/>
        </w:rPr>
        <w:t xml:space="preserve">Also, </w:t>
      </w:r>
      <w:r>
        <w:rPr>
          <w:b/>
          <w:bCs/>
          <w:highlight w:val="green"/>
          <w:u w:val="single"/>
        </w:rPr>
        <w:t>allowing the free taking of ideas</w:t>
      </w:r>
      <w:r>
        <w:rPr>
          <w:b/>
          <w:bCs/>
          <w:u w:val="single"/>
        </w:rPr>
        <w:t xml:space="preserve">, content and valuable data, i.e., the </w:t>
      </w:r>
      <w:r>
        <w:rPr>
          <w:b/>
          <w:bCs/>
          <w:highlight w:val="green"/>
          <w:u w:val="single"/>
        </w:rPr>
        <w:t>fruits of</w:t>
      </w:r>
      <w:r>
        <w:rPr>
          <w:b/>
          <w:bCs/>
          <w:u w:val="single"/>
        </w:rPr>
        <w:t xml:space="preserve"> individual </w:t>
      </w:r>
      <w:r>
        <w:rPr>
          <w:b/>
          <w:bCs/>
          <w:highlight w:val="green"/>
          <w:u w:val="single"/>
        </w:rPr>
        <w:t>intellectual endeavor</w:t>
      </w:r>
      <w:r>
        <w:rPr>
          <w:sz w:val="14"/>
        </w:rPr>
        <w:t xml:space="preserve">, would disrupt capitalism in a radical way.  </w:t>
      </w:r>
      <w:r>
        <w:rPr>
          <w:b/>
          <w:bCs/>
          <w:u w:val="single"/>
        </w:rPr>
        <w:t xml:space="preserve">The </w:t>
      </w:r>
      <w:r>
        <w:rPr>
          <w:b/>
          <w:bCs/>
          <w:highlight w:val="green"/>
          <w:u w:val="single"/>
        </w:rPr>
        <w:t>result</w:t>
      </w:r>
      <w:r>
        <w:rPr>
          <w:b/>
          <w:bCs/>
          <w:u w:val="single"/>
        </w:rPr>
        <w:t xml:space="preserve">ing more secretive approach </w:t>
      </w:r>
      <w:r>
        <w:rPr>
          <w:b/>
          <w:bCs/>
          <w:highlight w:val="green"/>
          <w:u w:val="single"/>
        </w:rPr>
        <w:t xml:space="preserve">in </w:t>
      </w:r>
      <w:r>
        <w:rPr>
          <w:b/>
          <w:bCs/>
          <w:u w:val="single"/>
        </w:rPr>
        <w:t xml:space="preserve">support of the above </w:t>
      </w:r>
      <w:r>
        <w:rPr>
          <w:b/>
          <w:bCs/>
          <w:highlight w:val="green"/>
          <w:u w:val="single"/>
        </w:rPr>
        <w:t>free-riding</w:t>
      </w:r>
      <w:r>
        <w:rPr>
          <w:b/>
          <w:bCs/>
          <w:u w:val="single"/>
        </w:rPr>
        <w:t xml:space="preserve"> Statement</w:t>
      </w:r>
      <w:r>
        <w:rPr>
          <w:sz w:val="14"/>
        </w:rPr>
        <w:t xml:space="preserve"> would be akin to a Communist environment </w:t>
      </w:r>
      <w:r>
        <w:rPr>
          <w:b/>
          <w:bCs/>
          <w:u w:val="single"/>
        </w:rPr>
        <w:t xml:space="preserve">where the State owned everything and the citizen owned nothing, i.e., the people “consented” to this. It is, accordingly, manifestly clear that </w:t>
      </w:r>
      <w:r>
        <w:rPr>
          <w:b/>
          <w:bCs/>
          <w:highlight w:val="green"/>
          <w:u w:val="single"/>
        </w:rPr>
        <w:t>no reasonable</w:t>
      </w:r>
      <w:r>
        <w:rPr>
          <w:b/>
          <w:bCs/>
          <w:u w:val="single"/>
        </w:rPr>
        <w:t xml:space="preserve"> and supportable </w:t>
      </w:r>
      <w:r>
        <w:rPr>
          <w:b/>
          <w:bCs/>
          <w:highlight w:val="green"/>
          <w:u w:val="single"/>
        </w:rPr>
        <w:t>Categorical Imperative can be made for</w:t>
      </w:r>
      <w:r>
        <w:rPr>
          <w:b/>
          <w:bCs/>
          <w:u w:val="single"/>
        </w:rPr>
        <w:t xml:space="preserve"> the unwarranted </w:t>
      </w:r>
      <w:r>
        <w:rPr>
          <w:b/>
          <w:bCs/>
          <w:highlight w:val="green"/>
          <w:u w:val="single"/>
        </w:rPr>
        <w:t>theft of property</w:t>
      </w:r>
      <w:r>
        <w:rPr>
          <w:b/>
          <w:bCs/>
          <w:u w:val="single"/>
        </w:rPr>
        <w:t xml:space="preserve">, whether tangible or intangible, </w:t>
      </w:r>
      <w:r>
        <w:rPr>
          <w:sz w:val="14"/>
        </w:rPr>
        <w:t>apart from legitimate exigencies.</w:t>
      </w:r>
    </w:p>
    <w:p w14:paraId="218A1DAE" w14:textId="77777777" w:rsidR="00264E3F" w:rsidRDefault="00264E3F" w:rsidP="00264E3F">
      <w:pPr>
        <w:rPr>
          <w:sz w:val="14"/>
        </w:rPr>
      </w:pPr>
    </w:p>
    <w:p w14:paraId="4AA164AB" w14:textId="77777777" w:rsidR="00264E3F" w:rsidRDefault="00264E3F" w:rsidP="00264E3F">
      <w:pPr>
        <w:pStyle w:val="Heading4"/>
      </w:pPr>
      <w:r>
        <w:t xml:space="preserve">IPs are a necessary check on companies free-riding off associations of </w:t>
      </w:r>
      <w:r>
        <w:rPr>
          <w:u w:val="single"/>
        </w:rPr>
        <w:t>quality</w:t>
      </w:r>
      <w:r>
        <w:t>.</w:t>
      </w:r>
    </w:p>
    <w:p w14:paraId="2C9FC066" w14:textId="77777777" w:rsidR="00264E3F" w:rsidRDefault="00264E3F" w:rsidP="00264E3F">
      <w:r>
        <w:rPr>
          <w:rStyle w:val="Style13ptBold"/>
        </w:rPr>
        <w:t>Wong et al 20</w:t>
      </w:r>
      <w:r>
        <w:t xml:space="preserve"> [Liana, Ian, and </w:t>
      </w:r>
      <w:proofErr w:type="spellStart"/>
      <w:r>
        <w:t>Shayerah</w:t>
      </w:r>
      <w:proofErr w:type="spellEnd"/>
      <w:r>
        <w:t xml:space="preserve">; Analyst in International Trade and Finance; Specialist in International Trade and Finance; Specialist in International Trade and Finance; “Intellectual Property Rights and International Trade,” *Updated* 5/12/20; CRS; </w:t>
      </w:r>
      <w:hyperlink r:id="rId10" w:history="1">
        <w:r>
          <w:rPr>
            <w:rStyle w:val="Hyperlink"/>
            <w:color w:val="000000"/>
            <w:u w:val="single"/>
          </w:rPr>
          <w:t>https://www.everycrsreport.com/files/20200512_RL34292_2023354cc06b0a4425a2c5e02c0b13024426d206.pdf</w:t>
        </w:r>
      </w:hyperlink>
      <w:r>
        <w:t>] Justin</w:t>
      </w:r>
    </w:p>
    <w:p w14:paraId="07A4DF73" w14:textId="77777777" w:rsidR="00264E3F" w:rsidRDefault="00264E3F" w:rsidP="00264E3F">
      <w:pPr>
        <w:rPr>
          <w:sz w:val="16"/>
        </w:rPr>
      </w:pPr>
      <w:r>
        <w:rPr>
          <w:sz w:val="16"/>
        </w:rPr>
        <w:t xml:space="preserve">Trademark protection in the United States is governed jointly by state and federal law. The main federal statute is the Lanham Act of 1946 (Title 15 of the United States Code). </w:t>
      </w:r>
      <w:r>
        <w:rPr>
          <w:highlight w:val="green"/>
          <w:u w:val="single"/>
        </w:rPr>
        <w:t xml:space="preserve">Trademarks </w:t>
      </w:r>
      <w:r>
        <w:rPr>
          <w:u w:val="single"/>
        </w:rPr>
        <w:t xml:space="preserve">permit the seller to </w:t>
      </w:r>
      <w:r>
        <w:rPr>
          <w:highlight w:val="green"/>
          <w:u w:val="single"/>
        </w:rPr>
        <w:t>use</w:t>
      </w:r>
      <w:r>
        <w:rPr>
          <w:u w:val="single"/>
        </w:rPr>
        <w:t xml:space="preserve"> a </w:t>
      </w:r>
      <w:r>
        <w:rPr>
          <w:rStyle w:val="Emphasis"/>
          <w:highlight w:val="green"/>
        </w:rPr>
        <w:t>distinctive</w:t>
      </w:r>
      <w:r>
        <w:rPr>
          <w:rStyle w:val="Emphasis"/>
        </w:rPr>
        <w:t xml:space="preserve"> word, name, </w:t>
      </w:r>
      <w:r>
        <w:rPr>
          <w:rStyle w:val="Emphasis"/>
          <w:highlight w:val="green"/>
        </w:rPr>
        <w:t>symbol</w:t>
      </w:r>
      <w:r>
        <w:rPr>
          <w:rStyle w:val="Emphasis"/>
        </w:rPr>
        <w:t>, or device to identify and market a product or company</w:t>
      </w:r>
      <w:r>
        <w:rPr>
          <w:sz w:val="16"/>
        </w:rPr>
        <w:t xml:space="preserve">. Marks can also be used to </w:t>
      </w:r>
      <w:r>
        <w:rPr>
          <w:highlight w:val="green"/>
          <w:u w:val="single"/>
        </w:rPr>
        <w:t xml:space="preserve">denote </w:t>
      </w:r>
      <w:r>
        <w:rPr>
          <w:rStyle w:val="Emphasis"/>
          <w:highlight w:val="green"/>
        </w:rPr>
        <w:t>services from</w:t>
      </w:r>
      <w:r>
        <w:rPr>
          <w:rStyle w:val="Emphasis"/>
        </w:rPr>
        <w:t xml:space="preserve"> a </w:t>
      </w:r>
      <w:r>
        <w:rPr>
          <w:rStyle w:val="Emphasis"/>
          <w:highlight w:val="green"/>
        </w:rPr>
        <w:t>particular</w:t>
      </w:r>
      <w:r>
        <w:rPr>
          <w:rStyle w:val="Emphasis"/>
        </w:rPr>
        <w:t xml:space="preserve">ly </w:t>
      </w:r>
      <w:r>
        <w:rPr>
          <w:rStyle w:val="Emphasis"/>
          <w:highlight w:val="green"/>
        </w:rPr>
        <w:t>company</w:t>
      </w:r>
      <w:r>
        <w:rPr>
          <w:u w:val="single"/>
        </w:rPr>
        <w:t xml:space="preserve">. The trademark </w:t>
      </w:r>
      <w:r>
        <w:rPr>
          <w:highlight w:val="green"/>
          <w:u w:val="single"/>
        </w:rPr>
        <w:t xml:space="preserve">allows </w:t>
      </w:r>
      <w:r>
        <w:rPr>
          <w:rStyle w:val="Emphasis"/>
          <w:highlight w:val="green"/>
        </w:rPr>
        <w:t>quick identification</w:t>
      </w:r>
      <w:r>
        <w:rPr>
          <w:sz w:val="16"/>
        </w:rPr>
        <w:t xml:space="preserve"> of the source of a product, and for good or ill, can become an indicator of a product's quality. If for good, the trademark can be valuable by conveying an instant assurance of quality to consumers. Trademark law </w:t>
      </w:r>
      <w:r>
        <w:rPr>
          <w:u w:val="single"/>
        </w:rPr>
        <w:t xml:space="preserve">serves to </w:t>
      </w:r>
      <w:r>
        <w:rPr>
          <w:highlight w:val="green"/>
          <w:u w:val="single"/>
        </w:rPr>
        <w:t>prevent</w:t>
      </w:r>
      <w:r>
        <w:rPr>
          <w:u w:val="single"/>
        </w:rPr>
        <w:t xml:space="preserve"> other </w:t>
      </w:r>
      <w:r>
        <w:rPr>
          <w:highlight w:val="green"/>
          <w:u w:val="single"/>
        </w:rPr>
        <w:t xml:space="preserve">companies with </w:t>
      </w:r>
      <w:r>
        <w:rPr>
          <w:rStyle w:val="Emphasis"/>
          <w:highlight w:val="green"/>
        </w:rPr>
        <w:t>similar</w:t>
      </w:r>
      <w:r>
        <w:rPr>
          <w:highlight w:val="green"/>
          <w:u w:val="single"/>
        </w:rPr>
        <w:t xml:space="preserve"> merch</w:t>
      </w:r>
      <w:r>
        <w:rPr>
          <w:u w:val="single"/>
        </w:rPr>
        <w:t xml:space="preserve">andise </w:t>
      </w:r>
      <w:r>
        <w:rPr>
          <w:highlight w:val="green"/>
          <w:u w:val="single"/>
        </w:rPr>
        <w:t xml:space="preserve">from </w:t>
      </w:r>
      <w:r>
        <w:rPr>
          <w:rStyle w:val="Heading3Char"/>
          <w:highlight w:val="green"/>
        </w:rPr>
        <w:t xml:space="preserve">free-riding on </w:t>
      </w:r>
      <w:r>
        <w:rPr>
          <w:rStyle w:val="Heading3Char"/>
        </w:rPr>
        <w:t xml:space="preserve">the </w:t>
      </w:r>
      <w:r>
        <w:rPr>
          <w:rStyle w:val="Heading3Char"/>
          <w:highlight w:val="green"/>
        </w:rPr>
        <w:t>association of quality</w:t>
      </w:r>
      <w:r>
        <w:rPr>
          <w:rStyle w:val="Heading3Char"/>
        </w:rPr>
        <w:t xml:space="preserve"> with the trademarked item</w:t>
      </w:r>
      <w:r>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B1D02D0" w14:textId="77777777" w:rsidR="00264E3F" w:rsidRDefault="00264E3F" w:rsidP="00264E3F">
      <w:pPr>
        <w:rPr>
          <w:sz w:val="16"/>
        </w:rPr>
      </w:pPr>
      <w:r>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03DB626B" w14:textId="210D2CC1" w:rsidR="00264E3F" w:rsidRDefault="00EC0310" w:rsidP="00EC0310">
      <w:pPr>
        <w:pStyle w:val="Heading2"/>
      </w:pPr>
      <w:r>
        <w:t>Case</w:t>
      </w:r>
    </w:p>
    <w:p w14:paraId="083711E9" w14:textId="6BB15E40" w:rsidR="006E581F" w:rsidRDefault="006E581F" w:rsidP="00935007">
      <w:pPr>
        <w:spacing w:after="40" w:line="276" w:lineRule="auto"/>
        <w:rPr>
          <w:rFonts w:eastAsiaTheme="majorEastAsia" w:cs="Calibri"/>
          <w:b/>
          <w:sz w:val="26"/>
        </w:rPr>
      </w:pPr>
      <w:r>
        <w:rPr>
          <w:rFonts w:eastAsia="Times New Roman" w:cs="Calibri"/>
          <w:b/>
          <w:bCs/>
          <w:color w:val="000000" w:themeColor="text1"/>
          <w:sz w:val="26"/>
          <w:szCs w:val="26"/>
        </w:rPr>
        <w:t xml:space="preserve">[2]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p>
    <w:p w14:paraId="58923F4D" w14:textId="77777777" w:rsidR="006E581F" w:rsidRDefault="006E581F" w:rsidP="006E581F">
      <w:pPr>
        <w:pStyle w:val="Heading4"/>
        <w:spacing w:before="0" w:after="40" w:line="276" w:lineRule="auto"/>
        <w:rPr>
          <w:b w:val="0"/>
        </w:rPr>
      </w:pPr>
      <w:r>
        <w:rPr>
          <w:b w:val="0"/>
        </w:rPr>
        <w:t xml:space="preserve">[5] Reject endorsement of </w:t>
      </w:r>
      <w:proofErr w:type="spellStart"/>
      <w:r>
        <w:rPr>
          <w:b w:val="0"/>
        </w:rPr>
        <w:t>consequentalism</w:t>
      </w:r>
      <w:proofErr w:type="spellEnd"/>
      <w:r>
        <w:rPr>
          <w:b w:val="0"/>
        </w:rPr>
        <w:t xml:space="preserve">: a] it justifies atrocities since it justifies allowing us to harm some for the benefit of others – even if they spew some pain quantifiability argument that doesn’t solve since there are still instances some get great benefit from others harm. b] it can’t justify intrinsic wrongness – We can’t know whether our action was good until we’ve evaluated the states of affairs they’ve produced since it’s based on the outcome of the action, i.e., if asked the question “is genocide okay?” a utilitarian would not be able to say yes because there are situations in which it would be morally obligatory to do so if it maximized pleasure. Probability doesn’t solve because that just allows for moral error and freezes action while attempting to calculate the perfect decision. c] Drop them for ethics based in preservation–it creates a survival-at-all-costs mentality that justifies violence and makes debate unsafe. </w:t>
      </w:r>
    </w:p>
    <w:p w14:paraId="7D934E14" w14:textId="77777777" w:rsidR="006E581F" w:rsidRDefault="006E581F" w:rsidP="006E581F">
      <w:pPr>
        <w:spacing w:after="40" w:line="276" w:lineRule="auto"/>
        <w:rPr>
          <w:rFonts w:asciiTheme="majorHAnsi" w:hAnsiTheme="majorHAnsi" w:cstheme="majorHAnsi"/>
          <w:color w:val="000000" w:themeColor="text1"/>
          <w:sz w:val="21"/>
          <w:szCs w:val="21"/>
          <w:shd w:val="clear" w:color="auto" w:fill="FFFFFF"/>
          <w:lang w:eastAsia="zh-CN"/>
        </w:rPr>
      </w:pPr>
      <w:r>
        <w:rPr>
          <w:rFonts w:asciiTheme="majorHAnsi" w:hAnsiTheme="majorHAnsi" w:cstheme="majorHAnsi"/>
          <w:b/>
          <w:bCs/>
          <w:color w:val="000000" w:themeColor="text1"/>
          <w:sz w:val="28"/>
          <w:szCs w:val="28"/>
          <w:shd w:val="clear" w:color="auto" w:fill="FFFFFF"/>
          <w:lang w:eastAsia="zh-CN"/>
        </w:rPr>
        <w:t>Callahan 73</w:t>
      </w:r>
      <w:r>
        <w:rPr>
          <w:rFonts w:asciiTheme="majorHAnsi" w:hAnsiTheme="majorHAnsi" w:cstheme="majorHAnsi"/>
          <w:color w:val="000000" w:themeColor="text1"/>
          <w:sz w:val="21"/>
          <w:szCs w:val="21"/>
          <w:shd w:val="clear" w:color="auto" w:fill="FFFFFF"/>
          <w:lang w:eastAsia="zh-CN"/>
        </w:rPr>
        <w:t xml:space="preserve"> </w:t>
      </w:r>
      <w:r>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17273EB1" w14:textId="77777777" w:rsidR="006E581F" w:rsidRDefault="006E581F" w:rsidP="006E581F">
      <w:pPr>
        <w:spacing w:after="40" w:line="276" w:lineRule="auto"/>
        <w:rPr>
          <w:rFonts w:asciiTheme="majorHAnsi" w:hAnsiTheme="majorHAnsi" w:cstheme="majorHAnsi"/>
          <w:color w:val="000000" w:themeColor="text1"/>
          <w:sz w:val="16"/>
          <w:shd w:val="clear" w:color="auto" w:fill="FFFFFF"/>
          <w:lang w:eastAsia="zh-CN"/>
        </w:rPr>
      </w:pPr>
      <w:r>
        <w:rPr>
          <w:rFonts w:asciiTheme="majorHAnsi" w:hAnsiTheme="majorHAnsi" w:cstheme="majorHAnsi"/>
          <w:color w:val="000000" w:themeColor="text1"/>
          <w:sz w:val="16"/>
          <w:shd w:val="clear" w:color="auto" w:fill="FFFFFF"/>
          <w:lang w:eastAsia="zh-CN"/>
        </w:rPr>
        <w:t xml:space="preserve">The </w:t>
      </w:r>
      <w:r>
        <w:rPr>
          <w:rStyle w:val="Emphasis"/>
          <w:rFonts w:asciiTheme="majorHAnsi" w:hAnsiTheme="majorHAnsi" w:cstheme="majorHAnsi"/>
          <w:lang w:eastAsia="zh-CN"/>
        </w:rPr>
        <w:t>value of survival could not be so readily abused</w:t>
      </w:r>
      <w:r>
        <w:rPr>
          <w:rFonts w:asciiTheme="majorHAnsi" w:hAnsiTheme="majorHAnsi" w:cstheme="majorHAnsi"/>
          <w:color w:val="000000" w:themeColor="text1"/>
          <w:sz w:val="16"/>
          <w:shd w:val="clear" w:color="auto" w:fill="FFFFFF"/>
          <w:lang w:eastAsia="zh-CN"/>
        </w:rPr>
        <w:t xml:space="preserve"> were it not for its evocative power. </w:t>
      </w:r>
      <w:r>
        <w:rPr>
          <w:rStyle w:val="Emphasis"/>
          <w:rFonts w:asciiTheme="majorHAnsi" w:hAnsiTheme="majorHAnsi" w:cstheme="majorHAnsi"/>
          <w:lang w:eastAsia="zh-CN"/>
        </w:rPr>
        <w:t xml:space="preserve">But abused it has been. </w:t>
      </w:r>
      <w:r>
        <w:rPr>
          <w:rStyle w:val="Emphasis"/>
          <w:rFonts w:asciiTheme="majorHAnsi" w:hAnsiTheme="majorHAnsi" w:cstheme="majorHAnsi"/>
          <w:highlight w:val="green"/>
          <w:lang w:eastAsia="zh-CN"/>
        </w:rPr>
        <w:t>In</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name of survival</w:t>
      </w:r>
      <w:r>
        <w:rPr>
          <w:rStyle w:val="Emphasis"/>
          <w:rFonts w:asciiTheme="majorHAnsi" w:hAnsiTheme="majorHAnsi" w:cstheme="majorHAnsi"/>
          <w:lang w:eastAsia="zh-CN"/>
        </w:rPr>
        <w:t xml:space="preserve">, all manner of social and political </w:t>
      </w:r>
      <w:r>
        <w:rPr>
          <w:rStyle w:val="Emphasis"/>
          <w:rFonts w:asciiTheme="majorHAnsi" w:hAnsiTheme="majorHAnsi" w:cstheme="majorHAnsi"/>
          <w:highlight w:val="green"/>
          <w:lang w:eastAsia="zh-CN"/>
        </w:rPr>
        <w:t>evils have been committed</w:t>
      </w:r>
      <w:r>
        <w:rPr>
          <w:rStyle w:val="Emphasis"/>
          <w:rFonts w:asciiTheme="majorHAnsi" w:hAnsiTheme="majorHAnsi" w:cstheme="majorHAnsi"/>
          <w:lang w:eastAsia="zh-CN"/>
        </w:rPr>
        <w:t xml:space="preserve"> against the rights of individuals, </w:t>
      </w:r>
      <w:r>
        <w:rPr>
          <w:rStyle w:val="Emphasis"/>
          <w:rFonts w:asciiTheme="majorHAnsi" w:hAnsiTheme="majorHAnsi" w:cstheme="majorHAnsi"/>
          <w:highlight w:val="green"/>
          <w:lang w:eastAsia="zh-CN"/>
        </w:rPr>
        <w:t>including</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right to life.</w:t>
      </w:r>
      <w:r>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Pr>
          <w:rStyle w:val="Emphasis"/>
          <w:rFonts w:asciiTheme="majorHAnsi" w:hAnsiTheme="majorHAnsi" w:cstheme="majorHAnsi"/>
          <w:lang w:eastAsia="zh-CN"/>
        </w:rPr>
        <w:t>upheld by the Supreme Court in Korematsu v. United States</w:t>
      </w:r>
      <w:r>
        <w:rPr>
          <w:rFonts w:asciiTheme="majorHAnsi" w:hAnsiTheme="majorHAnsi" w:cstheme="majorHAnsi"/>
          <w:color w:val="000000" w:themeColor="text1"/>
          <w:sz w:val="16"/>
          <w:shd w:val="clear" w:color="auto" w:fill="FFFFFF"/>
          <w:lang w:eastAsia="zh-CN"/>
        </w:rPr>
        <w:t xml:space="preserve"> (1944) </w:t>
      </w:r>
      <w:r>
        <w:rPr>
          <w:rStyle w:val="Emphasis"/>
          <w:rFonts w:asciiTheme="majorHAnsi" w:hAnsiTheme="majorHAnsi" w:cstheme="majorHAnsi"/>
          <w:lang w:eastAsia="zh-CN"/>
        </w:rPr>
        <w:t xml:space="preserve">in a general consensus that a threat to national security </w:t>
      </w:r>
      <w:r>
        <w:rPr>
          <w:rStyle w:val="Emphasis"/>
          <w:rFonts w:asciiTheme="majorHAnsi" w:hAnsiTheme="majorHAnsi" w:cstheme="majorHAnsi"/>
          <w:highlight w:val="green"/>
          <w:lang w:eastAsia="zh-CN"/>
        </w:rPr>
        <w:t>can justify acts</w:t>
      </w:r>
      <w:r>
        <w:rPr>
          <w:rStyle w:val="Emphasis"/>
          <w:rFonts w:asciiTheme="majorHAnsi" w:hAnsiTheme="majorHAnsi" w:cstheme="majorHAnsi"/>
          <w:lang w:eastAsia="zh-CN"/>
        </w:rPr>
        <w:t xml:space="preserve"> otherwise blatantly </w:t>
      </w:r>
      <w:r>
        <w:rPr>
          <w:rStyle w:val="Emphasis"/>
          <w:rFonts w:asciiTheme="majorHAnsi" w:hAnsiTheme="majorHAnsi" w:cstheme="majorHAnsi"/>
          <w:highlight w:val="green"/>
          <w:lang w:eastAsia="zh-CN"/>
        </w:rPr>
        <w:t>unjustifiable</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survival of the Aryan race was</w:t>
      </w:r>
      <w:r>
        <w:rPr>
          <w:rStyle w:val="Emphasis"/>
          <w:rFonts w:asciiTheme="majorHAnsi" w:hAnsiTheme="majorHAnsi" w:cstheme="majorHAnsi"/>
          <w:lang w:eastAsia="zh-CN"/>
        </w:rPr>
        <w:t xml:space="preserve"> one of the official legitimizations of </w:t>
      </w:r>
      <w:r>
        <w:rPr>
          <w:rStyle w:val="Emphasis"/>
          <w:rFonts w:asciiTheme="majorHAnsi" w:hAnsiTheme="majorHAnsi" w:cstheme="majorHAnsi"/>
          <w:highlight w:val="green"/>
          <w:lang w:eastAsia="zh-CN"/>
        </w:rPr>
        <w:t>Nazism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w:t>
      </w:r>
      <w:r>
        <w:rPr>
          <w:rStyle w:val="Emphasis"/>
          <w:rFonts w:asciiTheme="majorHAnsi" w:hAnsiTheme="majorHAnsi" w:cstheme="majorHAnsi"/>
          <w:lang w:eastAsia="zh-CN"/>
        </w:rPr>
        <w:t xml:space="preserve">Under the banner of survival, the government of </w:t>
      </w:r>
      <w:r>
        <w:rPr>
          <w:rStyle w:val="Emphasis"/>
          <w:rFonts w:asciiTheme="majorHAnsi" w:hAnsiTheme="majorHAnsi" w:cstheme="majorHAnsi"/>
          <w:highlight w:val="green"/>
          <w:lang w:eastAsia="zh-CN"/>
        </w:rPr>
        <w:t xml:space="preserve">South Africa imposed </w:t>
      </w:r>
      <w:r>
        <w:rPr>
          <w:rStyle w:val="Emphasis"/>
          <w:rFonts w:asciiTheme="majorHAnsi" w:hAnsiTheme="majorHAnsi" w:cstheme="majorHAnsi"/>
          <w:lang w:eastAsia="zh-CN"/>
        </w:rPr>
        <w:t xml:space="preserve">a ruthless </w:t>
      </w:r>
      <w:r>
        <w:rPr>
          <w:rStyle w:val="Emphasis"/>
          <w:rFonts w:asciiTheme="majorHAnsi" w:hAnsiTheme="majorHAnsi" w:cstheme="majorHAnsi"/>
          <w:highlight w:val="green"/>
          <w:lang w:eastAsia="zh-CN"/>
        </w:rPr>
        <w:t>apartheid</w:t>
      </w:r>
      <w:r>
        <w:rPr>
          <w:rStyle w:val="Emphasis"/>
          <w:rFonts w:asciiTheme="majorHAnsi" w:hAnsiTheme="majorHAnsi" w:cstheme="majorHAnsi"/>
          <w:lang w:eastAsia="zh-CN"/>
        </w:rPr>
        <w:t>, heedless of the most elementary human rights.</w:t>
      </w:r>
      <w:r>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Pr>
          <w:rFonts w:asciiTheme="majorHAnsi" w:hAnsiTheme="majorHAnsi" w:cstheme="majorHAnsi"/>
          <w:color w:val="000000" w:themeColor="text1"/>
          <w:sz w:val="16"/>
          <w:shd w:val="clear" w:color="auto" w:fill="FFFFFF"/>
          <w:lang w:eastAsia="zh-CN"/>
        </w:rPr>
        <w:t>Jaques</w:t>
      </w:r>
      <w:proofErr w:type="spellEnd"/>
      <w:r>
        <w:rPr>
          <w:rFonts w:asciiTheme="majorHAnsi" w:hAnsiTheme="majorHAnsi" w:cstheme="majorHAnsi"/>
          <w:color w:val="000000" w:themeColor="text1"/>
          <w:sz w:val="16"/>
          <w:shd w:val="clear" w:color="auto" w:fill="FFFFFF"/>
          <w:lang w:eastAsia="zh-CN"/>
        </w:rPr>
        <w:t xml:space="preserve"> Monod, in Chance and Necessity, </w:t>
      </w:r>
      <w:r>
        <w:rPr>
          <w:rStyle w:val="Emphasis"/>
          <w:rFonts w:asciiTheme="majorHAnsi" w:hAnsiTheme="majorHAnsi" w:cstheme="majorHAnsi"/>
          <w:highlight w:val="green"/>
          <w:lang w:eastAsia="zh-CN"/>
        </w:rPr>
        <w:t>survival requires</w:t>
      </w:r>
      <w:r>
        <w:rPr>
          <w:rStyle w:val="Emphasis"/>
          <w:rFonts w:asciiTheme="majorHAnsi" w:hAnsiTheme="majorHAnsi" w:cstheme="majorHAnsi"/>
          <w:lang w:eastAsia="zh-CN"/>
        </w:rPr>
        <w:t xml:space="preserve"> that </w:t>
      </w:r>
      <w:r>
        <w:rPr>
          <w:rStyle w:val="Emphasis"/>
          <w:rFonts w:asciiTheme="majorHAnsi" w:hAnsiTheme="majorHAnsi" w:cstheme="majorHAnsi"/>
          <w:highlight w:val="green"/>
          <w:lang w:eastAsia="zh-CN"/>
        </w:rPr>
        <w:t>we overthrow</w:t>
      </w:r>
      <w:r>
        <w:rPr>
          <w:rStyle w:val="Emphasis"/>
          <w:rFonts w:asciiTheme="majorHAnsi" w:hAnsiTheme="majorHAnsi" w:cstheme="majorHAnsi"/>
          <w:lang w:eastAsia="zh-CN"/>
        </w:rPr>
        <w:t xml:space="preserve"> almost all known religious, </w:t>
      </w:r>
      <w:r>
        <w:rPr>
          <w:rStyle w:val="Emphasis"/>
          <w:rFonts w:asciiTheme="majorHAnsi" w:hAnsiTheme="majorHAnsi" w:cstheme="majorHAnsi"/>
          <w:highlight w:val="green"/>
          <w:lang w:eastAsia="zh-CN"/>
        </w:rPr>
        <w:t>ethical</w:t>
      </w:r>
      <w:r>
        <w:rPr>
          <w:rStyle w:val="Emphasis"/>
          <w:rFonts w:asciiTheme="majorHAnsi" w:hAnsiTheme="majorHAnsi" w:cstheme="majorHAnsi"/>
          <w:lang w:eastAsia="zh-CN"/>
        </w:rPr>
        <w:t xml:space="preserve">, and political </w:t>
      </w:r>
      <w:r>
        <w:rPr>
          <w:rStyle w:val="Emphasis"/>
          <w:rFonts w:asciiTheme="majorHAnsi" w:hAnsiTheme="majorHAnsi" w:cstheme="majorHAnsi"/>
          <w:highlight w:val="green"/>
          <w:lang w:eastAsia="zh-CN"/>
        </w:rPr>
        <w:t>system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For all these reasons, it is possible to counterpoise over against the need for survival a "tyranny of survival." </w:t>
      </w:r>
      <w:r>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r>
        <w:rPr>
          <w:rFonts w:asciiTheme="majorHAnsi" w:hAnsiTheme="majorHAnsi" w:cstheme="majorHAnsi"/>
          <w:color w:val="000000" w:themeColor="text1"/>
          <w:sz w:val="16"/>
          <w:shd w:val="clear" w:color="auto" w:fill="FFFFFF"/>
          <w:lang w:eastAsia="zh-CN"/>
        </w:rPr>
        <w:t>make</w:t>
      </w:r>
      <w:proofErr w:type="spellEnd"/>
      <w:r>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117AA1E3" w14:textId="77777777" w:rsidR="006E581F" w:rsidRPr="006E581F" w:rsidRDefault="006E581F" w:rsidP="006E581F"/>
    <w:p w14:paraId="34E5DD16" w14:textId="77777777" w:rsidR="00C8543E" w:rsidRDefault="00C8543E" w:rsidP="00C8543E">
      <w:pPr>
        <w:pStyle w:val="Heading4"/>
      </w:pPr>
      <w:r>
        <w:rPr>
          <w:b w:val="0"/>
          <w:u w:val="single"/>
        </w:rPr>
        <w:t>SQUO solves</w:t>
      </w:r>
      <w:r>
        <w:rPr>
          <w:b w:val="0"/>
        </w:rPr>
        <w:t>- health related info is not protected by trade secret law</w:t>
      </w:r>
    </w:p>
    <w:p w14:paraId="715F5C06" w14:textId="77777777" w:rsidR="00C8543E" w:rsidRDefault="00C8543E" w:rsidP="00C8543E">
      <w:r>
        <w:rPr>
          <w:rStyle w:val="Style13ptBold"/>
        </w:rPr>
        <w:t>Durkin 21</w:t>
      </w:r>
      <w:r>
        <w:t xml:space="preserve"> Durkin, Allison (JD, Yale), et al. "Addressing the Risks That Trade Secret Protections Pose for Health and Rights." Health and Human Rights 23.1 (2021): 129. </w:t>
      </w:r>
    </w:p>
    <w:p w14:paraId="725A3382" w14:textId="77777777" w:rsidR="00C8543E" w:rsidRDefault="00C8543E" w:rsidP="00C8543E">
      <w:pPr>
        <w:rPr>
          <w:sz w:val="16"/>
        </w:rPr>
      </w:pPr>
      <w:r>
        <w:rPr>
          <w:sz w:val="16"/>
        </w:rPr>
        <w:t xml:space="preserve">One problem, to which some of the solutions we describe below are addressed, is that trade secret law is very fact specific, making it hard to rule out the possibility of trade secret protection for any particular kind of information. However, it is important to recognize that close scrutiny often reveals trade secret claims to be inappropriate and </w:t>
      </w:r>
      <w:r>
        <w:rPr>
          <w:rStyle w:val="Emphasis"/>
        </w:rPr>
        <w:t xml:space="preserve">that careful </w:t>
      </w:r>
      <w:r>
        <w:rPr>
          <w:rStyle w:val="Emphasis"/>
          <w:highlight w:val="green"/>
        </w:rPr>
        <w:t>studies</w:t>
      </w:r>
      <w:r>
        <w:rPr>
          <w:rStyle w:val="Emphasis"/>
        </w:rPr>
        <w:t xml:space="preserve"> have </w:t>
      </w:r>
      <w:r>
        <w:rPr>
          <w:rStyle w:val="Emphasis"/>
          <w:highlight w:val="green"/>
        </w:rPr>
        <w:t>concluded that trade secret law</w:t>
      </w:r>
      <w:r>
        <w:rPr>
          <w:rStyle w:val="Emphasis"/>
        </w:rPr>
        <w:t xml:space="preserve">, properly understood, </w:t>
      </w:r>
      <w:r>
        <w:rPr>
          <w:rStyle w:val="Emphasis"/>
          <w:highlight w:val="green"/>
        </w:rPr>
        <w:t>does not protect</w:t>
      </w:r>
      <w:r>
        <w:rPr>
          <w:rStyle w:val="Emphasis"/>
        </w:rPr>
        <w:t xml:space="preserve"> many </w:t>
      </w:r>
      <w:r>
        <w:rPr>
          <w:rStyle w:val="Emphasis"/>
          <w:highlight w:val="green"/>
        </w:rPr>
        <w:t>categories of</w:t>
      </w:r>
      <w:r>
        <w:rPr>
          <w:rStyle w:val="Emphasis"/>
        </w:rPr>
        <w:t xml:space="preserve"> information relevant to </w:t>
      </w:r>
      <w:r>
        <w:rPr>
          <w:rStyle w:val="Emphasis"/>
          <w:highlight w:val="green"/>
        </w:rPr>
        <w:t>health</w:t>
      </w:r>
      <w:r>
        <w:rPr>
          <w:sz w:val="16"/>
        </w:rPr>
        <w:t xml:space="preserve">. For example, although courts in the United States have at times accepted the idea that prices can be trade secrets with little analysis, there are good arguments based on the theory and purpose of trade secrets law that the </w:t>
      </w:r>
      <w:r>
        <w:rPr>
          <w:rStyle w:val="Emphasis"/>
        </w:rPr>
        <w:t>price alone should not be afforded such protection</w:t>
      </w:r>
      <w:r>
        <w:rPr>
          <w:sz w:val="16"/>
        </w:rPr>
        <w:t>. One argument is that price is simply a deal point representing the culmination of adverse negotiations between buyers and sellers and is not “an origin point for future development.”</w:t>
      </w:r>
      <w:hyperlink r:id="rId11" w:anchor="r50" w:history="1">
        <w:r>
          <w:rPr>
            <w:rStyle w:val="Hyperlink"/>
            <w:sz w:val="16"/>
          </w:rPr>
          <w:t>50</w:t>
        </w:r>
      </w:hyperlink>
      <w:r>
        <w:rPr>
          <w:sz w:val="16"/>
        </w:rPr>
        <w:t xml:space="preserve"> Concealing prices does not further innovation; it simply undermines the capacity of competitors to provide competitive pricing—hardly a purpose of trade secrecy.</w:t>
      </w:r>
      <w:hyperlink r:id="rId12" w:anchor="r51" w:history="1">
        <w:r>
          <w:rPr>
            <w:rStyle w:val="Hyperlink"/>
            <w:sz w:val="16"/>
          </w:rPr>
          <w:t>51</w:t>
        </w:r>
      </w:hyperlink>
      <w:r>
        <w:rPr>
          <w:sz w:val="16"/>
        </w:rPr>
        <w:t xml:space="preserve"> </w:t>
      </w:r>
      <w:r>
        <w:rPr>
          <w:rStyle w:val="Emphasis"/>
        </w:rPr>
        <w:t>Many types of clinical trial data should also not be properly considered trade secrets.</w:t>
      </w:r>
      <w:r>
        <w:rPr>
          <w:sz w:val="16"/>
        </w:rPr>
        <w:t xml:space="preserve"> Most safety and efficacy data, for example, will not confer an advantage to competitors of the relevant kind—they cannot, for instance, be used to market another product or to reduce the costs of a competitor.</w:t>
      </w:r>
      <w:hyperlink r:id="rId13" w:anchor="r52" w:history="1">
        <w:r>
          <w:rPr>
            <w:rStyle w:val="Hyperlink"/>
            <w:sz w:val="16"/>
          </w:rPr>
          <w:t>52</w:t>
        </w:r>
      </w:hyperlink>
      <w:r>
        <w:rPr>
          <w:sz w:val="16"/>
        </w:rPr>
        <w:t xml:space="preserve"> The data might be privately valuable to the originator because they would reveal its product as harmful, but that is not the kind of value that trade secrecy law protects. Notably, </w:t>
      </w:r>
      <w:r>
        <w:rPr>
          <w:rStyle w:val="Emphasis"/>
          <w:highlight w:val="green"/>
        </w:rPr>
        <w:t>the</w:t>
      </w:r>
      <w:r>
        <w:rPr>
          <w:rStyle w:val="Emphasis"/>
        </w:rPr>
        <w:t xml:space="preserve"> European Medical Association (</w:t>
      </w:r>
      <w:r>
        <w:rPr>
          <w:rStyle w:val="Emphasis"/>
          <w:highlight w:val="green"/>
        </w:rPr>
        <w:t>EMA</w:t>
      </w:r>
      <w:r>
        <w:rPr>
          <w:rStyle w:val="Emphasis"/>
        </w:rPr>
        <w:t xml:space="preserve">) has </w:t>
      </w:r>
      <w:r>
        <w:rPr>
          <w:rStyle w:val="Emphasis"/>
          <w:highlight w:val="green"/>
        </w:rPr>
        <w:t>recognized</w:t>
      </w:r>
      <w:r>
        <w:rPr>
          <w:rStyle w:val="Emphasis"/>
        </w:rPr>
        <w:t xml:space="preserve"> in data-sharing regulations </w:t>
      </w:r>
      <w:r>
        <w:rPr>
          <w:rStyle w:val="Emphasis"/>
          <w:highlight w:val="green"/>
        </w:rPr>
        <w:t>that</w:t>
      </w:r>
      <w:r>
        <w:rPr>
          <w:rStyle w:val="Emphasis"/>
        </w:rPr>
        <w:t xml:space="preserve"> many kinds of safety and efficacy data, such as </w:t>
      </w:r>
      <w:r>
        <w:rPr>
          <w:rStyle w:val="Emphasis"/>
          <w:highlight w:val="green"/>
        </w:rPr>
        <w:t>trial endpoints</w:t>
      </w:r>
      <w:r>
        <w:rPr>
          <w:rStyle w:val="Emphasis"/>
        </w:rPr>
        <w:t xml:space="preserve">, statistical </w:t>
      </w:r>
      <w:r>
        <w:rPr>
          <w:rStyle w:val="Emphasis"/>
          <w:highlight w:val="green"/>
        </w:rPr>
        <w:t>methods, and</w:t>
      </w:r>
      <w:r>
        <w:rPr>
          <w:rStyle w:val="Emphasis"/>
        </w:rPr>
        <w:t xml:space="preserve"> </w:t>
      </w:r>
      <w:r>
        <w:rPr>
          <w:rStyle w:val="Emphasis"/>
          <w:highlight w:val="green"/>
        </w:rPr>
        <w:t>adverse event info</w:t>
      </w:r>
      <w:r>
        <w:rPr>
          <w:rStyle w:val="Emphasis"/>
        </w:rPr>
        <w:t xml:space="preserve">rmation, </w:t>
      </w:r>
      <w:r>
        <w:rPr>
          <w:rStyle w:val="Emphasis"/>
          <w:highlight w:val="green"/>
        </w:rPr>
        <w:t>are not protected</w:t>
      </w:r>
      <w:r>
        <w:rPr>
          <w:rStyle w:val="Emphasis"/>
        </w:rPr>
        <w:t xml:space="preserve"> confidential commercial information</w:t>
      </w:r>
      <w:r>
        <w:rPr>
          <w:sz w:val="16"/>
        </w:rPr>
        <w:t>.</w:t>
      </w:r>
      <w:hyperlink r:id="rId14" w:anchor="r53" w:history="1">
        <w:r>
          <w:rPr>
            <w:rStyle w:val="Hyperlink"/>
            <w:sz w:val="16"/>
          </w:rPr>
          <w:t>53</w:t>
        </w:r>
      </w:hyperlink>
      <w:r>
        <w:rPr>
          <w:sz w:val="16"/>
        </w:rPr>
        <w:t xml:space="preserve"> The EMA has also concluded that </w:t>
      </w:r>
      <w:r>
        <w:rPr>
          <w:rStyle w:val="Emphasis"/>
          <w:highlight w:val="green"/>
        </w:rPr>
        <w:t>clinical trial protocols do not qualify</w:t>
      </w:r>
      <w:r>
        <w:rPr>
          <w:sz w:val="16"/>
        </w:rPr>
        <w:t>.</w:t>
      </w:r>
      <w:hyperlink r:id="rId15" w:anchor="r54" w:history="1">
        <w:r>
          <w:rPr>
            <w:rStyle w:val="Hyperlink"/>
            <w:sz w:val="16"/>
          </w:rPr>
          <w:t>54</w:t>
        </w:r>
      </w:hyperlink>
      <w:r>
        <w:rPr>
          <w:sz w:val="16"/>
        </w:rPr>
        <w:t xml:space="preserve"> US courts have held the same, noting that they contain “no information about secret formulas or rare treatment methods” and do not identify innovative procedures or techniques.</w:t>
      </w:r>
    </w:p>
    <w:p w14:paraId="268F873B" w14:textId="77777777" w:rsidR="00C8543E" w:rsidRDefault="00C8543E" w:rsidP="00C8543E">
      <w:pPr>
        <w:pStyle w:val="Heading4"/>
      </w:pPr>
      <w:r>
        <w:rPr>
          <w:b w:val="0"/>
        </w:rPr>
        <w:t>Their author agrees general public interest is legally undefined and worsens whistleblower protection- that’s what they defend</w:t>
      </w:r>
    </w:p>
    <w:p w14:paraId="6B43BC0C" w14:textId="77777777" w:rsidR="00C8543E" w:rsidRDefault="00C8543E" w:rsidP="00C8543E">
      <w:r>
        <w:rPr>
          <w:rStyle w:val="Style13ptBold"/>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9-17-21, Bergen AK)</w:t>
      </w:r>
    </w:p>
    <w:p w14:paraId="2091FB7E" w14:textId="77777777" w:rsidR="00C8543E" w:rsidRDefault="00C8543E" w:rsidP="00C8543E">
      <w:pPr>
        <w:rPr>
          <w:sz w:val="16"/>
        </w:rPr>
      </w:pPr>
      <w:r>
        <w:rPr>
          <w:sz w:val="16"/>
        </w:rPr>
        <w:t xml:space="preserve">Art. 5, let. b), refers to “general public interest”, which is a change of text in light of the compromise between the European Parliament and the Commission’s initial proposal that referred merely to “public interest”. </w:t>
      </w:r>
      <w:r>
        <w:rPr>
          <w:rStyle w:val="StyleUnderline"/>
        </w:rPr>
        <w:t xml:space="preserve">Many questions arise in this regard. </w:t>
      </w:r>
      <w:r>
        <w:rPr>
          <w:rStyle w:val="StyleUnderline"/>
          <w:highlight w:val="green"/>
        </w:rPr>
        <w:t>What is precisely the scope of general public interest</w:t>
      </w:r>
      <w:r>
        <w:rPr>
          <w:rStyle w:val="StyleUnderline"/>
        </w:rPr>
        <w:t xml:space="preserve">? </w:t>
      </w:r>
      <w:r>
        <w:rPr>
          <w:rStyle w:val="StyleUnderline"/>
          <w:highlight w:val="green"/>
        </w:rPr>
        <w:t>Will</w:t>
      </w:r>
      <w:r>
        <w:rPr>
          <w:rStyle w:val="StyleUnderline"/>
        </w:rPr>
        <w:t xml:space="preserve"> such </w:t>
      </w:r>
      <w:r>
        <w:rPr>
          <w:rStyle w:val="StyleUnderline"/>
          <w:highlight w:val="green"/>
        </w:rPr>
        <w:t>definitions give rise to variations in interpretation in different cases and</w:t>
      </w:r>
      <w:r>
        <w:rPr>
          <w:rStyle w:val="StyleUnderline"/>
        </w:rPr>
        <w:t xml:space="preserve"> different </w:t>
      </w:r>
      <w:r>
        <w:rPr>
          <w:rStyle w:val="StyleUnderline"/>
          <w:highlight w:val="green"/>
        </w:rPr>
        <w:t>courts throughout</w:t>
      </w:r>
      <w:r>
        <w:rPr>
          <w:rStyle w:val="StyleUnderline"/>
        </w:rPr>
        <w:t xml:space="preserve"> the </w:t>
      </w:r>
      <w:r>
        <w:rPr>
          <w:rStyle w:val="StyleUnderline"/>
          <w:highlight w:val="green"/>
        </w:rPr>
        <w:t>EU</w:t>
      </w:r>
      <w:r>
        <w:rPr>
          <w:rStyle w:val="StyleUnderline"/>
        </w:rPr>
        <w:t xml:space="preserve"> Member </w:t>
      </w:r>
      <w:r>
        <w:rPr>
          <w:rStyle w:val="StyleUnderline"/>
          <w:highlight w:val="green"/>
        </w:rPr>
        <w:t>States leading to</w:t>
      </w:r>
      <w:r>
        <w:rPr>
          <w:rStyle w:val="StyleUnderline"/>
        </w:rPr>
        <w:t xml:space="preserve"> an increased </w:t>
      </w:r>
      <w:r>
        <w:rPr>
          <w:rStyle w:val="Emphasis"/>
          <w:highlight w:val="green"/>
        </w:rPr>
        <w:t>fragmentation of what is already a weak and fragmented system of whistleblower protection</w:t>
      </w:r>
      <w:r>
        <w:rPr>
          <w:rStyle w:val="StyleUnderline"/>
        </w:rPr>
        <w:t>?</w:t>
      </w:r>
      <w:r>
        <w:rPr>
          <w:sz w:val="16"/>
        </w:rPr>
        <w:t xml:space="preserve">[19] </w:t>
      </w:r>
      <w:r>
        <w:rPr>
          <w:rStyle w:val="StyleUnderline"/>
        </w:rPr>
        <w:t xml:space="preserve">In addition to these concerns, it has been rightly pointed out that </w:t>
      </w:r>
      <w:r>
        <w:rPr>
          <w:rStyle w:val="StyleUnderline"/>
          <w:highlight w:val="green"/>
        </w:rPr>
        <w:t>there are a number of cases, which show the difficulty in determining whether there is a public interest involved</w:t>
      </w:r>
      <w:r>
        <w:rPr>
          <w:sz w:val="16"/>
        </w:rPr>
        <w:t xml:space="preserve">. For example, as argued by </w:t>
      </w:r>
      <w:proofErr w:type="spellStart"/>
      <w:r>
        <w:rPr>
          <w:sz w:val="16"/>
        </w:rPr>
        <w:t>Aplin</w:t>
      </w:r>
      <w:proofErr w:type="spellEnd"/>
      <w:r>
        <w:rPr>
          <w:sz w:val="16"/>
        </w:rPr>
        <w:t xml:space="preserve">, the case of Browne v. Associated Newspapers Ltd[20] involved a revelation that a chief executive of a significant company misused the resources of that company for private purposes and shared confidential information with his partner.[21] </w:t>
      </w:r>
      <w:r>
        <w:rPr>
          <w:rStyle w:val="StyleUnderline"/>
        </w:rPr>
        <w:t>It remains to be seen in practice whether such revelations could be considered as exposing trade secrets and doing so in the general public interest.</w:t>
      </w:r>
    </w:p>
    <w:p w14:paraId="024527A7" w14:textId="097700A2" w:rsidR="00C8543E" w:rsidRDefault="00C8543E" w:rsidP="00C8543E">
      <w:pPr>
        <w:pStyle w:val="Heading4"/>
        <w:rPr>
          <w:b w:val="0"/>
        </w:rPr>
      </w:pPr>
      <w:r>
        <w:rPr>
          <w:b w:val="0"/>
        </w:rPr>
        <w:t xml:space="preserve">Turns the aff – revealing information hurting the general public interest hurts </w:t>
      </w:r>
      <w:proofErr w:type="spellStart"/>
      <w:r>
        <w:rPr>
          <w:b w:val="0"/>
        </w:rPr>
        <w:t>whistleblwoers</w:t>
      </w:r>
      <w:proofErr w:type="spellEnd"/>
    </w:p>
    <w:p w14:paraId="35600AD0" w14:textId="77777777" w:rsidR="00C8543E" w:rsidRPr="00C8543E" w:rsidRDefault="00C8543E" w:rsidP="00C8543E"/>
    <w:p w14:paraId="634520B6" w14:textId="77777777" w:rsidR="00C8543E" w:rsidRDefault="00C8543E" w:rsidP="00C8543E">
      <w:pPr>
        <w:pStyle w:val="Heading4"/>
      </w:pPr>
      <w:r>
        <w:rPr>
          <w:b w:val="0"/>
        </w:rPr>
        <w:t xml:space="preserve">Trade secrets don’t grant </w:t>
      </w:r>
      <w:r>
        <w:rPr>
          <w:b w:val="0"/>
          <w:u w:val="single"/>
        </w:rPr>
        <w:t>exclusive rights</w:t>
      </w:r>
      <w:r>
        <w:rPr>
          <w:b w:val="0"/>
        </w:rPr>
        <w:t xml:space="preserve"> towards third parties </w:t>
      </w:r>
    </w:p>
    <w:p w14:paraId="6E04D229" w14:textId="77777777" w:rsidR="00C8543E" w:rsidRDefault="00C8543E" w:rsidP="00C8543E">
      <w:proofErr w:type="spellStart"/>
      <w:r>
        <w:rPr>
          <w:rStyle w:val="Style13ptBold"/>
        </w:rPr>
        <w:t>Gutfleisch</w:t>
      </w:r>
      <w:proofErr w:type="spellEnd"/>
      <w:r>
        <w:rPr>
          <w:rStyle w:val="Style13ptBold"/>
        </w:rPr>
        <w:t xml:space="preserve"> 18</w:t>
      </w:r>
      <w:r>
        <w:t xml:space="preserve"> Georg </w:t>
      </w:r>
      <w:proofErr w:type="spellStart"/>
      <w:r>
        <w:t>Gutfleisch</w:t>
      </w:r>
      <w:proofErr w:type="spellEnd"/>
      <w:r>
        <w:t xml:space="preserve"> (attorney-at-law in the Corporate Transactions/M&amp;A Department. He advises national and international clients in all areas of corporate and company law, private equity transactions as well as national and international restructurings, reorganizations and M&amp;A transactions. He also has extensive expertise in the areas of intellectual property and IT law) "Employment issues under the European Trade Secrets Directive: Promising opportunity or burden for European companies." European Company Law Journal 15 (2018): 175-181</w:t>
      </w:r>
    </w:p>
    <w:p w14:paraId="49FF6C40" w14:textId="77777777" w:rsidR="00C8543E" w:rsidRDefault="00C8543E" w:rsidP="00C8543E">
      <w:pPr>
        <w:rPr>
          <w:sz w:val="16"/>
        </w:rPr>
      </w:pPr>
      <w:r>
        <w:rPr>
          <w:rStyle w:val="Emphasis"/>
        </w:rPr>
        <w:t xml:space="preserve">As </w:t>
      </w:r>
      <w:r>
        <w:rPr>
          <w:rStyle w:val="Emphasis"/>
          <w:highlight w:val="green"/>
        </w:rPr>
        <w:t>trade secrets</w:t>
      </w:r>
      <w:r>
        <w:rPr>
          <w:rStyle w:val="Emphasis"/>
        </w:rPr>
        <w:t xml:space="preserve"> are generally </w:t>
      </w:r>
      <w:r>
        <w:rPr>
          <w:rStyle w:val="Emphasis"/>
          <w:highlight w:val="green"/>
        </w:rPr>
        <w:t>not granting</w:t>
      </w:r>
      <w:r>
        <w:rPr>
          <w:rStyle w:val="Emphasis"/>
        </w:rPr>
        <w:t xml:space="preserve"> an </w:t>
      </w:r>
      <w:r>
        <w:rPr>
          <w:rStyle w:val="Emphasis"/>
          <w:highlight w:val="green"/>
        </w:rPr>
        <w:t>exclusion right towards third parties</w:t>
      </w:r>
      <w:r>
        <w:rPr>
          <w:rStyle w:val="Emphasis"/>
        </w:rPr>
        <w:t xml:space="preserve"> (such as intellectual property rights</w:t>
      </w:r>
      <w:r>
        <w:rPr>
          <w:sz w:val="16"/>
        </w:rPr>
        <w:t xml:space="preserve">), the interest of a trade secret owner to maintain the </w:t>
      </w:r>
      <w:r>
        <w:rPr>
          <w:rStyle w:val="Emphasis"/>
          <w:highlight w:val="green"/>
        </w:rPr>
        <w:t>secrecy</w:t>
      </w:r>
      <w:r>
        <w:rPr>
          <w:rStyle w:val="Emphasis"/>
        </w:rPr>
        <w:t xml:space="preserve"> of information must typically be </w:t>
      </w:r>
      <w:r>
        <w:rPr>
          <w:rStyle w:val="Emphasis"/>
          <w:highlight w:val="green"/>
        </w:rPr>
        <w:t>pursued by</w:t>
      </w:r>
      <w:r>
        <w:rPr>
          <w:rStyle w:val="Emphasis"/>
        </w:rPr>
        <w:t xml:space="preserve"> way of </w:t>
      </w:r>
      <w:r>
        <w:rPr>
          <w:rStyle w:val="Emphasis"/>
          <w:highlight w:val="green"/>
        </w:rPr>
        <w:t>contractual arrangements</w:t>
      </w:r>
      <w:r>
        <w:rPr>
          <w:rStyle w:val="Emphasis"/>
        </w:rPr>
        <w:t>.</w:t>
      </w:r>
      <w:r>
        <w:rPr>
          <w:sz w:val="16"/>
        </w:rPr>
        <w:t>42 Common practice established two main contractual bases to reach this objective. On the one hand, the employer and the employee regularly enter into confidentiality or non-disclosure agreements (NDAs), which apply during the term of the employment and remain in force after its termination. On the other hand, employers and employees could also conclude noncompetition agreements, which prevent the former employee from working in the same industry or same position after the employment agreement has been terminated.</w:t>
      </w:r>
    </w:p>
    <w:p w14:paraId="51634BC0" w14:textId="77777777" w:rsidR="00C8543E" w:rsidRDefault="00C8543E" w:rsidP="00C8543E">
      <w:pPr>
        <w:pStyle w:val="Heading4"/>
      </w:pPr>
      <w:r>
        <w:rPr>
          <w:b w:val="0"/>
        </w:rPr>
        <w:t xml:space="preserve">1AC </w:t>
      </w:r>
      <w:proofErr w:type="spellStart"/>
      <w:r>
        <w:rPr>
          <w:b w:val="0"/>
        </w:rPr>
        <w:t>Junge</w:t>
      </w:r>
      <w:proofErr w:type="spellEnd"/>
      <w:r>
        <w:rPr>
          <w:b w:val="0"/>
        </w:rPr>
        <w:t xml:space="preserve"> outlines two root causes of disharmony-relationships and misappropriation sanctions- the aff doesn’t solve </w:t>
      </w:r>
    </w:p>
    <w:p w14:paraId="695DF79D" w14:textId="77777777" w:rsidR="00C8543E" w:rsidRDefault="00C8543E" w:rsidP="00C8543E">
      <w:proofErr w:type="spellStart"/>
      <w:r>
        <w:rPr>
          <w:rStyle w:val="Style13ptBold"/>
        </w:rPr>
        <w:t>Junge</w:t>
      </w:r>
      <w:proofErr w:type="spellEnd"/>
      <w:r>
        <w:rPr>
          <w:rStyle w:val="Style13ptBold"/>
        </w:rPr>
        <w:t xml:space="preserve"> 16</w:t>
      </w:r>
      <w:r>
        <w:t xml:space="preserve"> — (Fabian </w:t>
      </w:r>
      <w:proofErr w:type="spellStart"/>
      <w:r>
        <w:t>Junge</w:t>
      </w:r>
      <w:proofErr w:type="spellEnd"/>
      <w:r>
        <w:t>, Law @ Maastricht University, “THE NECESSITY OF EUROPEAN HARMONIZATION IN THE AREA OF TRADE SECRETS”, MAASTRICHT EUROPEAN PRIVATE LAW INSTITUTE WORKING PAPER No. 2016/04,</w:t>
      </w:r>
    </w:p>
    <w:p w14:paraId="54F12D55" w14:textId="77777777" w:rsidR="00C8543E" w:rsidRDefault="00C8543E" w:rsidP="00C8543E">
      <w:pPr>
        <w:rPr>
          <w:sz w:val="16"/>
        </w:rPr>
      </w:pPr>
      <w:r>
        <w:rPr>
          <w:sz w:val="16"/>
        </w:rPr>
        <w:t xml:space="preserve">Nevertheless, the limitations to the scope of the Trade Secrets Directive are also detrimental to the harmonization efforts. </w:t>
      </w:r>
      <w:r>
        <w:rPr>
          <w:rStyle w:val="Emphasis"/>
        </w:rPr>
        <w:t xml:space="preserve">The </w:t>
      </w:r>
      <w:r>
        <w:rPr>
          <w:rStyle w:val="Emphasis"/>
          <w:highlight w:val="green"/>
        </w:rPr>
        <w:t>Trade</w:t>
      </w:r>
      <w:r>
        <w:rPr>
          <w:rStyle w:val="Emphasis"/>
        </w:rPr>
        <w:t xml:space="preserve"> </w:t>
      </w:r>
      <w:r>
        <w:rPr>
          <w:rStyle w:val="Emphasis"/>
          <w:highlight w:val="green"/>
        </w:rPr>
        <w:t>Secrets Directive</w:t>
      </w:r>
      <w:r>
        <w:rPr>
          <w:rStyle w:val="Emphasis"/>
        </w:rPr>
        <w:t xml:space="preserve"> </w:t>
      </w:r>
      <w:r>
        <w:rPr>
          <w:rStyle w:val="Emphasis"/>
          <w:highlight w:val="green"/>
        </w:rPr>
        <w:t>neither tackles employment relationships nor</w:t>
      </w:r>
      <w:r>
        <w:rPr>
          <w:rStyle w:val="Emphasis"/>
        </w:rPr>
        <w:t xml:space="preserve"> does it address </w:t>
      </w:r>
      <w:r>
        <w:rPr>
          <w:rStyle w:val="Emphasis"/>
          <w:highlight w:val="green"/>
        </w:rPr>
        <w:t>criminal law sanctions</w:t>
      </w:r>
      <w:r>
        <w:rPr>
          <w:rStyle w:val="Emphasis"/>
        </w:rPr>
        <w:t xml:space="preserve"> </w:t>
      </w:r>
      <w:r>
        <w:rPr>
          <w:rStyle w:val="Emphasis"/>
          <w:highlight w:val="green"/>
        </w:rPr>
        <w:t>for</w:t>
      </w:r>
      <w:r>
        <w:rPr>
          <w:rStyle w:val="Emphasis"/>
        </w:rPr>
        <w:t xml:space="preserve"> trade secret </w:t>
      </w:r>
      <w:r>
        <w:rPr>
          <w:rStyle w:val="Emphasis"/>
          <w:highlight w:val="green"/>
        </w:rPr>
        <w:t>misappropriation</w:t>
      </w:r>
      <w:r>
        <w:rPr>
          <w:rStyle w:val="Emphasis"/>
        </w:rPr>
        <w:t xml:space="preserve">. In both areas the </w:t>
      </w:r>
      <w:r>
        <w:rPr>
          <w:rStyle w:val="Emphasis"/>
          <w:highlight w:val="green"/>
        </w:rPr>
        <w:t>Member States are left to regulate</w:t>
      </w:r>
      <w:r>
        <w:rPr>
          <w:rStyle w:val="Emphasis"/>
        </w:rPr>
        <w:t xml:space="preserve"> any arising issues </w:t>
      </w:r>
      <w:r>
        <w:rPr>
          <w:rStyle w:val="Emphasis"/>
          <w:highlight w:val="green"/>
        </w:rPr>
        <w:t>independently - and</w:t>
      </w:r>
      <w:r>
        <w:rPr>
          <w:rStyle w:val="Emphasis"/>
        </w:rPr>
        <w:t xml:space="preserve"> presumably still </w:t>
      </w:r>
      <w:r>
        <w:rPr>
          <w:rStyle w:val="Emphasis"/>
          <w:highlight w:val="green"/>
        </w:rPr>
        <w:t>inconsistently</w:t>
      </w:r>
      <w:r>
        <w:rPr>
          <w:sz w:val="16"/>
        </w:rPr>
        <w:t xml:space="preserve">. The importance of employment relationships for the litigation practice can’t be denied. Equally, the significance of criminal sanctions as a deterrent for trade secret misappropriation is evident. </w:t>
      </w:r>
      <w:r>
        <w:rPr>
          <w:rStyle w:val="Emphasis"/>
        </w:rPr>
        <w:t xml:space="preserve">Hence, </w:t>
      </w:r>
      <w:r>
        <w:rPr>
          <w:rStyle w:val="Emphasis"/>
          <w:highlight w:val="green"/>
        </w:rPr>
        <w:t>by not regulating</w:t>
      </w:r>
      <w:r>
        <w:rPr>
          <w:rStyle w:val="Emphasis"/>
        </w:rPr>
        <w:t xml:space="preserve"> both aspects in the Trade Secrets Directive the </w:t>
      </w:r>
      <w:r>
        <w:rPr>
          <w:rStyle w:val="Emphasis"/>
          <w:highlight w:val="green"/>
        </w:rPr>
        <w:t>harmonization</w:t>
      </w:r>
      <w:r>
        <w:rPr>
          <w:rStyle w:val="Emphasis"/>
        </w:rPr>
        <w:t xml:space="preserve"> effort </w:t>
      </w:r>
      <w:r>
        <w:rPr>
          <w:rStyle w:val="Emphasis"/>
          <w:highlight w:val="green"/>
        </w:rPr>
        <w:t>is negatively limited</w:t>
      </w:r>
      <w:r>
        <w:rPr>
          <w:sz w:val="16"/>
        </w:rPr>
        <w:t xml:space="preserve">. The Trade Secrets Directive seeks to clarify its relationship with the Enforcement Directive, but fails. This would have been beneficial, because the Enforcement Directive includes several measures that are not available under the Trade Secrets Directive but are essential for trade secrets holders, namely for the preservation of evidence. It fails firstly, because it includes only a clear statement that the Trade Secrets Directive shall take precedent in case of an overlap. </w:t>
      </w:r>
      <w:r>
        <w:rPr>
          <w:sz w:val="16"/>
          <w:szCs w:val="16"/>
        </w:rPr>
        <w:t>Secondly, because the Trade Secrets Directive does not issue final guidance on whether trade secrets should be considered as intellectual property right.</w:t>
      </w:r>
      <w:r>
        <w:rPr>
          <w:sz w:val="16"/>
        </w:rPr>
        <w:t xml:space="preserve"> In that regard, one can only assume based on hints and the general approach taken that trade secrets should be classified as part of the unfair competition law. While not taking a final position might be feasible from a policy-maker perspective, it does not contribute towards legal certainty leaving the existing controversial implications of such a decision, e.g. regarding CFR and FPECHR, untouched.</w:t>
      </w:r>
    </w:p>
    <w:p w14:paraId="2597D6B8" w14:textId="4D1505E4" w:rsidR="00EC0310" w:rsidRDefault="00EC0310" w:rsidP="00EC0310"/>
    <w:p w14:paraId="3A8FECBF" w14:textId="3E7A2AF6" w:rsidR="00EC0310" w:rsidRDefault="00EC0310" w:rsidP="00EC0310"/>
    <w:p w14:paraId="6FCEF575" w14:textId="71AB7E64" w:rsidR="00EC0310" w:rsidRDefault="00EC0310" w:rsidP="00EC0310"/>
    <w:p w14:paraId="5B1CA9F4" w14:textId="75B0D792" w:rsidR="00EC0310" w:rsidRDefault="00EC0310" w:rsidP="00EC0310"/>
    <w:p w14:paraId="1C4AE564" w14:textId="004EEFCB" w:rsidR="00EC0310" w:rsidRDefault="00EC0310" w:rsidP="00EC0310"/>
    <w:p w14:paraId="6F51F6A4" w14:textId="366FDEC0" w:rsidR="00EC0310" w:rsidRDefault="00EC0310" w:rsidP="00EC0310"/>
    <w:p w14:paraId="7CC146A2" w14:textId="1DBFC1B8" w:rsidR="00EC0310" w:rsidRDefault="00EC0310" w:rsidP="00EC0310"/>
    <w:p w14:paraId="607775E6" w14:textId="14966541" w:rsidR="00EC0310" w:rsidRDefault="00EC0310" w:rsidP="00EC0310"/>
    <w:p w14:paraId="68B71EF1" w14:textId="542AE375" w:rsidR="00C8543E" w:rsidRDefault="00C8543E" w:rsidP="00EC0310"/>
    <w:p w14:paraId="0C64EC87" w14:textId="16D2B589" w:rsidR="00C8543E" w:rsidRDefault="00C8543E" w:rsidP="00EC0310"/>
    <w:p w14:paraId="2C8B0EFB" w14:textId="6DCA6E3A" w:rsidR="00C8543E" w:rsidRDefault="00C8543E" w:rsidP="00EC0310"/>
    <w:p w14:paraId="09F38602" w14:textId="5E68B398" w:rsidR="00C8543E" w:rsidRDefault="00C8543E" w:rsidP="00EC0310"/>
    <w:p w14:paraId="71BEC940" w14:textId="3F3B7FD5" w:rsidR="00C8543E" w:rsidRDefault="00C8543E" w:rsidP="00EC0310"/>
    <w:p w14:paraId="68A3D14A" w14:textId="6FA0E596" w:rsidR="00C8543E" w:rsidRDefault="00C8543E" w:rsidP="00EC0310"/>
    <w:p w14:paraId="0A94A64E" w14:textId="03BCA6BA" w:rsidR="00C8543E" w:rsidRDefault="00C8543E" w:rsidP="00EC0310"/>
    <w:p w14:paraId="7754DD5F" w14:textId="0DBD815F" w:rsidR="00C8543E" w:rsidRDefault="00C8543E" w:rsidP="00EC0310"/>
    <w:p w14:paraId="3A18D6BB" w14:textId="65F286C5" w:rsidR="00C8543E" w:rsidRDefault="00C8543E" w:rsidP="00EC0310"/>
    <w:p w14:paraId="24290E4E" w14:textId="56169EE6" w:rsidR="00C8543E" w:rsidRDefault="00C8543E" w:rsidP="00EC0310"/>
    <w:p w14:paraId="3CDAD238" w14:textId="31BF8111" w:rsidR="00C8543E" w:rsidRDefault="00C8543E" w:rsidP="00EC0310"/>
    <w:p w14:paraId="1AC73109" w14:textId="66B0E129" w:rsidR="00C8543E" w:rsidRDefault="00C8543E" w:rsidP="00EC0310"/>
    <w:p w14:paraId="2ABAD942" w14:textId="5D2D7A03" w:rsidR="00C8543E" w:rsidRDefault="00C8543E" w:rsidP="00EC0310"/>
    <w:p w14:paraId="34AEB868" w14:textId="77777777" w:rsidR="00C8543E" w:rsidRPr="00EC0310" w:rsidRDefault="00C8543E" w:rsidP="00EC0310"/>
    <w:sectPr w:rsidR="00C8543E" w:rsidRPr="00EC03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4E3F"/>
    <w:rsid w:val="000139A3"/>
    <w:rsid w:val="00100833"/>
    <w:rsid w:val="00104529"/>
    <w:rsid w:val="00105942"/>
    <w:rsid w:val="00107396"/>
    <w:rsid w:val="00144A4C"/>
    <w:rsid w:val="00176AB0"/>
    <w:rsid w:val="00177B7D"/>
    <w:rsid w:val="0018322D"/>
    <w:rsid w:val="001B5776"/>
    <w:rsid w:val="001E527A"/>
    <w:rsid w:val="001F78CE"/>
    <w:rsid w:val="002423FD"/>
    <w:rsid w:val="00251FC7"/>
    <w:rsid w:val="00264E3F"/>
    <w:rsid w:val="002855A7"/>
    <w:rsid w:val="002B146A"/>
    <w:rsid w:val="002B5E17"/>
    <w:rsid w:val="00315690"/>
    <w:rsid w:val="00316B75"/>
    <w:rsid w:val="00325646"/>
    <w:rsid w:val="003460F2"/>
    <w:rsid w:val="0038158C"/>
    <w:rsid w:val="003902BA"/>
    <w:rsid w:val="003A09E2"/>
    <w:rsid w:val="00407037"/>
    <w:rsid w:val="004605D6"/>
    <w:rsid w:val="00462A20"/>
    <w:rsid w:val="004B0B3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81F"/>
    <w:rsid w:val="00722258"/>
    <w:rsid w:val="007243E5"/>
    <w:rsid w:val="00766EA0"/>
    <w:rsid w:val="007A2226"/>
    <w:rsid w:val="007F5B66"/>
    <w:rsid w:val="00823A1C"/>
    <w:rsid w:val="00845B9D"/>
    <w:rsid w:val="00860984"/>
    <w:rsid w:val="008B3ECB"/>
    <w:rsid w:val="008B4E85"/>
    <w:rsid w:val="008C1B2E"/>
    <w:rsid w:val="0091627E"/>
    <w:rsid w:val="00922461"/>
    <w:rsid w:val="00935007"/>
    <w:rsid w:val="0097032B"/>
    <w:rsid w:val="009D2EAD"/>
    <w:rsid w:val="009D54B2"/>
    <w:rsid w:val="009E1922"/>
    <w:rsid w:val="009F4D13"/>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543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31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5E3B"/>
  <w15:chartTrackingRefBased/>
  <w15:docId w15:val="{9305E626-6828-4832-908B-D231B4F9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4E3F"/>
    <w:rPr>
      <w:rFonts w:ascii="Calibri" w:hAnsi="Calibri"/>
    </w:rPr>
  </w:style>
  <w:style w:type="paragraph" w:styleId="Heading1">
    <w:name w:val="heading 1"/>
    <w:aliases w:val="Pocket"/>
    <w:basedOn w:val="Normal"/>
    <w:next w:val="Normal"/>
    <w:link w:val="Heading1Char"/>
    <w:qFormat/>
    <w:rsid w:val="00264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4E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4E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No Spacing111111,No Spacing4,small space,T,B T"/>
    <w:basedOn w:val="Normal"/>
    <w:next w:val="Normal"/>
    <w:link w:val="Heading4Char"/>
    <w:uiPriority w:val="3"/>
    <w:unhideWhenUsed/>
    <w:qFormat/>
    <w:rsid w:val="00264E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4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E3F"/>
  </w:style>
  <w:style w:type="character" w:customStyle="1" w:styleId="Heading1Char">
    <w:name w:val="Heading 1 Char"/>
    <w:aliases w:val="Pocket Char"/>
    <w:basedOn w:val="DefaultParagraphFont"/>
    <w:link w:val="Heading1"/>
    <w:rsid w:val="00264E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4E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4E3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64E3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264E3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4E3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264E3F"/>
    <w:rPr>
      <w:b w:val="0"/>
      <w:sz w:val="22"/>
      <w:u w:val="single"/>
    </w:rPr>
  </w:style>
  <w:style w:type="character" w:styleId="Hyperlink">
    <w:name w:val="Hyperlink"/>
    <w:aliases w:val="No Spacing Char,Card Char,Debate Text Char,No Spacing11 Char,No Spacing31 Char,No Spacing22 Char,No Spacing111 Char,No Spacing3 Char,No Spacing2 Char,Read stuff Char,tag Char,No Spacing1121 Char,Dont use Char,No Spacing41 Char,No Spacing1 Char"/>
    <w:basedOn w:val="DefaultParagraphFont"/>
    <w:link w:val="NoSpacing"/>
    <w:uiPriority w:val="99"/>
    <w:unhideWhenUsed/>
    <w:rsid w:val="00264E3F"/>
    <w:rPr>
      <w:color w:val="auto"/>
      <w:u w:val="none"/>
    </w:rPr>
  </w:style>
  <w:style w:type="character" w:styleId="FollowedHyperlink">
    <w:name w:val="FollowedHyperlink"/>
    <w:basedOn w:val="DefaultParagraphFont"/>
    <w:uiPriority w:val="99"/>
    <w:semiHidden/>
    <w:unhideWhenUsed/>
    <w:rsid w:val="00264E3F"/>
    <w:rPr>
      <w:color w:val="auto"/>
      <w:u w:val="none"/>
    </w:rPr>
  </w:style>
  <w:style w:type="paragraph" w:styleId="NoSpacing">
    <w:name w:val="No Spacing"/>
    <w:aliases w:val="Card,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264E3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264E3F"/>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u w:val="single"/>
    </w:rPr>
  </w:style>
  <w:style w:type="character" w:customStyle="1" w:styleId="verdana">
    <w:name w:val="verdana"/>
    <w:rsid w:val="009F4D13"/>
  </w:style>
  <w:style w:type="character" w:customStyle="1" w:styleId="italic">
    <w:name w:val="italic"/>
    <w:rsid w:val="009F4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9134">
      <w:bodyDiv w:val="1"/>
      <w:marLeft w:val="0"/>
      <w:marRight w:val="0"/>
      <w:marTop w:val="0"/>
      <w:marBottom w:val="0"/>
      <w:divBdr>
        <w:top w:val="none" w:sz="0" w:space="0" w:color="auto"/>
        <w:left w:val="none" w:sz="0" w:space="0" w:color="auto"/>
        <w:bottom w:val="none" w:sz="0" w:space="0" w:color="auto"/>
        <w:right w:val="none" w:sz="0" w:space="0" w:color="auto"/>
      </w:divBdr>
    </w:div>
    <w:div w:id="139617639">
      <w:bodyDiv w:val="1"/>
      <w:marLeft w:val="0"/>
      <w:marRight w:val="0"/>
      <w:marTop w:val="0"/>
      <w:marBottom w:val="0"/>
      <w:divBdr>
        <w:top w:val="none" w:sz="0" w:space="0" w:color="auto"/>
        <w:left w:val="none" w:sz="0" w:space="0" w:color="auto"/>
        <w:bottom w:val="none" w:sz="0" w:space="0" w:color="auto"/>
        <w:right w:val="none" w:sz="0" w:space="0" w:color="auto"/>
      </w:divBdr>
    </w:div>
    <w:div w:id="159666434">
      <w:bodyDiv w:val="1"/>
      <w:marLeft w:val="0"/>
      <w:marRight w:val="0"/>
      <w:marTop w:val="0"/>
      <w:marBottom w:val="0"/>
      <w:divBdr>
        <w:top w:val="none" w:sz="0" w:space="0" w:color="auto"/>
        <w:left w:val="none" w:sz="0" w:space="0" w:color="auto"/>
        <w:bottom w:val="none" w:sz="0" w:space="0" w:color="auto"/>
        <w:right w:val="none" w:sz="0" w:space="0" w:color="auto"/>
      </w:divBdr>
    </w:div>
    <w:div w:id="430590009">
      <w:bodyDiv w:val="1"/>
      <w:marLeft w:val="0"/>
      <w:marRight w:val="0"/>
      <w:marTop w:val="0"/>
      <w:marBottom w:val="0"/>
      <w:divBdr>
        <w:top w:val="none" w:sz="0" w:space="0" w:color="auto"/>
        <w:left w:val="none" w:sz="0" w:space="0" w:color="auto"/>
        <w:bottom w:val="none" w:sz="0" w:space="0" w:color="auto"/>
        <w:right w:val="none" w:sz="0" w:space="0" w:color="auto"/>
      </w:divBdr>
    </w:div>
    <w:div w:id="592054431">
      <w:bodyDiv w:val="1"/>
      <w:marLeft w:val="0"/>
      <w:marRight w:val="0"/>
      <w:marTop w:val="0"/>
      <w:marBottom w:val="0"/>
      <w:divBdr>
        <w:top w:val="none" w:sz="0" w:space="0" w:color="auto"/>
        <w:left w:val="none" w:sz="0" w:space="0" w:color="auto"/>
        <w:bottom w:val="none" w:sz="0" w:space="0" w:color="auto"/>
        <w:right w:val="none" w:sz="0" w:space="0" w:color="auto"/>
      </w:divBdr>
    </w:div>
    <w:div w:id="638389600">
      <w:bodyDiv w:val="1"/>
      <w:marLeft w:val="0"/>
      <w:marRight w:val="0"/>
      <w:marTop w:val="0"/>
      <w:marBottom w:val="0"/>
      <w:divBdr>
        <w:top w:val="none" w:sz="0" w:space="0" w:color="auto"/>
        <w:left w:val="none" w:sz="0" w:space="0" w:color="auto"/>
        <w:bottom w:val="none" w:sz="0" w:space="0" w:color="auto"/>
        <w:right w:val="none" w:sz="0" w:space="0" w:color="auto"/>
      </w:divBdr>
    </w:div>
    <w:div w:id="750933355">
      <w:bodyDiv w:val="1"/>
      <w:marLeft w:val="0"/>
      <w:marRight w:val="0"/>
      <w:marTop w:val="0"/>
      <w:marBottom w:val="0"/>
      <w:divBdr>
        <w:top w:val="none" w:sz="0" w:space="0" w:color="auto"/>
        <w:left w:val="none" w:sz="0" w:space="0" w:color="auto"/>
        <w:bottom w:val="none" w:sz="0" w:space="0" w:color="auto"/>
        <w:right w:val="none" w:sz="0" w:space="0" w:color="auto"/>
      </w:divBdr>
    </w:div>
    <w:div w:id="889418820">
      <w:bodyDiv w:val="1"/>
      <w:marLeft w:val="0"/>
      <w:marRight w:val="0"/>
      <w:marTop w:val="0"/>
      <w:marBottom w:val="0"/>
      <w:divBdr>
        <w:top w:val="none" w:sz="0" w:space="0" w:color="auto"/>
        <w:left w:val="none" w:sz="0" w:space="0" w:color="auto"/>
        <w:bottom w:val="none" w:sz="0" w:space="0" w:color="auto"/>
        <w:right w:val="none" w:sz="0" w:space="0" w:color="auto"/>
      </w:divBdr>
    </w:div>
    <w:div w:id="957833837">
      <w:bodyDiv w:val="1"/>
      <w:marLeft w:val="0"/>
      <w:marRight w:val="0"/>
      <w:marTop w:val="0"/>
      <w:marBottom w:val="0"/>
      <w:divBdr>
        <w:top w:val="none" w:sz="0" w:space="0" w:color="auto"/>
        <w:left w:val="none" w:sz="0" w:space="0" w:color="auto"/>
        <w:bottom w:val="none" w:sz="0" w:space="0" w:color="auto"/>
        <w:right w:val="none" w:sz="0" w:space="0" w:color="auto"/>
      </w:divBdr>
    </w:div>
    <w:div w:id="1189492434">
      <w:bodyDiv w:val="1"/>
      <w:marLeft w:val="0"/>
      <w:marRight w:val="0"/>
      <w:marTop w:val="0"/>
      <w:marBottom w:val="0"/>
      <w:divBdr>
        <w:top w:val="none" w:sz="0" w:space="0" w:color="auto"/>
        <w:left w:val="none" w:sz="0" w:space="0" w:color="auto"/>
        <w:bottom w:val="none" w:sz="0" w:space="0" w:color="auto"/>
        <w:right w:val="none" w:sz="0" w:space="0" w:color="auto"/>
      </w:divBdr>
    </w:div>
    <w:div w:id="1348097746">
      <w:bodyDiv w:val="1"/>
      <w:marLeft w:val="0"/>
      <w:marRight w:val="0"/>
      <w:marTop w:val="0"/>
      <w:marBottom w:val="0"/>
      <w:divBdr>
        <w:top w:val="none" w:sz="0" w:space="0" w:color="auto"/>
        <w:left w:val="none" w:sz="0" w:space="0" w:color="auto"/>
        <w:bottom w:val="none" w:sz="0" w:space="0" w:color="auto"/>
        <w:right w:val="none" w:sz="0" w:space="0" w:color="auto"/>
      </w:divBdr>
    </w:div>
    <w:div w:id="1363433268">
      <w:bodyDiv w:val="1"/>
      <w:marLeft w:val="0"/>
      <w:marRight w:val="0"/>
      <w:marTop w:val="0"/>
      <w:marBottom w:val="0"/>
      <w:divBdr>
        <w:top w:val="none" w:sz="0" w:space="0" w:color="auto"/>
        <w:left w:val="none" w:sz="0" w:space="0" w:color="auto"/>
        <w:bottom w:val="none" w:sz="0" w:space="0" w:color="auto"/>
        <w:right w:val="none" w:sz="0" w:space="0" w:color="auto"/>
      </w:divBdr>
    </w:div>
    <w:div w:id="1448618271">
      <w:bodyDiv w:val="1"/>
      <w:marLeft w:val="0"/>
      <w:marRight w:val="0"/>
      <w:marTop w:val="0"/>
      <w:marBottom w:val="0"/>
      <w:divBdr>
        <w:top w:val="none" w:sz="0" w:space="0" w:color="auto"/>
        <w:left w:val="none" w:sz="0" w:space="0" w:color="auto"/>
        <w:bottom w:val="none" w:sz="0" w:space="0" w:color="auto"/>
        <w:right w:val="none" w:sz="0" w:space="0" w:color="auto"/>
      </w:divBdr>
    </w:div>
    <w:div w:id="1455321031">
      <w:bodyDiv w:val="1"/>
      <w:marLeft w:val="0"/>
      <w:marRight w:val="0"/>
      <w:marTop w:val="0"/>
      <w:marBottom w:val="0"/>
      <w:divBdr>
        <w:top w:val="none" w:sz="0" w:space="0" w:color="auto"/>
        <w:left w:val="none" w:sz="0" w:space="0" w:color="auto"/>
        <w:bottom w:val="none" w:sz="0" w:space="0" w:color="auto"/>
        <w:right w:val="none" w:sz="0" w:space="0" w:color="auto"/>
      </w:divBdr>
    </w:div>
    <w:div w:id="1570655534">
      <w:bodyDiv w:val="1"/>
      <w:marLeft w:val="0"/>
      <w:marRight w:val="0"/>
      <w:marTop w:val="0"/>
      <w:marBottom w:val="0"/>
      <w:divBdr>
        <w:top w:val="none" w:sz="0" w:space="0" w:color="auto"/>
        <w:left w:val="none" w:sz="0" w:space="0" w:color="auto"/>
        <w:bottom w:val="none" w:sz="0" w:space="0" w:color="auto"/>
        <w:right w:val="none" w:sz="0" w:space="0" w:color="auto"/>
      </w:divBdr>
    </w:div>
    <w:div w:id="1672023282">
      <w:bodyDiv w:val="1"/>
      <w:marLeft w:val="0"/>
      <w:marRight w:val="0"/>
      <w:marTop w:val="0"/>
      <w:marBottom w:val="0"/>
      <w:divBdr>
        <w:top w:val="none" w:sz="0" w:space="0" w:color="auto"/>
        <w:left w:val="none" w:sz="0" w:space="0" w:color="auto"/>
        <w:bottom w:val="none" w:sz="0" w:space="0" w:color="auto"/>
        <w:right w:val="none" w:sz="0" w:space="0" w:color="auto"/>
      </w:divBdr>
    </w:div>
    <w:div w:id="1697462732">
      <w:bodyDiv w:val="1"/>
      <w:marLeft w:val="0"/>
      <w:marRight w:val="0"/>
      <w:marTop w:val="0"/>
      <w:marBottom w:val="0"/>
      <w:divBdr>
        <w:top w:val="none" w:sz="0" w:space="0" w:color="auto"/>
        <w:left w:val="none" w:sz="0" w:space="0" w:color="auto"/>
        <w:bottom w:val="none" w:sz="0" w:space="0" w:color="auto"/>
        <w:right w:val="none" w:sz="0" w:space="0" w:color="auto"/>
      </w:divBdr>
    </w:div>
    <w:div w:id="1876623894">
      <w:bodyDiv w:val="1"/>
      <w:marLeft w:val="0"/>
      <w:marRight w:val="0"/>
      <w:marTop w:val="0"/>
      <w:marBottom w:val="0"/>
      <w:divBdr>
        <w:top w:val="none" w:sz="0" w:space="0" w:color="auto"/>
        <w:left w:val="none" w:sz="0" w:space="0" w:color="auto"/>
        <w:bottom w:val="none" w:sz="0" w:space="0" w:color="auto"/>
        <w:right w:val="none" w:sz="0" w:space="0" w:color="auto"/>
      </w:divBdr>
    </w:div>
    <w:div w:id="1968197724">
      <w:bodyDiv w:val="1"/>
      <w:marLeft w:val="0"/>
      <w:marRight w:val="0"/>
      <w:marTop w:val="0"/>
      <w:marBottom w:val="0"/>
      <w:divBdr>
        <w:top w:val="none" w:sz="0" w:space="0" w:color="auto"/>
        <w:left w:val="none" w:sz="0" w:space="0" w:color="auto"/>
        <w:bottom w:val="none" w:sz="0" w:space="0" w:color="auto"/>
        <w:right w:val="none" w:sz="0" w:space="0" w:color="auto"/>
      </w:divBdr>
    </w:div>
    <w:div w:id="1968899051">
      <w:bodyDiv w:val="1"/>
      <w:marLeft w:val="0"/>
      <w:marRight w:val="0"/>
      <w:marTop w:val="0"/>
      <w:marBottom w:val="0"/>
      <w:divBdr>
        <w:top w:val="none" w:sz="0" w:space="0" w:color="auto"/>
        <w:left w:val="none" w:sz="0" w:space="0" w:color="auto"/>
        <w:bottom w:val="none" w:sz="0" w:space="0" w:color="auto"/>
        <w:right w:val="none" w:sz="0" w:space="0" w:color="auto"/>
      </w:divBdr>
    </w:div>
    <w:div w:id="1993485502">
      <w:bodyDiv w:val="1"/>
      <w:marLeft w:val="0"/>
      <w:marRight w:val="0"/>
      <w:marTop w:val="0"/>
      <w:marBottom w:val="0"/>
      <w:divBdr>
        <w:top w:val="none" w:sz="0" w:space="0" w:color="auto"/>
        <w:left w:val="none" w:sz="0" w:space="0" w:color="auto"/>
        <w:bottom w:val="none" w:sz="0" w:space="0" w:color="auto"/>
        <w:right w:val="none" w:sz="0" w:space="0" w:color="auto"/>
      </w:divBdr>
    </w:div>
    <w:div w:id="205542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18/07/17/categorical-imperative-innovation-patenting/id=99178/" TargetMode="External"/><Relationship Id="rId13" Type="http://schemas.openxmlformats.org/officeDocument/2006/relationships/hyperlink" Target="https://www.ncbi.nlm.nih.gov/pmc/articles/PMC8233014/"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www.ncbi.nlm.nih.gov/pmc/articles/PMC8233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www.ncbi.nlm.nih.gov/pmc/articles/PMC8233014/" TargetMode="External"/><Relationship Id="rId5" Type="http://schemas.openxmlformats.org/officeDocument/2006/relationships/webSettings" Target="webSettings.xml"/><Relationship Id="rId15" Type="http://schemas.openxmlformats.org/officeDocument/2006/relationships/hyperlink" Target="https://www.ncbi.nlm.nih.gov/pmc/articles/PMC8233014/" TargetMode="Externa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ncbi.nlm.nih.gov/pmc/articles/PMC82330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9186</Words>
  <Characters>52363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2021-09-18T19:35:00Z</dcterms:created>
  <dcterms:modified xsi:type="dcterms:W3CDTF">2021-09-18T20:21:00Z</dcterms:modified>
</cp:coreProperties>
</file>