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B0D4" w14:textId="2BD645BB" w:rsidR="00A95652" w:rsidRDefault="00DF79E6" w:rsidP="00DF79E6">
      <w:pPr>
        <w:pStyle w:val="Heading1"/>
      </w:pPr>
      <w:r>
        <w:t>Loyola R3 – 1AC v Immaculate Heart BC</w:t>
      </w:r>
    </w:p>
    <w:p w14:paraId="03811561" w14:textId="324BE78A" w:rsidR="00DF79E6" w:rsidRDefault="00DF79E6" w:rsidP="00DF79E6">
      <w:pPr>
        <w:pStyle w:val="Heading3"/>
      </w:pPr>
      <w:r>
        <w:t>Framing</w:t>
      </w:r>
    </w:p>
    <w:p w14:paraId="5E9E4820" w14:textId="493EA65D" w:rsidR="00DF79E6" w:rsidRDefault="00DF79E6" w:rsidP="00DF79E6">
      <w:pPr>
        <w:pStyle w:val="Heading4"/>
      </w:pPr>
      <w:r>
        <w:t>Practical reason constrains everything:</w:t>
      </w:r>
    </w:p>
    <w:p w14:paraId="7941D627" w14:textId="77777777" w:rsidR="00DF79E6" w:rsidRDefault="00DF79E6" w:rsidP="00DF79E6">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6DC190E6" w14:textId="77777777" w:rsidR="00DF79E6" w:rsidRDefault="00DF79E6" w:rsidP="00DF79E6">
      <w:pPr>
        <w:pStyle w:val="Heading4"/>
      </w:pPr>
      <w:r>
        <w:t>[2] Epistemology – rational deliberation of educational concepts is necessary to interpret other arguments since it’s a prerequisite to interpreting epistemological concepts and it’s the terminal impact of debate as education is the only portable impact.</w:t>
      </w:r>
    </w:p>
    <w:p w14:paraId="35E0B5C6" w14:textId="072BBB94" w:rsidR="00DF79E6" w:rsidRDefault="00DF79E6" w:rsidP="00DF79E6">
      <w:pPr>
        <w:pStyle w:val="Heading4"/>
      </w:pPr>
      <w:r>
        <w:t>[3] Procedure – reason is a side constraint on debate since otherwise we can’t refute – responding to this concedes the authority of reason since you’re reasoning via logical deliberation.</w:t>
      </w:r>
    </w:p>
    <w:p w14:paraId="08AA4E44" w14:textId="77777777" w:rsidR="00DF79E6" w:rsidRDefault="00DF79E6" w:rsidP="00DF79E6">
      <w:pPr>
        <w:pStyle w:val="Heading4"/>
      </w:pPr>
      <w:r>
        <w:t>Freedom follows:</w:t>
      </w:r>
    </w:p>
    <w:p w14:paraId="0889384F" w14:textId="77777777" w:rsidR="00DF79E6" w:rsidRPr="00072934" w:rsidRDefault="00DF79E6" w:rsidP="00DF79E6">
      <w:pPr>
        <w:pStyle w:val="Heading4"/>
      </w:pPr>
      <w:r>
        <w:t>[1] W</w:t>
      </w:r>
      <w:r w:rsidRPr="00072934">
        <w:t xml:space="preserve">e could not hold agents responsible for their actions if we did not assume them to have the freedom to control their actions for themselves. </w:t>
      </w:r>
    </w:p>
    <w:p w14:paraId="1341EB9E" w14:textId="77777777" w:rsidR="00DF79E6" w:rsidRPr="00072934" w:rsidRDefault="00DF79E6" w:rsidP="00DF79E6">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any and all events that happened before we decided to do something were part of our free action</w:t>
      </w:r>
      <w:r>
        <w:t xml:space="preserve"> which is incoherent.</w:t>
      </w:r>
    </w:p>
    <w:p w14:paraId="62F8D9B9" w14:textId="77777777" w:rsidR="00DF79E6" w:rsidRDefault="00DF79E6" w:rsidP="00DF79E6">
      <w:pPr>
        <w:pStyle w:val="Heading4"/>
      </w:pPr>
      <w:r>
        <w:t>Moral law follows – i</w:t>
      </w:r>
      <w:r w:rsidRPr="00072934">
        <w:t xml:space="preserve">t </w:t>
      </w:r>
      <w:r>
        <w:t>stems uniquely from reason and not from empiricism. That outweighs – a) i</w:t>
      </w:r>
      <w:r w:rsidRPr="00072934">
        <w:t>f morality were based on things like desires then it would be imposed on us from the outside and we could not be said to be free</w:t>
      </w:r>
      <w:r>
        <w:t xml:space="preserve"> b) anything else is non-binding and arbitrary since empiricism is always subject to change, i.e. my hair is brown is a true statement but it could be false in a week c) an evil demon could deceive us or we could be dreaming which proves the only viable metric to guide action begins a priori d) past experiences have no effect on causality or internal link to continuity, i.e. raining yesterday doesn’t mean rain today.</w:t>
      </w:r>
    </w:p>
    <w:p w14:paraId="7FC5796D" w14:textId="77777777" w:rsidR="00DF79E6" w:rsidRDefault="00DF79E6" w:rsidP="00DF79E6">
      <w:pPr>
        <w:pStyle w:val="Heading4"/>
      </w:pPr>
      <w:r>
        <w:t>Duty of right is impossible in state of nature:</w:t>
      </w:r>
    </w:p>
    <w:p w14:paraId="55D04807" w14:textId="77777777" w:rsidR="00DF79E6" w:rsidRPr="00B23C42" w:rsidRDefault="00DF79E6" w:rsidP="00DF79E6">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32681115" w14:textId="77777777" w:rsidR="00DF79E6" w:rsidRDefault="00DF79E6" w:rsidP="00DF79E6">
      <w:pPr>
        <w:pStyle w:val="Heading4"/>
      </w:pPr>
      <w:r w:rsidRPr="00B23C42">
        <w:t xml:space="preserve">[2] </w:t>
      </w:r>
      <w:r>
        <w:t>Claims to freedom and property are solely to peer discretion since empirical features of compliance are temporal and nonbinding – only the unification of will solves.</w:t>
      </w:r>
    </w:p>
    <w:p w14:paraId="5D64129E" w14:textId="2CA223B7" w:rsidR="00DF79E6" w:rsidRDefault="00DF79E6" w:rsidP="00DF79E6">
      <w:pPr>
        <w:pStyle w:val="Heading4"/>
      </w:pPr>
      <w:r>
        <w:t xml:space="preserve">Thus, the standard is consistency with the </w:t>
      </w:r>
      <w:r w:rsidR="00621A01">
        <w:t>categorical imperative</w:t>
      </w:r>
      <w:r>
        <w:t>. Prefer additionally:</w:t>
      </w:r>
    </w:p>
    <w:p w14:paraId="632B15E2" w14:textId="3388919F" w:rsidR="00DF79E6" w:rsidRDefault="00DF79E6" w:rsidP="00DF79E6">
      <w:pPr>
        <w:pStyle w:val="Heading4"/>
      </w:pPr>
      <w:r>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19475535" w14:textId="4993F62A" w:rsidR="00EB53B5" w:rsidRPr="00EB53B5" w:rsidRDefault="00EB53B5" w:rsidP="00EB53B5">
      <w:pPr>
        <w:pStyle w:val="Heading4"/>
      </w:pPr>
      <w:r w:rsidRPr="00A20754">
        <w:t>[</w:t>
      </w:r>
      <w:r>
        <w:t>2</w:t>
      </w:r>
      <w:r w:rsidRPr="00A20754">
        <w:t xml:space="preserve">] Weighing practices is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w:t>
      </w:r>
    </w:p>
    <w:p w14:paraId="06F35AD1" w14:textId="7CDD1C4F" w:rsidR="00DF79E6" w:rsidRDefault="00DF79E6" w:rsidP="00DF79E6">
      <w:pPr>
        <w:rPr>
          <w:rFonts w:eastAsia="Times New Roman"/>
          <w:b/>
          <w:bCs/>
          <w:color w:val="000000" w:themeColor="text1"/>
          <w:sz w:val="26"/>
          <w:szCs w:val="26"/>
        </w:rPr>
      </w:pPr>
      <w:r>
        <w:rPr>
          <w:rFonts w:eastAsia="Times New Roman"/>
          <w:b/>
          <w:bCs/>
          <w:color w:val="000000" w:themeColor="text1"/>
          <w:sz w:val="26"/>
          <w:szCs w:val="26"/>
        </w:rPr>
        <w:t>[</w:t>
      </w:r>
      <w:r w:rsidR="00EB53B5">
        <w:rPr>
          <w:rFonts w:eastAsia="Times New Roman"/>
          <w:b/>
          <w:bCs/>
          <w:color w:val="000000" w:themeColor="text1"/>
          <w:sz w:val="26"/>
          <w:szCs w:val="26"/>
        </w:rPr>
        <w:t>3</w:t>
      </w:r>
      <w:r>
        <w:rPr>
          <w:rFonts w:eastAsia="Times New Roman"/>
          <w:b/>
          <w:bCs/>
          <w:color w:val="000000" w:themeColor="text1"/>
          <w:sz w:val="26"/>
          <w:szCs w:val="26"/>
        </w:rPr>
        <w:t xml:space="preserve">] </w:t>
      </w:r>
      <w:r w:rsidRPr="008E4C26">
        <w:rPr>
          <w:rFonts w:eastAsia="Times New Roman"/>
          <w:b/>
          <w:bCs/>
          <w:color w:val="000000" w:themeColor="text1"/>
          <w:sz w:val="26"/>
          <w:szCs w:val="26"/>
        </w:rPr>
        <w:t>Consequences fail</w:t>
      </w:r>
      <w:r w:rsidRPr="00C9416D">
        <w:rPr>
          <w:rFonts w:eastAsia="Times New Roman"/>
          <w:b/>
          <w:bCs/>
          <w:color w:val="000000" w:themeColor="text1"/>
          <w:sz w:val="26"/>
          <w:szCs w:val="26"/>
        </w:rPr>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6A436764" w14:textId="441A695A" w:rsidR="00AD74E3" w:rsidRPr="00621A01" w:rsidRDefault="00AD74E3" w:rsidP="00621A01">
      <w:pPr>
        <w:pStyle w:val="Heading4"/>
        <w:rPr>
          <w:color w:val="000000" w:themeColor="text1"/>
        </w:rPr>
      </w:pPr>
      <w:r>
        <w:t xml:space="preserve">[4] </w:t>
      </w:r>
      <w:r>
        <w:rPr>
          <w:color w:val="000000" w:themeColor="text1"/>
        </w:rPr>
        <w:t>W</w:t>
      </w:r>
      <w:r w:rsidRPr="00C434C3">
        <w:rPr>
          <w:color w:val="000000" w:themeColor="text1"/>
        </w:rPr>
        <w:t xml:space="preserve">hat the neg reads doesn’t prove the resolution false but challenges an assumption of it. </w:t>
      </w:r>
      <w:r>
        <w:rPr>
          <w:color w:val="000000" w:themeColor="text1"/>
        </w:rPr>
        <w:t>S</w:t>
      </w:r>
      <w:r w:rsidRPr="00C434C3">
        <w:rPr>
          <w:color w:val="000000" w:themeColor="text1"/>
        </w:rPr>
        <w:t xml:space="preserve">tatements which make assumptions like the resolution should be read as a tacit conditional which is an if p then q statement. </w:t>
      </w:r>
      <w:r>
        <w:rPr>
          <w:color w:val="000000" w:themeColor="text1"/>
        </w:rPr>
        <w:t>For</w:t>
      </w:r>
      <w:r w:rsidRPr="00C434C3">
        <w:rPr>
          <w:color w:val="000000" w:themeColor="text1"/>
        </w:rPr>
        <w:t xml:space="preserve"> all conditionals, if the antecedent is false, then the conditional as a whole is true.</w:t>
      </w:r>
    </w:p>
    <w:p w14:paraId="0533BA62" w14:textId="77777777" w:rsidR="00AD74E3" w:rsidRDefault="00AD74E3" w:rsidP="00AD74E3">
      <w:pPr>
        <w:pStyle w:val="Heading3"/>
      </w:pPr>
      <w:r>
        <w:t>Advocacy</w:t>
      </w:r>
    </w:p>
    <w:p w14:paraId="0EF4A557" w14:textId="104F2D0A" w:rsidR="00AD74E3" w:rsidRPr="00EB53B5" w:rsidRDefault="00AD74E3" w:rsidP="00EB53B5">
      <w:pPr>
        <w:pStyle w:val="Heading4"/>
        <w:rPr>
          <w:rFonts w:cs="Calibri"/>
        </w:rPr>
      </w:pPr>
      <w:r w:rsidRPr="00976E44">
        <w:rPr>
          <w:rFonts w:cs="Calibri"/>
        </w:rPr>
        <w:t>Plan text: The member nations of the World Trade Organization ought to reduce intellectual property protections for medicines during pandemics.</w:t>
      </w:r>
      <w:r w:rsidR="00EB53B5" w:rsidRPr="00EB53B5">
        <w:rPr>
          <w:rFonts w:cs="Calibri"/>
        </w:rPr>
        <w:t xml:space="preserve"> </w:t>
      </w:r>
      <w:r w:rsidR="00EB53B5" w:rsidRPr="005B0098">
        <w:rPr>
          <w:rFonts w:cs="Calibri"/>
        </w:rPr>
        <w:t>CPs</w:t>
      </w:r>
      <w:r w:rsidR="00EB53B5">
        <w:rPr>
          <w:rFonts w:cs="Calibri"/>
        </w:rPr>
        <w:t>, Ks,</w:t>
      </w:r>
      <w:r w:rsidR="00EB53B5" w:rsidRPr="005B0098">
        <w:rPr>
          <w:rFonts w:cs="Calibri"/>
        </w:rPr>
        <w:t xml:space="preserve"> and PICs affirm</w:t>
      </w:r>
      <w:r w:rsidR="00EB53B5">
        <w:rPr>
          <w:rFonts w:cs="Calibri"/>
        </w:rPr>
        <w:t xml:space="preserve"> </w:t>
      </w:r>
      <w:r w:rsidR="00EB53B5" w:rsidRPr="005B0098">
        <w:rPr>
          <w:rFonts w:cs="Calibri"/>
        </w:rPr>
        <w:t>because they do not disprove my general thesis</w:t>
      </w:r>
      <w:r w:rsidR="00EB53B5">
        <w:rPr>
          <w:rFonts w:cs="Calibri"/>
        </w:rPr>
        <w:t>.</w:t>
      </w:r>
    </w:p>
    <w:p w14:paraId="5A77B1FA" w14:textId="77777777" w:rsidR="00AD74E3" w:rsidRPr="00976E44" w:rsidRDefault="00AD74E3" w:rsidP="00AD74E3">
      <w:pPr>
        <w:pStyle w:val="Heading4"/>
        <w:rPr>
          <w:rFonts w:cs="Calibri"/>
        </w:rPr>
      </w:pPr>
      <w:r>
        <w:rPr>
          <w:rFonts w:cs="Calibri"/>
        </w:rPr>
        <w:t>Here’s spec – en</w:t>
      </w:r>
      <w:r w:rsidRPr="00976E44">
        <w:rPr>
          <w:rFonts w:cs="Calibri"/>
        </w:rPr>
        <w:t xml:space="preserve">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3CF3A694" w14:textId="77777777" w:rsidR="00AD74E3" w:rsidRPr="00976E44" w:rsidRDefault="00AD74E3" w:rsidP="00AD74E3">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8" w:history="1">
        <w:r w:rsidRPr="00976E44">
          <w:rPr>
            <w:rStyle w:val="Hyperlink"/>
          </w:rPr>
          <w:t>https://www.ipwatchdog.com/2021/07/21/third-option-limited-ip-waiver-solve-pandemic-vaccine-problems/id=135732/</w:t>
        </w:r>
      </w:hyperlink>
      <w:r w:rsidRPr="00976E44">
        <w:t>] Justin</w:t>
      </w:r>
    </w:p>
    <w:p w14:paraId="6A4A3EAD" w14:textId="77777777" w:rsidR="00AD74E3" w:rsidRPr="00976E44" w:rsidRDefault="00AD74E3" w:rsidP="00AD74E3">
      <w:pPr>
        <w:rPr>
          <w:u w:val="single"/>
        </w:rPr>
      </w:pPr>
      <w:r w:rsidRPr="00976E44">
        <w:rPr>
          <w:highlight w:val="green"/>
          <w:u w:val="single"/>
        </w:rPr>
        <w:t>Limited Waiver</w:t>
      </w:r>
      <w:r w:rsidRPr="00976E44">
        <w:rPr>
          <w:u w:val="single"/>
        </w:rPr>
        <w:t xml:space="preserve"> Approach</w:t>
      </w:r>
    </w:p>
    <w:p w14:paraId="3D53548E" w14:textId="77777777" w:rsidR="00AD74E3" w:rsidRPr="00976E44" w:rsidRDefault="00AD74E3" w:rsidP="00AD74E3">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0DFA008" w14:textId="77777777" w:rsidR="00AD74E3" w:rsidRPr="00976E44" w:rsidRDefault="00AD74E3" w:rsidP="00AD74E3">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5E0B2194" w14:textId="77777777" w:rsidR="00AD74E3" w:rsidRPr="00976E44" w:rsidRDefault="00AD74E3" w:rsidP="00AD74E3">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6C142053" w14:textId="77777777" w:rsidR="00AD74E3" w:rsidRPr="00976E44" w:rsidRDefault="00AD74E3" w:rsidP="00AD74E3">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5B291021" w14:textId="77777777" w:rsidR="00AD74E3" w:rsidRPr="00976E44" w:rsidRDefault="00AD74E3" w:rsidP="00AD74E3">
      <w:pPr>
        <w:rPr>
          <w:sz w:val="16"/>
        </w:rPr>
      </w:pPr>
      <w:r w:rsidRPr="00976E44">
        <w:rPr>
          <w:sz w:val="16"/>
        </w:rPr>
        <w:t>Let’s Not Repeat Past Mistakes</w:t>
      </w:r>
    </w:p>
    <w:p w14:paraId="515CA51E" w14:textId="77777777" w:rsidR="00AD74E3" w:rsidRPr="00976E44" w:rsidRDefault="00AD74E3" w:rsidP="00AD74E3">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6A3755A6" w14:textId="77777777" w:rsidR="00AD74E3" w:rsidRDefault="00AD74E3" w:rsidP="00AD74E3">
      <w:pPr>
        <w:pStyle w:val="Heading3"/>
      </w:pPr>
      <w:r>
        <w:t>Offense</w:t>
      </w:r>
    </w:p>
    <w:p w14:paraId="67DDB4C4" w14:textId="77777777" w:rsidR="00AD74E3" w:rsidRPr="00305C79" w:rsidRDefault="00AD74E3" w:rsidP="00AD74E3">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3F6CBFE2" w14:textId="77777777" w:rsidR="00AD74E3" w:rsidRPr="00305C79" w:rsidRDefault="00AD74E3" w:rsidP="00AD74E3">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4A0A2488" w14:textId="77777777" w:rsidR="00AD74E3" w:rsidRPr="00305C79" w:rsidRDefault="00AD74E3" w:rsidP="00AD74E3">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r w:rsidRPr="00305C79">
        <w:rPr>
          <w:rStyle w:val="Emphasis"/>
        </w:rPr>
        <w:t>corporalis</w:t>
      </w:r>
      <w:proofErr w:type="spell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022850AC" w14:textId="77777777" w:rsidR="00AD74E3" w:rsidRPr="00305C79" w:rsidRDefault="00AD74E3" w:rsidP="00AD74E3"/>
    <w:p w14:paraId="5FAB931A" w14:textId="77777777" w:rsidR="00AD74E3" w:rsidRPr="00305C79" w:rsidRDefault="00AD74E3" w:rsidP="00AD74E3">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54372443" w14:textId="77777777" w:rsidR="00AD74E3" w:rsidRPr="00305C79" w:rsidRDefault="00AD74E3" w:rsidP="00AD74E3">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62770AAF" w14:textId="77777777" w:rsidR="00AD74E3" w:rsidRPr="00305C79" w:rsidRDefault="00AD74E3" w:rsidP="00AD74E3">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437F694D" w14:textId="77777777" w:rsidR="00DF79E6" w:rsidRDefault="00DF79E6" w:rsidP="00DF79E6">
      <w:pPr>
        <w:pStyle w:val="Heading3"/>
      </w:pPr>
      <w:r>
        <w:t>Underview</w:t>
      </w:r>
    </w:p>
    <w:p w14:paraId="09F78871" w14:textId="77777777" w:rsidR="00DF79E6" w:rsidRDefault="00DF79E6" w:rsidP="00DF79E6">
      <w:pPr>
        <w:keepNext/>
        <w:keepLines/>
        <w:spacing w:before="40"/>
        <w:jc w:val="both"/>
        <w:outlineLvl w:val="3"/>
        <w:rPr>
          <w:b/>
          <w:bCs/>
          <w:color w:val="000000" w:themeColor="text1"/>
          <w:sz w:val="26"/>
          <w:szCs w:val="26"/>
        </w:rPr>
      </w:pPr>
      <w:r w:rsidRPr="001B739F">
        <w:rPr>
          <w:b/>
          <w:bCs/>
          <w:color w:val="000000" w:themeColor="text1"/>
          <w:sz w:val="26"/>
          <w:szCs w:val="26"/>
        </w:rPr>
        <w:t>[</w:t>
      </w:r>
      <w:r>
        <w:rPr>
          <w:b/>
          <w:bCs/>
          <w:color w:val="000000" w:themeColor="text1"/>
          <w:sz w:val="26"/>
          <w:szCs w:val="26"/>
        </w:rPr>
        <w:t>1</w:t>
      </w:r>
      <w:r w:rsidRPr="001B739F">
        <w:rPr>
          <w:b/>
          <w:bCs/>
          <w:color w:val="000000" w:themeColor="text1"/>
          <w:sz w:val="26"/>
          <w:szCs w:val="26"/>
        </w:rPr>
        <w:t xml:space="preserve">] Aff gets 1AR theory and RVIs – otherwise the neg can be infinitely abusive and there’s no way to check against this </w:t>
      </w:r>
    </w:p>
    <w:p w14:paraId="783A05E1" w14:textId="7EE8473A" w:rsidR="00DF79E6" w:rsidRDefault="00DF79E6" w:rsidP="00DF79E6">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xml:space="preserve">,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sidR="00DC4E4F">
        <w:rPr>
          <w:b/>
          <w:bCs/>
          <w:color w:val="000000" w:themeColor="text1"/>
          <w:sz w:val="26"/>
          <w:szCs w:val="26"/>
        </w:rPr>
        <w:t xml:space="preserve"> which justifies evaluating the debate after the 1AR to alleviate time skew</w:t>
      </w:r>
      <w:r>
        <w:rPr>
          <w:b/>
          <w:bCs/>
          <w:color w:val="000000" w:themeColor="text1"/>
          <w:sz w:val="26"/>
          <w:szCs w:val="26"/>
        </w:rPr>
        <w:t xml:space="preserve">,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650076BB" w14:textId="5E53E988" w:rsidR="00DF79E6" w:rsidRDefault="00DF79E6" w:rsidP="00DF79E6">
      <w:pPr>
        <w:pStyle w:val="Heading4"/>
      </w:pPr>
      <w:r>
        <w:t>No new 2NR responses – it leads to infinite sandbagging and avoids clash since they have 6 minutes – also infinite abuse since the short 1AR is premised off 1NC concessions</w:t>
      </w:r>
      <w:r w:rsidR="00EB53B5">
        <w:t>.</w:t>
      </w:r>
    </w:p>
    <w:p w14:paraId="5DD7D6A6" w14:textId="6A4ED038" w:rsidR="00DF79E6" w:rsidRPr="003F7368" w:rsidRDefault="00AD74E3" w:rsidP="00DF79E6">
      <w:pPr>
        <w:pStyle w:val="Heading4"/>
      </w:pPr>
      <w:r>
        <w:t>[</w:t>
      </w:r>
      <w:r w:rsidR="00DF79E6">
        <w:t>2</w:t>
      </w:r>
      <w:r w:rsidR="00DF79E6" w:rsidRPr="003F7368">
        <w:t>] Presumption and permissibility affirm –</w:t>
      </w:r>
    </w:p>
    <w:p w14:paraId="3C527BAA" w14:textId="77777777" w:rsidR="00DF79E6" w:rsidRPr="003F7368" w:rsidRDefault="00DF79E6" w:rsidP="00DF79E6">
      <w:pPr>
        <w:pStyle w:val="Heading4"/>
      </w:pPr>
      <w:r w:rsidRPr="003F7368">
        <w:t xml:space="preserve">A] We always default to assuming something true until proven false </w:t>
      </w:r>
      <w:proofErr w:type="spellStart"/>
      <w:proofErr w:type="gramStart"/>
      <w:r w:rsidRPr="003F7368">
        <w:t>ie</w:t>
      </w:r>
      <w:proofErr w:type="spellEnd"/>
      <w:proofErr w:type="gramEnd"/>
      <w:r w:rsidRPr="003F7368">
        <w:t xml:space="preserve"> if I told you my name is </w:t>
      </w:r>
      <w:r>
        <w:t>Jarvis</w:t>
      </w:r>
      <w:r w:rsidRPr="003F7368">
        <w:t xml:space="preserve"> you would believe me </w:t>
      </w:r>
    </w:p>
    <w:p w14:paraId="435F0F09" w14:textId="77777777" w:rsidR="00DF79E6" w:rsidRPr="003F7368" w:rsidRDefault="00DF79E6" w:rsidP="00DF79E6">
      <w:pPr>
        <w:pStyle w:val="Heading4"/>
      </w:pPr>
      <w:r w:rsidRPr="003F7368">
        <w:t xml:space="preserve">B] If agents have to justify why every action is morally </w:t>
      </w:r>
      <w:proofErr w:type="gramStart"/>
      <w:r w:rsidRPr="003F7368">
        <w:t>good</w:t>
      </w:r>
      <w:proofErr w:type="gramEnd"/>
      <w:r w:rsidRPr="003F7368">
        <w:t xml:space="preserve"> we would have to justify actions that are morally neutral i</w:t>
      </w:r>
      <w:r>
        <w:t>.</w:t>
      </w:r>
      <w:r w:rsidRPr="003F7368">
        <w:t>e</w:t>
      </w:r>
      <w:r>
        <w:t>.</w:t>
      </w:r>
      <w:r w:rsidRPr="003F7368">
        <w:t xml:space="preserve"> drinking water </w:t>
      </w:r>
    </w:p>
    <w:p w14:paraId="3D3C0B04" w14:textId="4BED1387" w:rsidR="00DF79E6" w:rsidRDefault="00DF79E6" w:rsidP="00AD74E3">
      <w:pPr>
        <w:pStyle w:val="Heading4"/>
      </w:pPr>
      <w:r w:rsidRPr="003F7368">
        <w:t xml:space="preserve">C] Lack of offense means it’s ok to do something, but it’s never okay to do something which is prohibited which means that the neg has to win offense. </w:t>
      </w:r>
    </w:p>
    <w:p w14:paraId="7ACCB613" w14:textId="77777777" w:rsidR="009D5A64" w:rsidRDefault="00AD74E3" w:rsidP="00AD74E3">
      <w:pPr>
        <w:pStyle w:val="Heading4"/>
      </w:pPr>
      <w:r>
        <w:rPr>
          <w:rFonts w:cs="Calibri"/>
          <w:color w:val="000000" w:themeColor="text1"/>
        </w:rPr>
        <w:t xml:space="preserve">[3] </w:t>
      </w:r>
      <w:r>
        <w:t xml:space="preserve">The role of the ballot is to determine whether the resolution is a </w:t>
      </w:r>
      <w:r w:rsidRPr="00C909F0">
        <w:rPr>
          <w:u w:val="single"/>
        </w:rPr>
        <w:t>true or false statemen</w:t>
      </w:r>
      <w:r>
        <w:rPr>
          <w:u w:val="single"/>
        </w:rPr>
        <w:t>t</w:t>
      </w:r>
      <w:r w:rsidRPr="00C909F0">
        <w:t xml:space="preserve"> –</w:t>
      </w:r>
      <w:r w:rsidRPr="002B6844">
        <w:t xml:space="preserve"> </w:t>
      </w:r>
      <w:r>
        <w:t xml:space="preserve">anything else </w:t>
      </w:r>
      <w:r w:rsidRPr="00C909F0">
        <w:rPr>
          <w:u w:val="single"/>
        </w:rPr>
        <w:t xml:space="preserve">moots </w:t>
      </w:r>
      <w:r>
        <w:rPr>
          <w:u w:val="single"/>
        </w:rPr>
        <w:t>6</w:t>
      </w:r>
      <w:r w:rsidRPr="00C909F0">
        <w:rPr>
          <w:u w:val="single"/>
        </w:rPr>
        <w:t xml:space="preserve"> minutes</w:t>
      </w:r>
      <w:r>
        <w:t xml:space="preserve"> of the AC </w:t>
      </w:r>
      <w:r w:rsidRPr="000B5BC5">
        <w:t xml:space="preserve">and exacerbates the fact that they get </w:t>
      </w:r>
      <w:r>
        <w:t>a reactivity advantage</w:t>
      </w:r>
      <w:r w:rsidRPr="000B5BC5">
        <w:t xml:space="preserve"> since I should be able to compensate by choosing</w:t>
      </w:r>
      <w:r>
        <w:t>, which also applies to the standard</w:t>
      </w:r>
      <w:r w:rsidR="00DC4E4F">
        <w:t xml:space="preserve">. </w:t>
      </w:r>
    </w:p>
    <w:p w14:paraId="5A4F9666" w14:textId="686160D5" w:rsidR="00AD74E3" w:rsidRDefault="00DC4E4F" w:rsidP="00AD74E3">
      <w:pPr>
        <w:pStyle w:val="Heading4"/>
      </w:pPr>
      <w:r>
        <w:t>Resolved means firmly determined which I am so vote aff</w:t>
      </w:r>
      <w:r w:rsidR="00AD74E3">
        <w:t>:</w:t>
      </w:r>
    </w:p>
    <w:p w14:paraId="1167D146" w14:textId="4E2D570F" w:rsidR="00EB53B5" w:rsidRPr="00DC4E4F" w:rsidRDefault="00EB53B5" w:rsidP="00EB53B5">
      <w:pPr>
        <w:pStyle w:val="Heading4"/>
      </w:pPr>
      <w:r w:rsidRPr="00E1331E">
        <w:rPr>
          <w:rFonts w:eastAsia="Calibri" w:cs="Calibri"/>
          <w:color w:val="000000"/>
        </w:rPr>
        <w:t>[</w:t>
      </w:r>
      <w:r>
        <w:rPr>
          <w:rFonts w:eastAsia="Calibri" w:cs="Calibri"/>
          <w:color w:val="000000"/>
        </w:rPr>
        <w:t>A</w:t>
      </w:r>
      <w:r w:rsidRPr="00E1331E">
        <w:rPr>
          <w:rFonts w:eastAsia="Calibri" w:cs="Calibri"/>
          <w:color w:val="000000"/>
        </w:rPr>
        <w:t>] Inclusion:</w:t>
      </w:r>
      <w:r w:rsidRPr="00E1331E">
        <w:rPr>
          <w:rFonts w:eastAsia="Calibri" w:cs="Calibri"/>
          <w:b w:val="0"/>
          <w:color w:val="000000"/>
        </w:rPr>
        <w:t xml:space="preserve"> </w:t>
      </w:r>
      <w:r w:rsidRPr="00E1331E">
        <w:rPr>
          <w:rFonts w:eastAsia="Calibri" w:cs="Calibri"/>
          <w:color w:val="000000"/>
        </w:rPr>
        <w:t xml:space="preserve">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w:t>
      </w:r>
      <w:proofErr w:type="gramStart"/>
      <w:r w:rsidRPr="00E1331E">
        <w:rPr>
          <w:rFonts w:eastAsia="Calibri" w:cs="Calibri"/>
          <w:color w:val="000000"/>
        </w:rPr>
        <w:t>exclude</w:t>
      </w:r>
      <w:proofErr w:type="gramEnd"/>
      <w:r w:rsidRPr="00E1331E">
        <w:rPr>
          <w:rFonts w:eastAsia="Calibri" w:cs="Calibri"/>
          <w:color w:val="000000"/>
        </w:rPr>
        <w:t xml:space="preserve"> all offense besides those that follow from their framework which shuts out people without the technical skill or resources to prep for it.</w:t>
      </w:r>
      <w:r w:rsidR="00DC4E4F" w:rsidRPr="00DC4E4F">
        <w:t xml:space="preserve"> </w:t>
      </w:r>
      <w:r w:rsidR="00DC4E4F">
        <w:t xml:space="preserve">Additionally, in order to prove the aff false, you must presume it is true and respond to that presumption, which concedes the authority of the </w:t>
      </w:r>
      <w:proofErr w:type="spellStart"/>
      <w:r w:rsidR="00DC4E4F">
        <w:t>aff’s</w:t>
      </w:r>
      <w:proofErr w:type="spellEnd"/>
      <w:r w:rsidR="00DC4E4F">
        <w:t xml:space="preserve"> truth so you affirm. Our arguments affirm under any ROB – they have </w:t>
      </w:r>
      <w:proofErr w:type="spellStart"/>
      <w:proofErr w:type="gramStart"/>
      <w:r w:rsidR="00DC4E4F">
        <w:t>prove</w:t>
      </w:r>
      <w:proofErr w:type="spellEnd"/>
      <w:proofErr w:type="gramEnd"/>
      <w:r w:rsidR="00DC4E4F">
        <w:t xml:space="preserve"> the statement my world is better is true.</w:t>
      </w:r>
    </w:p>
    <w:p w14:paraId="34679A69" w14:textId="5F02C315" w:rsidR="00AD74E3" w:rsidRPr="00AF7A5D" w:rsidRDefault="00AD74E3" w:rsidP="00AD74E3">
      <w:pPr>
        <w:pStyle w:val="Heading4"/>
      </w:pPr>
      <w:r>
        <w:t xml:space="preserve">[B] 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c</w:t>
      </w:r>
      <w:r w:rsidRPr="00144B6E">
        <w:rPr>
          <w:rFonts w:eastAsia="Times New Roman"/>
          <w:color w:val="000000" w:themeColor="text1"/>
          <w:spacing w:val="3"/>
          <w:shd w:val="clear" w:color="auto" w:fill="FFFFFF"/>
        </w:rPr>
        <w:t xml:space="preserve">ontrols the internal link to fairness since it’s the basis of things like predictability and prep </w:t>
      </w:r>
      <w:r>
        <w:rPr>
          <w:rFonts w:eastAsia="Times New Roman"/>
          <w:color w:val="000000" w:themeColor="text1"/>
          <w:spacing w:val="3"/>
          <w:shd w:val="clear" w:color="auto" w:fill="FFFFFF"/>
        </w:rPr>
        <w:t>and jurisdiction is</w:t>
      </w:r>
      <w:r w:rsidRPr="006010F0">
        <w:t xml:space="preserve"> a meta constraint on anything else since the judge voting aff if they affirm better and neg the contrary proves that it’s an independent voter and otherwise they could just hack against or for you which means hack against them if they contest it and it also controls the internal link to fairness since that’s definitionally unfair</w:t>
      </w:r>
      <w:r>
        <w:t>.</w:t>
      </w:r>
    </w:p>
    <w:p w14:paraId="54A6D23F" w14:textId="6E48D25A" w:rsidR="00DF79E6" w:rsidRDefault="008A0602" w:rsidP="008A0602">
      <w:pPr>
        <w:pStyle w:val="Heading3"/>
      </w:pPr>
      <w:r>
        <w:t>Advantage</w:t>
      </w:r>
    </w:p>
    <w:p w14:paraId="7ABABF54" w14:textId="77777777" w:rsidR="008A0602" w:rsidRPr="00976E44" w:rsidRDefault="008A0602" w:rsidP="008A0602">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694AE470" w14:textId="77777777" w:rsidR="008A0602" w:rsidRPr="00976E44" w:rsidRDefault="008A0602" w:rsidP="008A0602">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8" w:history="1">
        <w:r w:rsidRPr="00976E44">
          <w:rPr>
            <w:rStyle w:val="Hyperlink"/>
          </w:rPr>
          <w:t>https://idsa.in/issuebrief/wto-trips-waiver-covid-vaccine-rkumar-120721</w:t>
        </w:r>
      </w:hyperlink>
      <w:r w:rsidRPr="00976E44">
        <w:t>] Justin</w:t>
      </w:r>
    </w:p>
    <w:p w14:paraId="792A7E51" w14:textId="77777777" w:rsidR="008A0602" w:rsidRPr="00976E44" w:rsidRDefault="008A0602" w:rsidP="008A0602">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E3CDD43" w14:textId="77777777" w:rsidR="008A0602" w:rsidRPr="00976E44" w:rsidRDefault="008A0602" w:rsidP="008A0602">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30014CA6" w14:textId="77777777" w:rsidR="008A0602" w:rsidRPr="00976E44" w:rsidRDefault="008A0602" w:rsidP="008A0602">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3CE65924" w14:textId="77777777" w:rsidR="008A0602" w:rsidRPr="00976E44" w:rsidRDefault="008A0602" w:rsidP="008A0602">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6BF695F0" w14:textId="77777777" w:rsidR="008A0602" w:rsidRPr="00976E44" w:rsidRDefault="008A0602" w:rsidP="008A0602">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6DE30C8C" w14:textId="77777777" w:rsidR="008A0602" w:rsidRPr="00976E44" w:rsidRDefault="008A0602" w:rsidP="008A0602">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A655A82" w14:textId="77777777" w:rsidR="008A0602" w:rsidRPr="00976E44" w:rsidRDefault="008A0602" w:rsidP="008A0602">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5D4E0C9C" w14:textId="77777777" w:rsidR="008A0602" w:rsidRPr="00976E44" w:rsidRDefault="008A0602" w:rsidP="008A0602">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16469F48" w14:textId="77777777" w:rsidR="008A0602" w:rsidRPr="00976E44" w:rsidRDefault="008A0602" w:rsidP="008A0602">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2E594222" w14:textId="77777777" w:rsidR="008A0602" w:rsidRPr="00976E44" w:rsidRDefault="008A0602" w:rsidP="008A0602">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314AD5F0" w14:textId="77777777" w:rsidR="008A0602" w:rsidRPr="00976E44" w:rsidRDefault="008A0602" w:rsidP="008A0602">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1EFE2BE2" w14:textId="77777777" w:rsidR="008A0602" w:rsidRPr="00976E44" w:rsidRDefault="008A0602" w:rsidP="008A0602">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17E652D3" w14:textId="77777777" w:rsidR="008A0602" w:rsidRPr="00976E44" w:rsidRDefault="008A0602" w:rsidP="008A0602">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7A041455" w14:textId="77777777" w:rsidR="008A0602" w:rsidRPr="00976E44" w:rsidRDefault="008A0602" w:rsidP="008A0602">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098CFD1D" w14:textId="77777777" w:rsidR="008A0602" w:rsidRPr="00976E44" w:rsidRDefault="008A0602" w:rsidP="008A0602">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00D6FB4F" w14:textId="77777777" w:rsidR="008A0602" w:rsidRPr="00976E44" w:rsidRDefault="008A0602" w:rsidP="008A0602">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5273BAE6" w14:textId="77777777" w:rsidR="008A0602" w:rsidRPr="00976E44" w:rsidRDefault="008A0602" w:rsidP="008A0602">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9" w:history="1">
        <w:r w:rsidRPr="00976E44">
          <w:rPr>
            <w:rStyle w:val="Hyperlink"/>
          </w:rPr>
          <w:t>https://www.statnews.com/2021/05/19/beyond-a-symbolic-gesture-whats-needed-to-turn-the-ip-waiver-into-covid-19-vaccines/</w:t>
        </w:r>
      </w:hyperlink>
      <w:r w:rsidRPr="00976E44">
        <w:t>] Justin</w:t>
      </w:r>
    </w:p>
    <w:p w14:paraId="3CD5E20C" w14:textId="77777777" w:rsidR="008A0602" w:rsidRPr="00976E44" w:rsidRDefault="008A0602" w:rsidP="008A0602">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744DB927" w14:textId="77777777" w:rsidR="008A0602" w:rsidRPr="00976E44" w:rsidRDefault="008A0602" w:rsidP="008A0602">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64C5025B" w14:textId="77777777" w:rsidR="008A0602" w:rsidRPr="00976E44" w:rsidRDefault="008A0602" w:rsidP="008A0602">
      <w:pPr>
        <w:rPr>
          <w:rStyle w:val="Emphasis"/>
        </w:rPr>
      </w:pPr>
      <w:r w:rsidRPr="00976E44">
        <w:rPr>
          <w:u w:val="single"/>
        </w:rPr>
        <w:t xml:space="preserve">Both truths suggest that we </w:t>
      </w:r>
      <w:r w:rsidRPr="00976E44">
        <w:rPr>
          <w:rStyle w:val="Emphasis"/>
        </w:rPr>
        <w:t>pass the blueprint and build the kitchen.</w:t>
      </w:r>
    </w:p>
    <w:p w14:paraId="74F83A31" w14:textId="77777777" w:rsidR="008A0602" w:rsidRPr="00976E44" w:rsidRDefault="008A0602" w:rsidP="008A0602">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71DD6189" w14:textId="77777777" w:rsidR="008A0602" w:rsidRPr="00976E44" w:rsidRDefault="008A0602" w:rsidP="008A0602"/>
    <w:p w14:paraId="54F3A8CC" w14:textId="77777777" w:rsidR="008A0602" w:rsidRPr="00976E44" w:rsidRDefault="008A0602" w:rsidP="008A0602">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229F86D5" w14:textId="77777777" w:rsidR="008A0602" w:rsidRPr="00976E44" w:rsidRDefault="008A0602" w:rsidP="008A0602">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20" w:anchor="Sec4" w:history="1">
        <w:r w:rsidRPr="00976E44">
          <w:rPr>
            <w:rStyle w:val="Hyperlink"/>
          </w:rPr>
          <w:t>https://link.springer.com/article/10.1007/s40319-020-00985-0#Sec4</w:t>
        </w:r>
      </w:hyperlink>
      <w:r w:rsidRPr="00976E44">
        <w:t>] Justin</w:t>
      </w:r>
    </w:p>
    <w:p w14:paraId="5D04625C" w14:textId="77777777" w:rsidR="008A0602" w:rsidRPr="00976E44" w:rsidRDefault="008A0602" w:rsidP="008A0602">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0C3E3A1E" w14:textId="77777777" w:rsidR="008A0602" w:rsidRPr="00976E44" w:rsidRDefault="008A0602" w:rsidP="008A0602">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4A484A71" w14:textId="77777777" w:rsidR="008A0602" w:rsidRPr="00976E44" w:rsidRDefault="008A0602" w:rsidP="008A0602">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525CBE12" w14:textId="77777777" w:rsidR="008A0602" w:rsidRPr="00976E44" w:rsidRDefault="008A0602" w:rsidP="008A0602">
      <w:pPr>
        <w:rPr>
          <w:sz w:val="16"/>
        </w:rPr>
      </w:pPr>
      <w:r w:rsidRPr="00976E44">
        <w:rPr>
          <w:sz w:val="16"/>
        </w:rPr>
        <w:t>Pharmaceutical Innovation and Generic Competition in the Pharmaceutical Industry</w:t>
      </w:r>
    </w:p>
    <w:p w14:paraId="4AF49D64" w14:textId="77777777" w:rsidR="008A0602" w:rsidRPr="00976E44" w:rsidRDefault="008A0602" w:rsidP="008A0602">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originators,Footnote15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2546F1E7" w14:textId="77777777" w:rsidR="008A0602" w:rsidRPr="00976E44" w:rsidRDefault="008A0602" w:rsidP="008A0602">
      <w:pPr>
        <w:rPr>
          <w:sz w:val="16"/>
        </w:rPr>
      </w:pPr>
      <w:r w:rsidRPr="00976E44">
        <w:rPr>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trials.Footnote18</w:t>
      </w:r>
    </w:p>
    <w:p w14:paraId="2DBAE5F7" w14:textId="77777777" w:rsidR="008A0602" w:rsidRPr="00976E44" w:rsidRDefault="008A0602" w:rsidP="008A0602">
      <w:pPr>
        <w:rPr>
          <w:sz w:val="16"/>
        </w:rPr>
      </w:pPr>
      <w:r w:rsidRPr="00976E44">
        <w:rPr>
          <w:sz w:val="16"/>
        </w:rPr>
        <w:t xml:space="preserve">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7614ED4C" w14:textId="77777777" w:rsidR="008A0602" w:rsidRPr="00976E44" w:rsidRDefault="008A0602" w:rsidP="008A0602">
      <w:pPr>
        <w:rPr>
          <w:sz w:val="16"/>
        </w:rPr>
      </w:pPr>
      <w:r w:rsidRPr="00976E44">
        <w:rPr>
          <w:sz w:val="16"/>
        </w:rPr>
        <w:t>Patenting Practices by Pharmaceutical Companies</w:t>
      </w:r>
    </w:p>
    <w:p w14:paraId="1BE08222" w14:textId="77777777" w:rsidR="008A0602" w:rsidRPr="00976E44" w:rsidRDefault="008A0602" w:rsidP="008A0602">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0EED2035" w14:textId="77777777" w:rsidR="008A0602" w:rsidRPr="00976E44" w:rsidRDefault="008A0602" w:rsidP="008A0602">
      <w:pPr>
        <w:rPr>
          <w:sz w:val="16"/>
        </w:rPr>
      </w:pPr>
      <w:r w:rsidRPr="00976E44">
        <w:rPr>
          <w:sz w:val="16"/>
        </w:rPr>
        <w:t>Defining Strategic Patenting</w:t>
      </w:r>
    </w:p>
    <w:p w14:paraId="39F93A2A" w14:textId="77777777" w:rsidR="008A0602" w:rsidRPr="00976E44" w:rsidRDefault="008A0602" w:rsidP="008A0602">
      <w:pPr>
        <w:rPr>
          <w:sz w:val="16"/>
        </w:rPr>
      </w:pPr>
      <w:r w:rsidRPr="00976E44">
        <w:rPr>
          <w:sz w:val="16"/>
        </w:rPr>
        <w:t xml:space="preserve">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29393DD8" w14:textId="77777777" w:rsidR="008A0602" w:rsidRPr="00976E44" w:rsidRDefault="008A0602" w:rsidP="008A0602">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406401E" w14:textId="77777777" w:rsidR="008A0602" w:rsidRPr="00976E44" w:rsidRDefault="008A0602" w:rsidP="008A0602">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4ED67EA9" w14:textId="77777777" w:rsidR="008A0602" w:rsidRPr="00976E44" w:rsidRDefault="008A0602" w:rsidP="008A0602">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15C60957" w14:textId="77777777" w:rsidR="008A0602" w:rsidRPr="00976E44" w:rsidRDefault="008A0602" w:rsidP="008A0602">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69611051" w14:textId="77777777" w:rsidR="008A0602" w:rsidRPr="00976E44" w:rsidRDefault="008A0602" w:rsidP="008A0602">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4BBBD8BA" w14:textId="77777777" w:rsidR="008A0602" w:rsidRPr="00976E44" w:rsidRDefault="008A0602" w:rsidP="008A0602">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00764798" w14:textId="77777777" w:rsidR="008A0602" w:rsidRPr="00976E44" w:rsidRDefault="008A0602" w:rsidP="008A0602">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54A53489" w14:textId="77777777" w:rsidR="008A0602" w:rsidRPr="00976E44" w:rsidRDefault="008A0602" w:rsidP="008A0602">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60DD4CF3" w14:textId="77777777" w:rsidR="008A0602" w:rsidRPr="00976E44" w:rsidRDefault="008A0602" w:rsidP="008A0602">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w:t>
      </w:r>
      <w:proofErr w:type="gramStart"/>
      <w:r w:rsidRPr="00976E44">
        <w:rPr>
          <w:sz w:val="16"/>
        </w:rPr>
        <w:t>In</w:t>
      </w:r>
      <w:proofErr w:type="gramEnd"/>
      <w:r w:rsidRPr="00976E44">
        <w:rPr>
          <w:sz w:val="16"/>
        </w:rPr>
        <w:t xml:space="preserve">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24DE0223" w14:textId="77777777" w:rsidR="008A0602" w:rsidRPr="00976E44" w:rsidRDefault="008A0602" w:rsidP="008A0602">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7404B5DA" w14:textId="77777777" w:rsidR="008A0602" w:rsidRPr="00976E44" w:rsidRDefault="008A0602" w:rsidP="008A0602">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73C174C9" w14:textId="77777777" w:rsidR="008A0602" w:rsidRPr="00976E44" w:rsidRDefault="008A0602" w:rsidP="008A0602">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5FAA4851" w14:textId="77777777" w:rsidR="008A0602" w:rsidRPr="00976E44" w:rsidRDefault="008A0602" w:rsidP="008A0602">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22A52AA9" w14:textId="77777777" w:rsidR="008A0602" w:rsidRPr="00976E44" w:rsidRDefault="008A0602" w:rsidP="008A0602">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35626A11" w14:textId="77777777" w:rsidR="008A0602" w:rsidRPr="00976E44" w:rsidRDefault="008A0602" w:rsidP="008A0602">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w:t>
      </w:r>
    </w:p>
    <w:p w14:paraId="1B8BCB65" w14:textId="77777777" w:rsidR="008A0602" w:rsidRPr="00976E44" w:rsidRDefault="008A0602" w:rsidP="008A0602">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5D06A487" w14:textId="77777777" w:rsidR="008A0602" w:rsidRPr="00976E44" w:rsidRDefault="008A0602" w:rsidP="008A0602">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62E2A9C8" w14:textId="77777777" w:rsidR="008A0602" w:rsidRPr="00976E44" w:rsidRDefault="008A0602" w:rsidP="008A0602">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2C983639" w14:textId="77777777" w:rsidR="008A0602" w:rsidRPr="00976E44" w:rsidRDefault="008A0602" w:rsidP="008A0602">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6664F701" w14:textId="77777777" w:rsidR="008A0602" w:rsidRPr="00976E44" w:rsidRDefault="008A0602" w:rsidP="008A0602">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4A64DA72" w14:textId="77777777" w:rsidR="008A0602" w:rsidRPr="00976E44" w:rsidRDefault="008A0602" w:rsidP="008A0602">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1A1D35A3" w14:textId="77777777" w:rsidR="008A0602" w:rsidRPr="00976E44" w:rsidRDefault="008A0602" w:rsidP="008A0602">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6D9F691B" w14:textId="77777777" w:rsidR="008A0602" w:rsidRPr="00976E44" w:rsidRDefault="008A0602" w:rsidP="008A0602">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1790282C" w14:textId="77777777" w:rsidR="008A0602" w:rsidRPr="00976E44" w:rsidRDefault="008A0602" w:rsidP="008A0602">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xml:space="preserve">,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1061E11A" w14:textId="77777777" w:rsidR="008A0602" w:rsidRPr="00976E44" w:rsidRDefault="008A0602" w:rsidP="008A0602"/>
    <w:p w14:paraId="16055001" w14:textId="77777777" w:rsidR="008A0602" w:rsidRPr="00976E44" w:rsidRDefault="008A0602" w:rsidP="008A0602">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64DAFA9F" w14:textId="77777777" w:rsidR="008A0602" w:rsidRPr="00976E44" w:rsidRDefault="008A0602" w:rsidP="008A0602">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976E44">
          <w:rPr>
            <w:rStyle w:val="Hyperlink"/>
          </w:rPr>
          <w:t>https://www.tandfonline.com/doi/full/10.1080/25751654.2021.1890867</w:t>
        </w:r>
      </w:hyperlink>
      <w:r w:rsidRPr="00976E44">
        <w:t>] Justin</w:t>
      </w:r>
    </w:p>
    <w:p w14:paraId="3FCD91CF" w14:textId="77777777" w:rsidR="008A0602" w:rsidRPr="00976E44" w:rsidRDefault="008A0602" w:rsidP="008A0602">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4C5F8931" w14:textId="77777777" w:rsidR="008A0602" w:rsidRPr="00976E44" w:rsidRDefault="008A0602" w:rsidP="008A0602">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081EF239" w14:textId="77777777" w:rsidR="008A0602" w:rsidRPr="00976E44" w:rsidRDefault="008A0602" w:rsidP="008A0602">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263F2AE2" w14:textId="77777777" w:rsidR="008A0602" w:rsidRPr="00976E44" w:rsidRDefault="008A0602" w:rsidP="008A0602">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05CE017" w14:textId="77777777" w:rsidR="008A0602" w:rsidRPr="00976E44" w:rsidRDefault="008A0602" w:rsidP="008A0602">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660DB0D7" w14:textId="77777777" w:rsidR="008A0602" w:rsidRPr="00976E44" w:rsidRDefault="008A0602" w:rsidP="008A0602">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364603D2" w14:textId="77777777" w:rsidR="008A0602" w:rsidRPr="00976E44" w:rsidRDefault="008A0602" w:rsidP="008A0602">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370D4F5B" w14:textId="77777777" w:rsidR="008A0602" w:rsidRPr="00976E44" w:rsidRDefault="008A0602" w:rsidP="008A0602">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14AA1527" w14:textId="77777777" w:rsidR="008A0602" w:rsidRPr="00976E44" w:rsidRDefault="008A0602" w:rsidP="008A0602">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11871B1F" w14:textId="072832D5" w:rsidR="00DF79E6" w:rsidRDefault="00DF79E6" w:rsidP="00DF79E6"/>
    <w:p w14:paraId="2C32BC31" w14:textId="316A8116" w:rsidR="00DF79E6" w:rsidRDefault="00DF79E6" w:rsidP="00DF79E6"/>
    <w:p w14:paraId="5DE7084D" w14:textId="03364D9D" w:rsidR="00DF79E6" w:rsidRDefault="00DF79E6" w:rsidP="00DF79E6"/>
    <w:p w14:paraId="554C3921" w14:textId="68389090" w:rsidR="00DF79E6" w:rsidRDefault="00DF79E6" w:rsidP="00DF79E6"/>
    <w:p w14:paraId="5D0ED288" w14:textId="1CAF8CAA" w:rsidR="00DF79E6" w:rsidRDefault="00DF79E6" w:rsidP="00DF79E6"/>
    <w:p w14:paraId="15B426C2" w14:textId="3B3FA184" w:rsidR="00DF79E6" w:rsidRDefault="00DF79E6" w:rsidP="00DF79E6"/>
    <w:p w14:paraId="132411E8" w14:textId="69CFB9A9" w:rsidR="00DF79E6" w:rsidRDefault="00DF79E6" w:rsidP="00DF79E6"/>
    <w:p w14:paraId="61127411" w14:textId="77777777" w:rsidR="00DF79E6" w:rsidRPr="00DF79E6" w:rsidRDefault="00DF79E6" w:rsidP="00DF79E6"/>
    <w:sectPr w:rsidR="00DF79E6" w:rsidRPr="00DF79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6D73F" w14:textId="77777777" w:rsidR="00B16019" w:rsidRDefault="00B16019" w:rsidP="00AD74E3">
      <w:pPr>
        <w:spacing w:after="0" w:line="240" w:lineRule="auto"/>
      </w:pPr>
      <w:r>
        <w:separator/>
      </w:r>
    </w:p>
  </w:endnote>
  <w:endnote w:type="continuationSeparator" w:id="0">
    <w:p w14:paraId="1AFA7807" w14:textId="77777777" w:rsidR="00B16019" w:rsidRDefault="00B16019" w:rsidP="00AD7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A24A9" w14:textId="77777777" w:rsidR="00B16019" w:rsidRDefault="00B16019" w:rsidP="00AD74E3">
      <w:pPr>
        <w:spacing w:after="0" w:line="240" w:lineRule="auto"/>
      </w:pPr>
      <w:r>
        <w:separator/>
      </w:r>
    </w:p>
  </w:footnote>
  <w:footnote w:type="continuationSeparator" w:id="0">
    <w:p w14:paraId="31BA08FA" w14:textId="77777777" w:rsidR="00B16019" w:rsidRDefault="00B16019" w:rsidP="00AD74E3">
      <w:pPr>
        <w:spacing w:after="0" w:line="240" w:lineRule="auto"/>
      </w:pPr>
      <w:r>
        <w:continuationSeparator/>
      </w:r>
    </w:p>
  </w:footnote>
  <w:footnote w:id="1">
    <w:p w14:paraId="059B7302" w14:textId="77777777" w:rsidR="00AD74E3" w:rsidRPr="00752E9C" w:rsidRDefault="00AD74E3" w:rsidP="00AD74E3">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3797C46E" w14:textId="77777777" w:rsidR="00AD74E3" w:rsidRPr="00855FDC" w:rsidRDefault="00AD74E3" w:rsidP="00AD74E3">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846CC"/>
    <w:rsid w:val="000139A3"/>
    <w:rsid w:val="00020CD8"/>
    <w:rsid w:val="00100833"/>
    <w:rsid w:val="00104529"/>
    <w:rsid w:val="00105942"/>
    <w:rsid w:val="00107396"/>
    <w:rsid w:val="00144A4C"/>
    <w:rsid w:val="00176AB0"/>
    <w:rsid w:val="00177B7D"/>
    <w:rsid w:val="0018322D"/>
    <w:rsid w:val="001846CC"/>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1A01"/>
    <w:rsid w:val="00621A02"/>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A0602"/>
    <w:rsid w:val="008B3ECB"/>
    <w:rsid w:val="008B4E85"/>
    <w:rsid w:val="008C1B2E"/>
    <w:rsid w:val="0091627E"/>
    <w:rsid w:val="00922461"/>
    <w:rsid w:val="0097032B"/>
    <w:rsid w:val="009D2EAD"/>
    <w:rsid w:val="009D54B2"/>
    <w:rsid w:val="009D5A64"/>
    <w:rsid w:val="009E1922"/>
    <w:rsid w:val="009F7ED2"/>
    <w:rsid w:val="00A93661"/>
    <w:rsid w:val="00A95652"/>
    <w:rsid w:val="00AC0AB8"/>
    <w:rsid w:val="00AD74E3"/>
    <w:rsid w:val="00B16019"/>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C4E4F"/>
    <w:rsid w:val="00DF79E6"/>
    <w:rsid w:val="00E15E75"/>
    <w:rsid w:val="00E5262C"/>
    <w:rsid w:val="00EB53B5"/>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4D9D2"/>
  <w15:chartTrackingRefBased/>
  <w15:docId w15:val="{59C2278F-0982-4057-82C4-0CB5C66FB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20CD8"/>
    <w:rPr>
      <w:rFonts w:ascii="Calibri" w:hAnsi="Calibri"/>
    </w:rPr>
  </w:style>
  <w:style w:type="paragraph" w:styleId="Heading1">
    <w:name w:val="heading 1"/>
    <w:aliases w:val="Pocket"/>
    <w:basedOn w:val="Normal"/>
    <w:next w:val="Normal"/>
    <w:link w:val="Heading1Char"/>
    <w:qFormat/>
    <w:rsid w:val="00020C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0C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0C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020CD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0C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0CD8"/>
  </w:style>
  <w:style w:type="character" w:customStyle="1" w:styleId="Heading1Char">
    <w:name w:val="Heading 1 Char"/>
    <w:aliases w:val="Pocket Char"/>
    <w:basedOn w:val="DefaultParagraphFont"/>
    <w:link w:val="Heading1"/>
    <w:rsid w:val="00020C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0C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20CD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020CD8"/>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020CD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020CD8"/>
    <w:rPr>
      <w:b/>
      <w:bCs/>
      <w:sz w:val="26"/>
      <w:u w:val="none"/>
    </w:rPr>
  </w:style>
  <w:style w:type="character" w:customStyle="1" w:styleId="StyleUnderline">
    <w:name w:val="Style Underline"/>
    <w:aliases w:val="Underline"/>
    <w:basedOn w:val="DefaultParagraphFont"/>
    <w:uiPriority w:val="6"/>
    <w:qFormat/>
    <w:rsid w:val="00020CD8"/>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020CD8"/>
    <w:rPr>
      <w:color w:val="auto"/>
      <w:u w:val="none"/>
    </w:rPr>
  </w:style>
  <w:style w:type="character" w:styleId="FollowedHyperlink">
    <w:name w:val="FollowedHyperlink"/>
    <w:basedOn w:val="DefaultParagraphFont"/>
    <w:uiPriority w:val="99"/>
    <w:semiHidden/>
    <w:unhideWhenUsed/>
    <w:rsid w:val="00020CD8"/>
    <w:rPr>
      <w:color w:val="auto"/>
      <w:u w:val="none"/>
    </w:rPr>
  </w:style>
  <w:style w:type="paragraph" w:customStyle="1" w:styleId="textbold">
    <w:name w:val="text bold"/>
    <w:basedOn w:val="Normal"/>
    <w:link w:val="Emphasis"/>
    <w:uiPriority w:val="7"/>
    <w:qFormat/>
    <w:rsid w:val="00AD74E3"/>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Medium Grid 21,No Spacing111111,No Spacing31,No Spacing22,No Spacing3,tag,Dont use,No Spacing41,No Spacing111112"/>
    <w:basedOn w:val="Heading1"/>
    <w:link w:val="Hyperlink"/>
    <w:autoRedefine/>
    <w:uiPriority w:val="99"/>
    <w:qFormat/>
    <w:rsid w:val="00AD74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AD74E3"/>
    <w:pPr>
      <w:spacing w:before="100" w:beforeAutospacing="1" w:after="100" w:afterAutospacing="1" w:line="240" w:lineRule="auto"/>
    </w:pPr>
    <w:rPr>
      <w:rFonts w:ascii="Times New Roman" w:eastAsia="Times New Roman" w:hAnsi="Times New Roman" w:cs="Times New Roman"/>
      <w:sz w:val="24"/>
      <w:lang w:eastAsia="zh-CN"/>
    </w:rPr>
  </w:style>
  <w:style w:type="character" w:styleId="FootnoteReference">
    <w:name w:val="footnote reference"/>
    <w:aliases w:val="FN Ref,footnote reference,fr,o,FR,(NECG) Footnote Reference"/>
    <w:basedOn w:val="DefaultParagraphFont"/>
    <w:uiPriority w:val="99"/>
    <w:unhideWhenUsed/>
    <w:qFormat/>
    <w:rsid w:val="00AD74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watchdog.com/2021/07/21/third-option-limited-ip-waiver-solve-pandemic-vaccine-problems/id=135732/" TargetMode="External"/><Relationship Id="rId13" Type="http://schemas.openxmlformats.org/officeDocument/2006/relationships/hyperlink" Target="http://virt052.zim.uni-duisburg-essen.de/Kant/aa06/237.html" TargetMode="External"/><Relationship Id="rId18" Type="http://schemas.openxmlformats.org/officeDocument/2006/relationships/hyperlink" Target="https://idsa.in/issuebrief/wto-trips-waiver-covid-vaccine-rkumar-120721" TargetMode="External"/><Relationship Id="rId3" Type="http://schemas.openxmlformats.org/officeDocument/2006/relationships/styles" Target="styles.xml"/><Relationship Id="rId21" Type="http://schemas.openxmlformats.org/officeDocument/2006/relationships/hyperlink" Target="https://www.tandfonline.com/doi/full/10.1080/25751654.2021.1890867" TargetMode="External"/><Relationship Id="rId7" Type="http://schemas.openxmlformats.org/officeDocument/2006/relationships/endnotes" Target="endnote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 Type="http://schemas.openxmlformats.org/officeDocument/2006/relationships/numbering" Target="numbering.xml"/><Relationship Id="rId16" Type="http://schemas.openxmlformats.org/officeDocument/2006/relationships/hyperlink" Target="http://bfp.sp.unipi.it/chiara/lm/kantpisa1.html" TargetMode="External"/><Relationship Id="rId20" Type="http://schemas.openxmlformats.org/officeDocument/2006/relationships/hyperlink" Target="https://link.springer.com/article/10.1007/s40319-020-0098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fp.sp.unipi.it/chiara/lm/kantpisa1.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virt052.zim.uni-duisburg-essen.de/Kant/aa06/245.html" TargetMode="External"/><Relationship Id="rId19" Type="http://schemas.openxmlformats.org/officeDocument/2006/relationships/hyperlink" Target="https://www.statnews.com/2021/05/19/beyond-a-symbolic-gesture-whats-needed-to-turn-the-ip-waiver-into-covid-19-vaccines/" TargetMode="Externa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12357</Words>
  <Characters>70438</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8</cp:revision>
  <dcterms:created xsi:type="dcterms:W3CDTF">2021-09-04T21:07:00Z</dcterms:created>
  <dcterms:modified xsi:type="dcterms:W3CDTF">2021-09-05T14:07:00Z</dcterms:modified>
</cp:coreProperties>
</file>