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F8C84" w14:textId="77777777" w:rsidR="0003264F" w:rsidRDefault="0003264F" w:rsidP="0003264F">
      <w:pPr>
        <w:pStyle w:val="Heading3"/>
      </w:pPr>
      <w:r>
        <w:t>1AC – Adv – Customary International Law</w:t>
      </w:r>
    </w:p>
    <w:p w14:paraId="4B300C25" w14:textId="77777777" w:rsidR="001142BE" w:rsidRDefault="001142BE" w:rsidP="001142BE">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0D4EBD50" w14:textId="77777777" w:rsidR="001142BE" w:rsidRPr="00D2046C" w:rsidRDefault="001142BE" w:rsidP="001142BE">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5" w:history="1">
        <w:r w:rsidRPr="00111F4F">
          <w:rPr>
            <w:rStyle w:val="Hyperlink"/>
          </w:rPr>
          <w:t>https://digitalcommons.law.yale.edu/cgi/viewcontent.cgi?article=1710&amp;context=yjil</w:t>
        </w:r>
      </w:hyperlink>
      <w:r>
        <w:t>] Justin ** Brackets in original</w:t>
      </w:r>
    </w:p>
    <w:p w14:paraId="20C15FAF" w14:textId="77777777" w:rsidR="001142BE" w:rsidRPr="001130DA" w:rsidRDefault="001142BE" w:rsidP="001142BE">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35808A33" w14:textId="77777777" w:rsidR="001142BE" w:rsidRPr="001130DA" w:rsidRDefault="001142BE" w:rsidP="001142BE">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1F42A743" w14:textId="77777777" w:rsidR="001142BE" w:rsidRPr="00425E77" w:rsidRDefault="001142BE" w:rsidP="001142BE">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5B177BEC" w14:textId="77777777" w:rsidR="001142BE" w:rsidRPr="001130DA" w:rsidRDefault="001142BE" w:rsidP="001142BE">
      <w:pPr>
        <w:rPr>
          <w:sz w:val="16"/>
        </w:rPr>
      </w:pPr>
      <w:r w:rsidRPr="001130DA">
        <w:rPr>
          <w:sz w:val="16"/>
        </w:rPr>
        <w:t>A. Initial Definitions and Considerations</w:t>
      </w:r>
    </w:p>
    <w:p w14:paraId="2EF9EA9F" w14:textId="77777777" w:rsidR="001142BE" w:rsidRPr="00ED5AB7" w:rsidRDefault="001142BE" w:rsidP="001142BE">
      <w:pPr>
        <w:rPr>
          <w:rStyle w:val="Emphasis"/>
        </w:rPr>
      </w:pPr>
      <w:r w:rsidRPr="001130DA">
        <w:rPr>
          <w:sz w:val="16"/>
        </w:rPr>
        <w:t xml:space="preserve">1. </w:t>
      </w:r>
      <w:r w:rsidRPr="00ED5AB7">
        <w:rPr>
          <w:rStyle w:val="Emphasis"/>
        </w:rPr>
        <w:t>CIL Standards</w:t>
      </w:r>
    </w:p>
    <w:p w14:paraId="44AAA017" w14:textId="77777777" w:rsidR="001142BE" w:rsidRPr="003E22A7" w:rsidRDefault="001142BE" w:rsidP="001142BE">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60CC7363" w14:textId="77777777" w:rsidR="001142BE" w:rsidRPr="00ED5AB7" w:rsidRDefault="001142BE" w:rsidP="001142BE">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1E737F6C" w14:textId="77777777" w:rsidR="001142BE" w:rsidRPr="003E22A7" w:rsidRDefault="001142BE" w:rsidP="001142BE">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4FEC1FA2" w14:textId="77777777" w:rsidR="001142BE" w:rsidRPr="001130DA" w:rsidRDefault="001142BE" w:rsidP="001142BE">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30867C0B" w14:textId="77777777" w:rsidR="001142BE" w:rsidRPr="00A56669" w:rsidRDefault="001142BE" w:rsidP="001142BE">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325184F1" w14:textId="77777777" w:rsidR="001142BE" w:rsidRPr="001130DA" w:rsidRDefault="001142BE" w:rsidP="001142BE">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7C65EE4F" w14:textId="77777777" w:rsidR="001142BE" w:rsidRPr="00425E77" w:rsidRDefault="001142BE" w:rsidP="001142BE">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6D7447F4" w14:textId="77777777" w:rsidR="001142BE" w:rsidRPr="00425E77" w:rsidRDefault="001142BE" w:rsidP="001142BE">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20F95434" w14:textId="77777777" w:rsidR="001142BE" w:rsidRPr="00425E77" w:rsidRDefault="001142BE" w:rsidP="001142BE">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18200C69" w14:textId="77777777" w:rsidR="001142BE" w:rsidRPr="001130DA" w:rsidRDefault="001142BE" w:rsidP="001142BE">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088D07E" w14:textId="77777777" w:rsidR="001142BE" w:rsidRPr="00A56669" w:rsidRDefault="001142BE" w:rsidP="001142BE">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3BB33C07" w14:textId="77777777" w:rsidR="001142BE" w:rsidRPr="001130DA" w:rsidRDefault="001142BE" w:rsidP="001142BE">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6612B29B" w14:textId="77777777" w:rsidR="001142BE" w:rsidRPr="001130DA" w:rsidRDefault="001142BE" w:rsidP="001142BE">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765ACAE2" w14:textId="77777777" w:rsidR="001142BE" w:rsidRPr="0098613E" w:rsidRDefault="001142BE" w:rsidP="001142BE">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1426337E" w14:textId="77777777" w:rsidR="001142BE" w:rsidRPr="001130DA" w:rsidRDefault="001142BE" w:rsidP="001142BE">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18923820" w14:textId="77777777" w:rsidR="001142BE" w:rsidRPr="0098613E" w:rsidRDefault="001142BE" w:rsidP="001142BE">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3C7FE4D0" w14:textId="77777777" w:rsidR="001142BE" w:rsidRPr="002A1AC9" w:rsidRDefault="001142BE" w:rsidP="001142BE">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1179DA74" w14:textId="77777777" w:rsidR="001142BE" w:rsidRPr="002A1AC9" w:rsidRDefault="001142BE" w:rsidP="001142BE">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0ABE5448" w14:textId="77777777" w:rsidR="001142BE" w:rsidRPr="001130DA" w:rsidRDefault="001142BE" w:rsidP="001142BE">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42B41437" w14:textId="77777777" w:rsidR="001142BE" w:rsidRPr="001130DA" w:rsidRDefault="001142BE" w:rsidP="001142BE">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11785574" w14:textId="77777777" w:rsidR="001142BE" w:rsidRPr="001130DA" w:rsidRDefault="001142BE" w:rsidP="001142BE">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507303F4" w14:textId="77777777" w:rsidR="001142BE" w:rsidRPr="0098613E" w:rsidRDefault="001142BE" w:rsidP="001142BE">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676B860C" w14:textId="77777777" w:rsidR="001142BE" w:rsidRPr="001130DA" w:rsidRDefault="001142BE" w:rsidP="001142BE">
      <w:pPr>
        <w:rPr>
          <w:sz w:val="16"/>
        </w:rPr>
      </w:pPr>
      <w:r w:rsidRPr="001130DA">
        <w:rPr>
          <w:sz w:val="16"/>
        </w:rPr>
        <w:t xml:space="preserve">Question: Does the Secretary-General believe that U.N. staff have a right to take part in industrial action? </w:t>
      </w:r>
    </w:p>
    <w:p w14:paraId="23027578" w14:textId="77777777" w:rsidR="001142BE" w:rsidRPr="001130DA" w:rsidRDefault="001142BE" w:rsidP="001142BE">
      <w:pPr>
        <w:rPr>
          <w:sz w:val="16"/>
        </w:rPr>
      </w:pPr>
      <w:r w:rsidRPr="001130DA">
        <w:rPr>
          <w:sz w:val="16"/>
        </w:rPr>
        <w:t>Deputy Spokesman: We believe the right to strike is part of customary international law.167</w:t>
      </w:r>
    </w:p>
    <w:p w14:paraId="306140C8" w14:textId="77777777" w:rsidR="001142BE" w:rsidRPr="001130DA" w:rsidRDefault="001142BE" w:rsidP="001142BE">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1DFEF760" w14:textId="77777777" w:rsidR="001142BE" w:rsidRPr="00875A8F" w:rsidRDefault="001142BE" w:rsidP="001142BE">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B1AA763" w14:textId="77777777" w:rsidR="0003264F" w:rsidRDefault="0003264F" w:rsidP="0003264F"/>
    <w:p w14:paraId="389439B0" w14:textId="77777777" w:rsidR="0003264F" w:rsidRDefault="0003264F" w:rsidP="0003264F">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2975DBAC" w14:textId="77777777" w:rsidR="0003264F" w:rsidRPr="00463A35" w:rsidRDefault="0003264F" w:rsidP="0003264F">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6" w:history="1">
        <w:r w:rsidRPr="00111F4F">
          <w:rPr>
            <w:rStyle w:val="Hyperlink"/>
          </w:rPr>
          <w:t>https://sci-hub.se/https://doi.org/10.1177/2031952521994412</w:t>
        </w:r>
      </w:hyperlink>
      <w:r>
        <w:t>] Justin</w:t>
      </w:r>
    </w:p>
    <w:p w14:paraId="29791AF2" w14:textId="77777777" w:rsidR="0003264F" w:rsidRPr="00B57BC0" w:rsidRDefault="0003264F" w:rsidP="0003264F">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60B7801" w14:textId="77777777" w:rsidR="0003264F" w:rsidRPr="00463A35" w:rsidRDefault="0003264F" w:rsidP="0003264F"/>
    <w:p w14:paraId="210779C9" w14:textId="77777777" w:rsidR="0003264F" w:rsidRDefault="0003264F" w:rsidP="0003264F">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36D7C912" w14:textId="77777777" w:rsidR="0003264F" w:rsidRPr="00D2046C" w:rsidRDefault="0003264F" w:rsidP="0003264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xml:space="preserve">] Justin </w:t>
      </w:r>
    </w:p>
    <w:p w14:paraId="0F498219" w14:textId="77777777" w:rsidR="0003264F" w:rsidRPr="00285CA1" w:rsidRDefault="0003264F" w:rsidP="0003264F">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1210A24C" w14:textId="77777777" w:rsidR="0003264F" w:rsidRDefault="0003264F" w:rsidP="0003264F">
      <w:pPr>
        <w:rPr>
          <w:sz w:val="16"/>
        </w:rPr>
      </w:pPr>
    </w:p>
    <w:p w14:paraId="232EED57" w14:textId="77777777" w:rsidR="0003264F" w:rsidRDefault="0003264F" w:rsidP="0003264F">
      <w:pPr>
        <w:pStyle w:val="Heading4"/>
      </w:pPr>
      <w:r>
        <w:t xml:space="preserve">Scenario one is </w:t>
      </w:r>
      <w:r w:rsidRPr="00C7231B">
        <w:rPr>
          <w:u w:val="single"/>
        </w:rPr>
        <w:t>SDG</w:t>
      </w:r>
      <w:r>
        <w:t>:</w:t>
      </w:r>
    </w:p>
    <w:p w14:paraId="5A53F121" w14:textId="77777777" w:rsidR="0003264F" w:rsidRDefault="0003264F" w:rsidP="0003264F">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156669D" w14:textId="77777777" w:rsidR="0003264F" w:rsidRPr="008751FE" w:rsidRDefault="0003264F" w:rsidP="0003264F">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8" w:history="1">
        <w:r w:rsidRPr="00350781">
          <w:rPr>
            <w:rStyle w:val="Hyperlink"/>
          </w:rPr>
          <w:t>https://www.ilo.org/global/standards/introduction-to-international-labour-standards/the-benefits-of-international-labour-standards/lang--en/index.htm</w:t>
        </w:r>
      </w:hyperlink>
      <w:r>
        <w:t xml:space="preserve">] Justin </w:t>
      </w:r>
    </w:p>
    <w:p w14:paraId="4AAB76E4" w14:textId="77777777" w:rsidR="0003264F" w:rsidRPr="00CF4094" w:rsidRDefault="0003264F" w:rsidP="0003264F">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1142BE">
        <w:rPr>
          <w:rStyle w:val="Emphasis"/>
        </w:rPr>
        <w:t>decent</w:t>
      </w:r>
      <w:r w:rsidRPr="001142BE">
        <w:rPr>
          <w:u w:val="single"/>
        </w:rPr>
        <w:t xml:space="preserve"> </w:t>
      </w:r>
      <w:r w:rsidRPr="00CF4094">
        <w:rPr>
          <w:highlight w:val="green"/>
          <w:u w:val="single"/>
        </w:rPr>
        <w:t>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w:t>
      </w:r>
      <w:r w:rsidRPr="001142BE">
        <w:rPr>
          <w:rStyle w:val="Emphasis"/>
        </w:rPr>
        <w:t xml:space="preserve">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w:t>
      </w:r>
      <w:r w:rsidRPr="001142BE">
        <w:rPr>
          <w:u w:val="single"/>
        </w:rPr>
        <w:t>broadly</w:t>
      </w:r>
      <w:r w:rsidRPr="00CF4094">
        <w:rPr>
          <w:u w:val="single"/>
        </w:rPr>
        <w:t xml:space="preserve">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1142BE">
        <w:rPr>
          <w:u w:val="single"/>
        </w:rPr>
        <w:t xml:space="preserve">decent </w:t>
      </w:r>
      <w:r w:rsidRPr="00CF4094">
        <w:rPr>
          <w:highlight w:val="green"/>
          <w:u w:val="single"/>
        </w:rPr>
        <w:t>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 xml:space="preserve">labour standards </w:t>
      </w:r>
      <w:r w:rsidRPr="001142BE">
        <w:rPr>
          <w:rStyle w:val="Emphasis"/>
        </w:rPr>
        <w:t>in the hope that this could give them a greater comparative 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1142BE">
        <w:rPr>
          <w:rStyle w:val="StyleUnderline"/>
          <w:sz w:val="16"/>
          <w:u w:val="none"/>
        </w:rPr>
        <w:t>.</w:t>
      </w:r>
      <w:r w:rsidRPr="001142BE">
        <w:rPr>
          <w:sz w:val="16"/>
        </w:rPr>
        <w:t xml:space="preserve"> Because </w:t>
      </w:r>
      <w:r w:rsidRPr="001142BE">
        <w:rPr>
          <w:u w:val="single"/>
        </w:rPr>
        <w:t xml:space="preserve">international labour standards are </w:t>
      </w:r>
      <w:r w:rsidRPr="001142BE">
        <w:rPr>
          <w:rStyle w:val="Emphasis"/>
        </w:rPr>
        <w:t>minimum standards</w:t>
      </w:r>
      <w:r w:rsidRPr="001142BE">
        <w:rPr>
          <w:u w:val="single"/>
        </w:rPr>
        <w:t xml:space="preserve"> </w:t>
      </w:r>
      <w:r w:rsidRPr="00726C77">
        <w:rPr>
          <w:highlight w:val="green"/>
          <w:u w:val="single"/>
        </w:rPr>
        <w:t>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labour standards </w:t>
      </w:r>
      <w:r w:rsidRPr="001142BE">
        <w:rPr>
          <w:u w:val="single"/>
        </w:rPr>
        <w:t>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1142BE">
        <w:rPr>
          <w:rStyle w:val="Emphasis"/>
        </w:rPr>
        <w:t xml:space="preserve">improved </w:t>
      </w:r>
      <w:r w:rsidRPr="00726C77">
        <w:rPr>
          <w:rStyle w:val="Emphasis"/>
          <w:highlight w:val="green"/>
        </w:rPr>
        <w:t>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1142BE">
        <w:rPr>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xml:space="preserve">. International labour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1142BE">
        <w:rPr>
          <w:u w:val="single"/>
        </w:rPr>
        <w:t xml:space="preserve">always </w:t>
      </w:r>
      <w:r w:rsidRPr="00CF4094">
        <w:rPr>
          <w:highlight w:val="green"/>
          <w:u w:val="single"/>
        </w:rPr>
        <w:t>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EFCEB36" w14:textId="77777777" w:rsidR="0003264F" w:rsidRDefault="0003264F" w:rsidP="0003264F"/>
    <w:p w14:paraId="37D83D0D" w14:textId="77777777" w:rsidR="0003264F" w:rsidRPr="00594ADE" w:rsidRDefault="0003264F" w:rsidP="0003264F">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7DAAEBAB" w14:textId="77777777" w:rsidR="0003264F" w:rsidRPr="00594ADE" w:rsidRDefault="0003264F" w:rsidP="0003264F">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211FF80F" w14:textId="77777777" w:rsidR="0003264F" w:rsidRDefault="0003264F" w:rsidP="0003264F">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1142BE">
        <w:rPr>
          <w:rStyle w:val="Emphasis"/>
        </w:rPr>
        <w:t>relationships</w:t>
      </w:r>
      <w:r w:rsidRPr="001142BE">
        <w:rPr>
          <w:rStyle w:val="StyleUnderline"/>
        </w:rPr>
        <w:t xml:space="preserve"> that link the Sustainable Development Goals</w:t>
      </w:r>
      <w:r w:rsidRPr="001142BE">
        <w:rPr>
          <w:sz w:val="16"/>
        </w:rPr>
        <w:t>. Randers</w:t>
      </w:r>
      <w:r w:rsidRPr="00594ADE">
        <w:rPr>
          <w:sz w:val="16"/>
        </w:rPr>
        <w:t xml:space="preserve">,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w:t>
      </w:r>
      <w:r w:rsidRPr="001142BE">
        <w:rPr>
          <w:rStyle w:val="StyleUnderline"/>
        </w:rPr>
        <w:t>resulting in conflicts, instability and migrations</w:t>
      </w:r>
      <w:r w:rsidRPr="001142BE">
        <w:rPr>
          <w:sz w:val="16"/>
        </w:rPr>
        <w:t xml:space="preserve">. </w:t>
      </w:r>
      <w:r w:rsidRPr="001142BE">
        <w:rPr>
          <w:rStyle w:val="StyleUnderline"/>
        </w:rPr>
        <w:t>Ecosystem</w:t>
      </w:r>
      <w:r w:rsidRPr="00594ADE">
        <w:rPr>
          <w:rStyle w:val="StyleUnderline"/>
        </w:rPr>
        <w:t xml:space="preserve"> stresses are likely to dispropor</w:t>
      </w:r>
      <w:r w:rsidRPr="001142BE">
        <w:rPr>
          <w:rStyle w:val="StyleUnderline"/>
        </w:rPr>
        <w:t>tionate</w:t>
      </w:r>
      <w:r w:rsidRPr="00594ADE">
        <w:rPr>
          <w:rStyle w:val="StyleUnderline"/>
        </w:rPr>
        <w:t xml:space="preserv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w:t>
      </w:r>
      <w:r w:rsidRPr="001142BE">
        <w:rPr>
          <w:rStyle w:val="StyleUnderline"/>
        </w:rPr>
        <w:t xml:space="preserve">of fragile and 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1142BE">
        <w:rPr>
          <w:rStyle w:val="Emphasis"/>
        </w:rPr>
        <w:t xml:space="preserve">runaway </w:t>
      </w:r>
      <w:r w:rsidRPr="008D2E40">
        <w:rPr>
          <w:rStyle w:val="Emphasis"/>
          <w:highlight w:val="green"/>
        </w:rPr>
        <w:t>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1142BE">
        <w:rPr>
          <w:rStyle w:val="StyleUnderline"/>
        </w:rPr>
        <w:t>, data fraud or</w:t>
      </w:r>
      <w:r w:rsidRPr="00726C77">
        <w:rPr>
          <w:rStyle w:val="StyleUnderline"/>
        </w:rPr>
        <w:t xml:space="preserve">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1142BE">
        <w:rPr>
          <w:rStyle w:val="Emphasis"/>
        </w:rPr>
        <w:t xml:space="preserve">global </w:t>
      </w:r>
      <w:r w:rsidRPr="008D2E40">
        <w:rPr>
          <w:rStyle w:val="Emphasis"/>
          <w:highlight w:val="green"/>
        </w:rPr>
        <w:t xml:space="preserve">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w:t>
      </w:r>
      <w:proofErr w:type="gramStart"/>
      <w:r w:rsidRPr="00594ADE">
        <w:rPr>
          <w:sz w:val="16"/>
        </w:rPr>
        <w:t>low and middle income</w:t>
      </w:r>
      <w:proofErr w:type="gramEnd"/>
      <w:r w:rsidRPr="00594ADE">
        <w:rPr>
          <w:sz w:val="16"/>
        </w:rPr>
        <w:t xml:space="preserv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627C1184" w14:textId="77777777" w:rsidR="0003264F" w:rsidRPr="00594ADE" w:rsidRDefault="0003264F" w:rsidP="0003264F">
      <w:pPr>
        <w:rPr>
          <w:sz w:val="16"/>
        </w:rPr>
      </w:pPr>
    </w:p>
    <w:p w14:paraId="4CB8EC63" w14:textId="77777777" w:rsidR="0003264F" w:rsidRPr="00594ADE" w:rsidRDefault="0003264F" w:rsidP="0003264F">
      <w:pPr>
        <w:pStyle w:val="Heading4"/>
      </w:pPr>
      <w:r w:rsidRPr="00594ADE">
        <w:t>Weak states are existential. Err AFF to account for non-linearity and unpredictable cascades.</w:t>
      </w:r>
    </w:p>
    <w:p w14:paraId="6D518055" w14:textId="77777777" w:rsidR="0003264F" w:rsidRPr="009F214B" w:rsidRDefault="0003264F" w:rsidP="0003264F">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6AB52C12" w14:textId="77777777" w:rsidR="0003264F" w:rsidRPr="009F214B" w:rsidRDefault="0003264F" w:rsidP="0003264F">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43689DA8" w14:textId="64CBA59F" w:rsidR="0003264F" w:rsidRDefault="0003264F" w:rsidP="0003264F"/>
    <w:p w14:paraId="058EB56F" w14:textId="77777777" w:rsidR="001142BE" w:rsidRDefault="001142BE" w:rsidP="001142BE">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4ED3160D" w14:textId="77777777" w:rsidR="001142BE" w:rsidRPr="00594ADE" w:rsidRDefault="001142BE" w:rsidP="001142BE">
      <w:r>
        <w:rPr>
          <w:rStyle w:val="Style13ptBold"/>
        </w:rPr>
        <w:t>Sean</w:t>
      </w:r>
      <w:r w:rsidRPr="00594ADE">
        <w:rPr>
          <w:rStyle w:val="Style13ptBold"/>
        </w:rPr>
        <w:t xml:space="preserve"> 17</w:t>
      </w:r>
      <w:r w:rsidRPr="00594ADE">
        <w:t xml:space="preserve"> – </w:t>
      </w:r>
      <w:r w:rsidRPr="00C539B0">
        <w:t xml:space="preserve">Seán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9"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1301C971" w14:textId="77777777" w:rsidR="001142BE" w:rsidRPr="00594ADE" w:rsidRDefault="001142BE" w:rsidP="001142BE">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739DBDFE" w14:textId="77777777" w:rsidR="001142BE" w:rsidRDefault="001142BE" w:rsidP="0003264F"/>
    <w:p w14:paraId="1F751E2F" w14:textId="77777777" w:rsidR="0003264F" w:rsidRPr="008751FE" w:rsidRDefault="0003264F" w:rsidP="0003264F">
      <w:pPr>
        <w:pStyle w:val="Heading4"/>
      </w:pPr>
      <w:r>
        <w:t xml:space="preserve">Scenario two is </w:t>
      </w:r>
      <w:r w:rsidRPr="00C7231B">
        <w:rPr>
          <w:u w:val="single"/>
        </w:rPr>
        <w:t>climate change</w:t>
      </w:r>
      <w:r>
        <w:t>:</w:t>
      </w:r>
    </w:p>
    <w:p w14:paraId="6B13B6FB" w14:textId="77777777" w:rsidR="0003264F" w:rsidRDefault="0003264F" w:rsidP="0003264F">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6E5FA714" w14:textId="77777777" w:rsidR="0003264F" w:rsidRPr="00C41D3E" w:rsidRDefault="0003264F" w:rsidP="0003264F">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0" w:history="1">
        <w:r w:rsidRPr="00AF436A">
          <w:rPr>
            <w:rStyle w:val="Hyperlink"/>
          </w:rPr>
          <w:t>https://scholarship.law.nd.edu/cgi/viewcontent.cgi?article=1034&amp;context=ndjicl</w:t>
        </w:r>
      </w:hyperlink>
      <w:r>
        <w:t>] Justin</w:t>
      </w:r>
    </w:p>
    <w:p w14:paraId="669999AF" w14:textId="77777777" w:rsidR="0003264F" w:rsidRDefault="0003264F" w:rsidP="0003264F">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2DA9AC50" w14:textId="77777777" w:rsidR="0003264F" w:rsidRDefault="0003264F" w:rsidP="0003264F">
      <w:pPr>
        <w:rPr>
          <w:u w:val="single"/>
        </w:rPr>
      </w:pPr>
    </w:p>
    <w:p w14:paraId="61443574" w14:textId="77777777" w:rsidR="0003264F" w:rsidRPr="004C0DE1" w:rsidRDefault="0003264F" w:rsidP="0003264F">
      <w:pPr>
        <w:pStyle w:val="Heading4"/>
      </w:pPr>
      <w:r>
        <w:t xml:space="preserve">Extinction – contrary models are </w:t>
      </w:r>
      <w:r w:rsidRPr="002F5A9F">
        <w:rPr>
          <w:u w:val="single"/>
        </w:rPr>
        <w:t>incorrect</w:t>
      </w:r>
      <w:r>
        <w:t>.</w:t>
      </w:r>
    </w:p>
    <w:p w14:paraId="10C38C6B" w14:textId="77777777" w:rsidR="0003264F" w:rsidRPr="00DB16C2" w:rsidRDefault="0003264F" w:rsidP="0003264F">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38EEA037" w14:textId="77777777" w:rsidR="0003264F" w:rsidRDefault="0003264F" w:rsidP="0003264F">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2"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3"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4"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5"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3585326D" w14:textId="77777777" w:rsidR="0003264F" w:rsidRDefault="0003264F" w:rsidP="0003264F">
      <w:pPr>
        <w:rPr>
          <w:sz w:val="16"/>
        </w:rPr>
      </w:pPr>
      <w:r w:rsidRPr="0070635E">
        <w:rPr>
          <w:sz w:val="16"/>
        </w:rPr>
        <w:t xml:space="preserve"> </w:t>
      </w:r>
    </w:p>
    <w:p w14:paraId="51EC4E46" w14:textId="77777777" w:rsidR="0003264F" w:rsidRDefault="0003264F" w:rsidP="0003264F">
      <w:pPr>
        <w:pStyle w:val="Heading3"/>
      </w:pPr>
      <w:r>
        <w:t>1AC – Plan</w:t>
      </w:r>
    </w:p>
    <w:p w14:paraId="7183A2A0" w14:textId="77777777" w:rsidR="0003264F" w:rsidRDefault="0003264F" w:rsidP="0003264F">
      <w:pPr>
        <w:pStyle w:val="Heading4"/>
      </w:pPr>
      <w:r>
        <w:t>Plan text: The United States of America ought to recognize an unconditional right of workers to strike.</w:t>
      </w:r>
    </w:p>
    <w:p w14:paraId="6202D41A" w14:textId="77777777" w:rsidR="0003264F" w:rsidRDefault="0003264F" w:rsidP="0003264F"/>
    <w:p w14:paraId="55F2F5CE" w14:textId="77777777" w:rsidR="001142BE" w:rsidRPr="002D5537" w:rsidRDefault="001142BE" w:rsidP="001142BE">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64CCBC72" w14:textId="77777777" w:rsidR="001142BE" w:rsidRPr="00D2046C" w:rsidRDefault="001142BE" w:rsidP="001142BE">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6" w:history="1">
        <w:r w:rsidRPr="00111F4F">
          <w:rPr>
            <w:rStyle w:val="Hyperlink"/>
          </w:rPr>
          <w:t>https://digitalcommons.law.yale.edu/cgi/viewcontent.cgi?article=1710&amp;context=yjil</w:t>
        </w:r>
      </w:hyperlink>
      <w:r>
        <w:t>] Justin ** Brackets in original</w:t>
      </w:r>
    </w:p>
    <w:p w14:paraId="1D664EBD" w14:textId="77777777" w:rsidR="001142BE" w:rsidRPr="00696421" w:rsidRDefault="001142BE" w:rsidP="001142BE">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48AEED2B" w14:textId="77777777" w:rsidR="0003264F" w:rsidRDefault="0003264F" w:rsidP="0003264F"/>
    <w:p w14:paraId="79CD6E0C" w14:textId="77777777" w:rsidR="0003264F" w:rsidRDefault="0003264F" w:rsidP="0003264F">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5903C3FC" w14:textId="77777777" w:rsidR="0003264F" w:rsidRPr="00B76282" w:rsidRDefault="0003264F" w:rsidP="0003264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7" w:history="1">
        <w:r w:rsidRPr="00111F4F">
          <w:rPr>
            <w:rStyle w:val="Hyperlink"/>
          </w:rPr>
          <w:t>https://digitalcommons.law.yale.edu/cgi/viewcontent.cgi?article=1710&amp;context=yjil</w:t>
        </w:r>
      </w:hyperlink>
      <w:r>
        <w:t>] Justin ** Brackets in original</w:t>
      </w:r>
    </w:p>
    <w:p w14:paraId="00827DAE" w14:textId="77777777" w:rsidR="0003264F" w:rsidRDefault="0003264F" w:rsidP="0003264F">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U.S.should</w:t>
      </w:r>
      <w:proofErr w:type="spellEnd"/>
      <w:r w:rsidRPr="00FC6656">
        <w:rPr>
          <w:u w:val="single"/>
        </w:rPr>
        <w:t xml:space="preserve"> grant injunctive relief prohibiting states from violating CIL regarding the right to strike, at least until Congress has addressed the issue.</w:t>
      </w:r>
    </w:p>
    <w:p w14:paraId="291C3B9A" w14:textId="77777777" w:rsidR="0003264F" w:rsidRDefault="0003264F" w:rsidP="0003264F">
      <w:pPr>
        <w:rPr>
          <w:u w:val="single"/>
        </w:rPr>
      </w:pPr>
    </w:p>
    <w:p w14:paraId="3B27500C" w14:textId="77777777" w:rsidR="0003264F" w:rsidRDefault="0003264F" w:rsidP="0003264F">
      <w:pPr>
        <w:pStyle w:val="Heading4"/>
      </w:pPr>
      <w:r>
        <w:t xml:space="preserve">Definition of </w:t>
      </w:r>
      <w:r w:rsidRPr="0026026A">
        <w:rPr>
          <w:u w:val="single"/>
        </w:rPr>
        <w:t>unconditional right to strike</w:t>
      </w:r>
      <w:r>
        <w:t>:</w:t>
      </w:r>
    </w:p>
    <w:p w14:paraId="6E36BE2D" w14:textId="77777777" w:rsidR="0003264F" w:rsidRDefault="0003264F" w:rsidP="0003264F">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8" w:history="1">
        <w:r w:rsidRPr="00540FF3">
          <w:rPr>
            <w:rStyle w:val="Hyperlink"/>
          </w:rPr>
          <w:t>https://play.google.com/store/books/details?id=7o1tA__v4xwC&amp;rdid=book-7o1tA__v4xwC&amp;rdot=1</w:t>
        </w:r>
      </w:hyperlink>
      <w:r>
        <w:t>] Justin</w:t>
      </w:r>
    </w:p>
    <w:p w14:paraId="452AB663" w14:textId="77777777" w:rsidR="0003264F" w:rsidRPr="0026026A" w:rsidRDefault="0003264F" w:rsidP="0003264F">
      <w:r>
        <w:t>**Edited for gendered language</w:t>
      </w:r>
    </w:p>
    <w:p w14:paraId="12A3DF7D" w14:textId="77777777" w:rsidR="0003264F" w:rsidRDefault="0003264F" w:rsidP="0003264F">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33C18AFD" w14:textId="77777777" w:rsidR="0003264F" w:rsidRDefault="0003264F" w:rsidP="0003264F">
      <w:pPr>
        <w:rPr>
          <w:sz w:val="16"/>
        </w:rPr>
      </w:pPr>
    </w:p>
    <w:p w14:paraId="22FDD7D1" w14:textId="77777777" w:rsidR="0003264F" w:rsidRDefault="0003264F" w:rsidP="0003264F">
      <w:pPr>
        <w:pStyle w:val="Heading4"/>
      </w:pPr>
      <w:r>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7F4D2079" w14:textId="77777777" w:rsidR="0003264F" w:rsidRPr="004726E6" w:rsidRDefault="0003264F" w:rsidP="0003264F">
      <w:proofErr w:type="spellStart"/>
      <w:r w:rsidRPr="004726E6">
        <w:rPr>
          <w:rStyle w:val="Style13ptBold"/>
        </w:rPr>
        <w:t>Wisskerchen</w:t>
      </w:r>
      <w:proofErr w:type="spellEnd"/>
      <w:r w:rsidRPr="004726E6">
        <w:rPr>
          <w:rStyle w:val="Style13ptBold"/>
        </w:rPr>
        <w:t xml:space="preserve"> 5</w:t>
      </w:r>
      <w:r>
        <w:t xml:space="preserve"> [Alfred; 2005; “</w:t>
      </w:r>
      <w:r w:rsidRPr="004726E6">
        <w:t>The standard-setting and monitoring activity of the ILO: Legal questions and practical experience</w:t>
      </w:r>
      <w:r>
        <w:t xml:space="preserve">,” </w:t>
      </w:r>
      <w:r w:rsidRPr="004726E6">
        <w:t>International Labour Review, Vol. 144 (2005), No. 3</w:t>
      </w:r>
      <w:r>
        <w:t xml:space="preserve">, </w:t>
      </w:r>
      <w:hyperlink r:id="rId19" w:history="1">
        <w:r w:rsidRPr="004E2197">
          <w:rPr>
            <w:rStyle w:val="Hyperlink"/>
          </w:rPr>
          <w:t>https://sci-hub.se/https://onlinelibrary.wiley.com/doi/10.1111/j.1564-913X.2005.tb00569.x</w:t>
        </w:r>
      </w:hyperlink>
      <w:r>
        <w:t>] Justin</w:t>
      </w:r>
    </w:p>
    <w:p w14:paraId="4CE3C0F6" w14:textId="77777777" w:rsidR="0003264F" w:rsidRPr="004726E6" w:rsidRDefault="0003264F" w:rsidP="0003264F">
      <w:r>
        <w:t xml:space="preserve">To date there has been no further reaction from the experts in the old dispute over the interpretation of the Freedom of Association and Protection of the Right to </w:t>
      </w:r>
      <w:proofErr w:type="spellStart"/>
      <w:r>
        <w:t>Organise</w:t>
      </w:r>
      <w:proofErr w:type="spellEnd"/>
      <w:r>
        <w:t xml:space="preserve"> Convention, 1948 (No. 87), with regard to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programmes”,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a large number of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are not compatible with Convention No. 87. Thus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54846CF5" w14:textId="034BB6EA" w:rsidR="00425AB6" w:rsidRDefault="00425AB6"/>
    <w:p w14:paraId="0AB4D560" w14:textId="0B3C86E7" w:rsidR="0003264F" w:rsidRDefault="0003264F" w:rsidP="0003264F">
      <w:pPr>
        <w:pStyle w:val="Heading3"/>
      </w:pPr>
      <w:r>
        <w:t>1AC – FW</w:t>
      </w:r>
    </w:p>
    <w:p w14:paraId="2C100205" w14:textId="77777777" w:rsidR="0003264F" w:rsidRPr="009F214B" w:rsidRDefault="0003264F" w:rsidP="0003264F">
      <w:pPr>
        <w:pStyle w:val="Heading4"/>
        <w:rPr>
          <w:rFonts w:cs="Calibri"/>
        </w:rPr>
      </w:pPr>
      <w:r w:rsidRPr="009F214B">
        <w:rPr>
          <w:rFonts w:cs="Calibri"/>
        </w:rPr>
        <w:t>The standard is maximizing expected wellbeing.</w:t>
      </w:r>
    </w:p>
    <w:p w14:paraId="7D2A32D5" w14:textId="77777777" w:rsidR="0003264F" w:rsidRPr="009F214B" w:rsidRDefault="0003264F" w:rsidP="0003264F">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6ED1E59" w14:textId="77777777" w:rsidR="0003264F" w:rsidRPr="009F214B" w:rsidRDefault="0003264F" w:rsidP="0003264F">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52875C52" w14:textId="77777777" w:rsidR="0003264F" w:rsidRPr="004D267B" w:rsidRDefault="0003264F" w:rsidP="0003264F">
      <w:pPr>
        <w:pStyle w:val="Heading4"/>
        <w:rPr>
          <w:rFonts w:cs="Calibri"/>
        </w:rPr>
      </w:pPr>
      <w:r w:rsidRPr="009F214B">
        <w:rPr>
          <w:rFonts w:cs="Calibri"/>
        </w:rPr>
        <w:t xml:space="preserve">3] </w:t>
      </w:r>
      <w:r w:rsidRPr="004D267B">
        <w:rPr>
          <w:rFonts w:cs="Calibri"/>
        </w:rPr>
        <w:t xml:space="preserve">Pleasure is an intrinsic good. </w:t>
      </w:r>
    </w:p>
    <w:p w14:paraId="2DED9BD8" w14:textId="77777777" w:rsidR="0003264F" w:rsidRDefault="0003264F" w:rsidP="0003264F">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0F807015" w14:textId="77777777" w:rsidR="0003264F" w:rsidRDefault="0003264F" w:rsidP="0003264F">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4D589B76" w14:textId="77777777" w:rsidR="0003264F" w:rsidRDefault="0003264F" w:rsidP="0003264F">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proofErr w:type="spellStart"/>
      <w:r w:rsidRPr="00E55813">
        <w:rPr>
          <w:rStyle w:val="Emphasis"/>
          <w:highlight w:val="green"/>
        </w:rPr>
        <w:t>her</w:t>
      </w:r>
      <w:r w:rsidRPr="004D267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5B50E2CB" w14:textId="77777777" w:rsidR="0003264F" w:rsidRPr="004D267B" w:rsidRDefault="0003264F" w:rsidP="0003264F">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35C89925" w14:textId="77777777" w:rsidR="0003264F" w:rsidRPr="00CE09CC" w:rsidRDefault="0003264F" w:rsidP="0003264F">
      <w:pPr>
        <w:pStyle w:val="Heading4"/>
        <w:rPr>
          <w:bCs/>
        </w:rPr>
      </w:pPr>
      <w:r w:rsidRPr="009F214B">
        <w:rPr>
          <w:rFonts w:cs="Calibri"/>
        </w:rPr>
        <w:t xml:space="preserve">4] </w:t>
      </w:r>
      <w:r w:rsidRPr="00CE09CC">
        <w:rPr>
          <w:bCs/>
        </w:rPr>
        <w:t xml:space="preserve">Mathematically </w:t>
      </w:r>
      <w:r w:rsidRPr="00CE09CC">
        <w:rPr>
          <w:bCs/>
          <w:u w:val="single"/>
        </w:rPr>
        <w:t>outweighs</w:t>
      </w:r>
      <w:r w:rsidRPr="00CE09CC">
        <w:rPr>
          <w:bCs/>
        </w:rPr>
        <w:t>.</w:t>
      </w:r>
    </w:p>
    <w:p w14:paraId="6BA7F1BC" w14:textId="77777777" w:rsidR="0003264F" w:rsidRDefault="0003264F" w:rsidP="0003264F">
      <w:r>
        <w:rPr>
          <w:rStyle w:val="Heading4Char"/>
        </w:rPr>
        <w:t>MacAskill 14</w:t>
      </w:r>
      <w:r>
        <w:t xml:space="preserve"> [William, Oxford Philosopher and youngest tenured philosopher in the world, Normative Uncertainty, 2014]</w:t>
      </w:r>
    </w:p>
    <w:p w14:paraId="24F1BC93" w14:textId="77777777" w:rsidR="0003264F" w:rsidRDefault="0003264F" w:rsidP="0003264F">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7ACDD0B8" w14:textId="68DC0FDE" w:rsidR="0003264F" w:rsidRPr="0003264F" w:rsidRDefault="0003264F" w:rsidP="0003264F">
      <w:pPr>
        <w:pStyle w:val="Heading4"/>
      </w:pPr>
    </w:p>
    <w:sectPr w:rsidR="0003264F" w:rsidRPr="000326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64F"/>
    <w:rsid w:val="0003264F"/>
    <w:rsid w:val="001142BE"/>
    <w:rsid w:val="00425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6D937"/>
  <w15:chartTrackingRefBased/>
  <w15:docId w15:val="{D5350AA5-5039-4F87-8C63-9498A6F3C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264F"/>
    <w:rPr>
      <w:rFonts w:ascii="Calibri" w:eastAsiaTheme="minorHAnsi" w:hAnsi="Calibri" w:cs="Calibri"/>
      <w:lang w:eastAsia="en-US"/>
    </w:rPr>
  </w:style>
  <w:style w:type="paragraph" w:styleId="Heading1">
    <w:name w:val="heading 1"/>
    <w:aliases w:val="Pocket"/>
    <w:basedOn w:val="Normal"/>
    <w:next w:val="Normal"/>
    <w:link w:val="Heading1Char"/>
    <w:qFormat/>
    <w:rsid w:val="000326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26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26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3264F"/>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326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264F"/>
  </w:style>
  <w:style w:type="character" w:customStyle="1" w:styleId="Heading1Char">
    <w:name w:val="Heading 1 Char"/>
    <w:aliases w:val="Pocket Char"/>
    <w:basedOn w:val="DefaultParagraphFont"/>
    <w:link w:val="Heading1"/>
    <w:rsid w:val="0003264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3264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3264F"/>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3264F"/>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326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3264F"/>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S"/>
    <w:basedOn w:val="DefaultParagraphFont"/>
    <w:uiPriority w:val="6"/>
    <w:qFormat/>
    <w:rsid w:val="0003264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03264F"/>
    <w:rPr>
      <w:color w:val="auto"/>
      <w:u w:val="none"/>
    </w:rPr>
  </w:style>
  <w:style w:type="character" w:styleId="FollowedHyperlink">
    <w:name w:val="FollowedHyperlink"/>
    <w:basedOn w:val="DefaultParagraphFont"/>
    <w:uiPriority w:val="99"/>
    <w:semiHidden/>
    <w:unhideWhenUsed/>
    <w:rsid w:val="0003264F"/>
    <w:rPr>
      <w:color w:val="auto"/>
      <w:u w:val="none"/>
    </w:rPr>
  </w:style>
  <w:style w:type="character" w:styleId="UnresolvedMention">
    <w:name w:val="Unresolved Mention"/>
    <w:basedOn w:val="DefaultParagraphFont"/>
    <w:uiPriority w:val="99"/>
    <w:semiHidden/>
    <w:unhideWhenUsed/>
    <w:rsid w:val="0003264F"/>
    <w:rPr>
      <w:color w:val="605E5C"/>
      <w:shd w:val="clear" w:color="auto" w:fill="E1DFDD"/>
    </w:rPr>
  </w:style>
  <w:style w:type="paragraph" w:customStyle="1" w:styleId="textbold">
    <w:name w:val="text bold"/>
    <w:basedOn w:val="Normal"/>
    <w:link w:val="Emphasis"/>
    <w:uiPriority w:val="7"/>
    <w:qFormat/>
    <w:rsid w:val="0003264F"/>
    <w:pPr>
      <w:widowControl w:val="0"/>
      <w:ind w:left="720"/>
    </w:pPr>
    <w:rPr>
      <w:rFonts w:eastAsiaTheme="minorEastAsia"/>
      <w:b/>
      <w:iCs/>
      <w:u w:val="single"/>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0326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styleId="ListParagraph">
    <w:name w:val="List Paragraph"/>
    <w:basedOn w:val="Normal"/>
    <w:uiPriority w:val="34"/>
    <w:qFormat/>
    <w:rsid w:val="0003264F"/>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03264F"/>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03264F"/>
    <w:rPr>
      <w:rFonts w:eastAsiaTheme="minorHAnsi"/>
      <w:lang w:eastAsia="en-US"/>
    </w:rPr>
  </w:style>
  <w:style w:type="paragraph" w:styleId="DocumentMap">
    <w:name w:val="Document Map"/>
    <w:basedOn w:val="Normal"/>
    <w:link w:val="DocumentMapChar"/>
    <w:uiPriority w:val="99"/>
    <w:semiHidden/>
    <w:unhideWhenUsed/>
    <w:rsid w:val="0003264F"/>
    <w:rPr>
      <w:rFonts w:ascii="Lucida Grande" w:hAnsi="Lucida Grande" w:cs="Lucida Grande"/>
    </w:rPr>
  </w:style>
  <w:style w:type="character" w:customStyle="1" w:styleId="DocumentMapChar">
    <w:name w:val="Document Map Char"/>
    <w:basedOn w:val="DefaultParagraphFont"/>
    <w:link w:val="DocumentMap"/>
    <w:uiPriority w:val="99"/>
    <w:semiHidden/>
    <w:rsid w:val="0003264F"/>
    <w:rPr>
      <w:rFonts w:ascii="Lucida Grande" w:eastAsiaTheme="minorHAnsi" w:hAnsi="Lucida Grande" w:cs="Lucida Grande"/>
      <w:lang w:eastAsia="en-US"/>
    </w:rPr>
  </w:style>
  <w:style w:type="character" w:customStyle="1" w:styleId="TitleChar">
    <w:name w:val="Title Char"/>
    <w:basedOn w:val="DefaultParagraphFont"/>
    <w:link w:val="Title"/>
    <w:uiPriority w:val="1"/>
    <w:qFormat/>
    <w:rsid w:val="0003264F"/>
    <w:rPr>
      <w:u w:val="single"/>
    </w:rPr>
  </w:style>
  <w:style w:type="paragraph" w:styleId="Title">
    <w:name w:val="Title"/>
    <w:basedOn w:val="Normal"/>
    <w:link w:val="TitleChar"/>
    <w:uiPriority w:val="1"/>
    <w:qFormat/>
    <w:rsid w:val="0003264F"/>
    <w:pPr>
      <w:spacing w:before="240" w:after="60"/>
      <w:ind w:left="432" w:right="432"/>
      <w:jc w:val="center"/>
      <w:outlineLvl w:val="0"/>
    </w:pPr>
    <w:rPr>
      <w:rFonts w:asciiTheme="minorHAnsi" w:eastAsiaTheme="minorEastAsia" w:hAnsiTheme="minorHAnsi" w:cstheme="minorBidi"/>
      <w:u w:val="single"/>
      <w:lang w:eastAsia="zh-CN"/>
    </w:rPr>
  </w:style>
  <w:style w:type="character" w:customStyle="1" w:styleId="TitleChar1">
    <w:name w:val="Title Char1"/>
    <w:basedOn w:val="DefaultParagraphFont"/>
    <w:uiPriority w:val="10"/>
    <w:rsid w:val="0003264F"/>
    <w:rPr>
      <w:rFonts w:asciiTheme="majorHAnsi" w:eastAsiaTheme="majorEastAsia" w:hAnsiTheme="majorHAnsi" w:cstheme="majorBidi"/>
      <w:spacing w:val="-10"/>
      <w:kern w:val="28"/>
      <w:sz w:val="56"/>
      <w:szCs w:val="56"/>
      <w:lang w:eastAsia="en-US"/>
    </w:rPr>
  </w:style>
  <w:style w:type="paragraph" w:customStyle="1" w:styleId="Emphasis1">
    <w:name w:val="Emphasis1"/>
    <w:basedOn w:val="Normal"/>
    <w:uiPriority w:val="7"/>
    <w:qFormat/>
    <w:rsid w:val="0003264F"/>
    <w:pPr>
      <w:pBdr>
        <w:top w:val="single" w:sz="12" w:space="1" w:color="auto"/>
        <w:left w:val="single" w:sz="12" w:space="4" w:color="auto"/>
        <w:bottom w:val="single" w:sz="12" w:space="1" w:color="auto"/>
        <w:right w:val="single" w:sz="12" w:space="4" w:color="auto"/>
      </w:pBdr>
      <w:ind w:left="720"/>
      <w:jc w:val="both"/>
    </w:pPr>
    <w:rPr>
      <w:rFonts w:eastAsiaTheme="minorEastAsia"/>
      <w:b/>
      <w:iCs/>
      <w:u w:val="single"/>
      <w:lang w:eastAsia="zh-CN"/>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1142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global/standards/introduction-to-international-labour-standards/the-benefits-of-international-labour-standards/lang--en/index.htm" TargetMode="External"/><Relationship Id="rId13" Type="http://schemas.openxmlformats.org/officeDocument/2006/relationships/hyperlink" Target="https://www.livescience.com/57266-amazon-river.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igitalcommons.law.yale.edu/cgi/viewcontent.cgi?article=1710&amp;context=yjil" TargetMode="External"/><Relationship Id="rId12" Type="http://schemas.openxmlformats.org/officeDocument/2006/relationships/hyperlink" Target="https://www.ipcc.ch/sr15/"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styles" Target="styles.xml"/><Relationship Id="rId16" Type="http://schemas.openxmlformats.org/officeDocument/2006/relationships/hyperlink" Target="https://digitalcommons.law.yale.edu/cgi/viewcontent.cgi?article=1710&amp;context=yji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ci-hub.se/https://doi.org/10.1177/2031952521994412"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hyperlink" Target="https://digitalcommons.law.yale.edu/cgi/viewcontent.cgi?article=1710&amp;context=yjil" TargetMode="External"/><Relationship Id="rId15" Type="http://schemas.openxmlformats.org/officeDocument/2006/relationships/hyperlink" Target="https://www.livescience.com/51990-sea-level-rise-unknowns.html" TargetMode="External"/><Relationship Id="rId10" Type="http://schemas.openxmlformats.org/officeDocument/2006/relationships/hyperlink" Target="https://scholarship.law.nd.edu/cgi/viewcontent.cgi?article=1034&amp;context=ndjicl" TargetMode="External"/><Relationship Id="rId19" Type="http://schemas.openxmlformats.org/officeDocument/2006/relationships/hyperlink" Target="https://sci-hub.se/https://onlinelibrary.wiley.com/doi/10.1111/j.1564-913X.2005.tb00569.x" TargetMode="External"/><Relationship Id="rId4" Type="http://schemas.openxmlformats.org/officeDocument/2006/relationships/webSettings" Target="webSettings.xml"/><Relationship Id="rId9" Type="http://schemas.openxmlformats.org/officeDocument/2006/relationships/hyperlink" Target="https://www.bbvaopenmind.com/en/articles/technological-wild-cards-existential-risk-and-a-changing-humanity/)//"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15</TotalTime>
  <Pages>1</Pages>
  <Words>16707</Words>
  <Characters>95236</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2021-10-30T22:10:00Z</dcterms:created>
  <dcterms:modified xsi:type="dcterms:W3CDTF">2021-10-30T22:27:00Z</dcterms:modified>
</cp:coreProperties>
</file>