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FC8E7" w14:textId="30B18DAD" w:rsidR="00B457AC" w:rsidRDefault="00B457AC" w:rsidP="00B457AC">
      <w:pPr>
        <w:pStyle w:val="Heading1"/>
      </w:pPr>
      <w:r>
        <w:t>TOC R4</w:t>
      </w:r>
    </w:p>
    <w:p w14:paraId="2694FC77" w14:textId="501274C3" w:rsidR="00B457AC" w:rsidRPr="00B457AC" w:rsidRDefault="00B457AC" w:rsidP="00B457AC">
      <w:pPr>
        <w:pStyle w:val="Heading2"/>
      </w:pPr>
      <w:r>
        <w:lastRenderedPageBreak/>
        <w:t>NC</w:t>
      </w:r>
    </w:p>
    <w:p w14:paraId="7EAD3681" w14:textId="67817389" w:rsidR="00883408" w:rsidRPr="00883408" w:rsidRDefault="00B457AC" w:rsidP="00CB4D2D">
      <w:pPr>
        <w:pStyle w:val="Heading3"/>
      </w:pPr>
      <w:r>
        <w:lastRenderedPageBreak/>
        <w:t>1</w:t>
      </w:r>
    </w:p>
    <w:p w14:paraId="293B7175" w14:textId="77777777" w:rsidR="00B457AC" w:rsidRDefault="00B457AC" w:rsidP="00B457AC">
      <w:pPr>
        <w:pStyle w:val="Heading4"/>
      </w:pPr>
      <w:r>
        <w:t>Counter ROB is to vote for the better liberation strategy – anything else leads to oppression Olympics and should be rejected</w:t>
      </w:r>
    </w:p>
    <w:p w14:paraId="59C9AE95" w14:textId="77777777" w:rsidR="00B457AC" w:rsidRPr="00B457AC" w:rsidRDefault="00B457AC" w:rsidP="00B457AC"/>
    <w:p w14:paraId="4536E8EB" w14:textId="4978BA2E" w:rsidR="000C7AD4" w:rsidRDefault="000C7AD4" w:rsidP="000C7AD4">
      <w:pPr>
        <w:pStyle w:val="Heading4"/>
      </w:pPr>
      <w:r>
        <w:t xml:space="preserve">CP Text </w:t>
      </w:r>
      <w:proofErr w:type="gramStart"/>
      <w:r>
        <w:t>– ????</w:t>
      </w:r>
      <w:proofErr w:type="gramEnd"/>
    </w:p>
    <w:p w14:paraId="66925CA8" w14:textId="77777777" w:rsidR="000C7AD4" w:rsidRDefault="000C7AD4" w:rsidP="000C7AD4">
      <w:pPr>
        <w:pStyle w:val="Heading4"/>
      </w:pPr>
      <w:r>
        <w:t xml:space="preserve">The 1AC’s semiotic coherence within the world is sutured through a western model of </w:t>
      </w:r>
      <w:proofErr w:type="spellStart"/>
      <w:r>
        <w:rPr>
          <w:u w:val="single"/>
        </w:rPr>
        <w:t>s</w:t>
      </w:r>
      <w:r w:rsidRPr="008C75FE">
        <w:rPr>
          <w:u w:val="single"/>
        </w:rPr>
        <w:t>criptocentrism</w:t>
      </w:r>
      <w:proofErr w:type="spellEnd"/>
      <w:r>
        <w:t xml:space="preserve"> that is exclusionary and violent towards black and brown bodies</w:t>
      </w:r>
    </w:p>
    <w:p w14:paraId="17F97858" w14:textId="77777777" w:rsidR="000C7AD4" w:rsidRPr="00B264DF" w:rsidRDefault="000C7AD4" w:rsidP="000C7AD4">
      <w:proofErr w:type="spellStart"/>
      <w:r w:rsidRPr="006F2E3B">
        <w:rPr>
          <w:rStyle w:val="Style13ptBold"/>
        </w:rPr>
        <w:t>Conquergood</w:t>
      </w:r>
      <w:proofErr w:type="spellEnd"/>
      <w:r w:rsidRPr="006F2E3B">
        <w:t>, Dwight. Cultural struggles: Performance, ethnography, praxis. University of Michigan Press, 20</w:t>
      </w:r>
      <w:r w:rsidRPr="006F2E3B">
        <w:rPr>
          <w:rStyle w:val="Style13ptBold"/>
        </w:rPr>
        <w:t>13</w:t>
      </w:r>
      <w:r w:rsidRPr="00B264DF">
        <w:t>. (a professor of anthropology and performance studies at Northwestern University)</w:t>
      </w:r>
      <w:r>
        <w:t>//Elmer</w:t>
      </w:r>
    </w:p>
    <w:p w14:paraId="588A7D3E" w14:textId="77777777" w:rsidR="000C7AD4" w:rsidRPr="00495D43" w:rsidRDefault="000C7AD4" w:rsidP="000C7AD4">
      <w:pPr>
        <w:rPr>
          <w:rFonts w:asciiTheme="minorHAnsi" w:hAnsiTheme="minorHAnsi" w:cstheme="minorHAnsi"/>
        </w:rPr>
      </w:pPr>
      <w:r w:rsidRPr="006F2E3B">
        <w:rPr>
          <w:rFonts w:asciiTheme="minorHAnsi" w:hAnsiTheme="minorHAnsi" w:cstheme="minorHAnsi"/>
          <w:sz w:val="16"/>
        </w:rPr>
        <w:t xml:space="preserve">According to de </w:t>
      </w:r>
      <w:proofErr w:type="spellStart"/>
      <w:r w:rsidRPr="006F2E3B">
        <w:rPr>
          <w:rFonts w:asciiTheme="minorHAnsi" w:hAnsiTheme="minorHAnsi" w:cstheme="minorHAnsi"/>
          <w:sz w:val="16"/>
        </w:rPr>
        <w:t>Certeau</w:t>
      </w:r>
      <w:proofErr w:type="spellEnd"/>
      <w:r w:rsidRPr="006F2E3B">
        <w:rPr>
          <w:rFonts w:asciiTheme="minorHAnsi" w:hAnsiTheme="minorHAnsi" w:cstheme="minorHAnsi"/>
          <w:sz w:val="16"/>
        </w:rPr>
        <w:t xml:space="preserve">, </w:t>
      </w:r>
      <w:r w:rsidRPr="006F2E3B">
        <w:rPr>
          <w:rFonts w:asciiTheme="minorHAnsi" w:hAnsiTheme="minorHAnsi" w:cstheme="minorHAnsi"/>
          <w:bCs/>
          <w:u w:val="single"/>
        </w:rPr>
        <w:t xml:space="preserve">this </w:t>
      </w:r>
      <w:proofErr w:type="spellStart"/>
      <w:r w:rsidRPr="00870254">
        <w:rPr>
          <w:rFonts w:asciiTheme="minorHAnsi" w:hAnsiTheme="minorHAnsi" w:cstheme="minorHAnsi"/>
          <w:bCs/>
          <w:highlight w:val="green"/>
          <w:u w:val="single"/>
        </w:rPr>
        <w:t>scriptocentrism</w:t>
      </w:r>
      <w:proofErr w:type="spellEnd"/>
      <w:r w:rsidRPr="00870254">
        <w:rPr>
          <w:rFonts w:asciiTheme="minorHAnsi" w:hAnsiTheme="minorHAnsi" w:cstheme="minorHAnsi"/>
          <w:bCs/>
          <w:highlight w:val="green"/>
          <w:u w:val="single"/>
        </w:rPr>
        <w:t xml:space="preserve"> is a </w:t>
      </w:r>
      <w:r w:rsidRPr="00870254">
        <w:rPr>
          <w:rFonts w:asciiTheme="minorHAnsi" w:hAnsiTheme="minorHAnsi" w:cstheme="minorHAnsi"/>
          <w:b/>
          <w:iCs/>
          <w:highlight w:val="green"/>
          <w:u w:val="single"/>
          <w:bdr w:val="single" w:sz="18" w:space="0" w:color="auto"/>
        </w:rPr>
        <w:t>hallmark of Western imperialism</w:t>
      </w:r>
      <w:r w:rsidRPr="006F2E3B">
        <w:rPr>
          <w:rFonts w:asciiTheme="minorHAnsi" w:hAnsiTheme="minorHAnsi" w:cstheme="minorHAnsi"/>
          <w:bCs/>
          <w:u w:val="single"/>
        </w:rPr>
        <w:t xml:space="preserve">. Posted above the gates of modernity, this sign: “‘Here </w:t>
      </w:r>
      <w:r w:rsidRPr="00870254">
        <w:rPr>
          <w:rFonts w:asciiTheme="minorHAnsi" w:hAnsiTheme="minorHAnsi" w:cstheme="minorHAnsi"/>
          <w:bCs/>
          <w:highlight w:val="green"/>
          <w:u w:val="single"/>
        </w:rPr>
        <w:t>only what is written is understood</w:t>
      </w:r>
      <w:r w:rsidRPr="006F2E3B">
        <w:rPr>
          <w:rFonts w:asciiTheme="minorHAnsi" w:hAnsiTheme="minorHAnsi" w:cstheme="minorHAnsi"/>
          <w:bCs/>
          <w:u w:val="single"/>
        </w:rPr>
        <w:t xml:space="preserve">.’ Such is </w:t>
      </w:r>
      <w:r w:rsidRPr="00870254">
        <w:rPr>
          <w:rFonts w:asciiTheme="minorHAnsi" w:hAnsiTheme="minorHAnsi" w:cstheme="minorHAnsi"/>
          <w:bCs/>
          <w:highlight w:val="green"/>
          <w:u w:val="single"/>
        </w:rPr>
        <w:t xml:space="preserve">the internal law of </w:t>
      </w:r>
      <w:r w:rsidRPr="006F2E3B">
        <w:rPr>
          <w:rFonts w:asciiTheme="minorHAnsi" w:hAnsiTheme="minorHAnsi" w:cstheme="minorHAnsi"/>
          <w:bCs/>
          <w:u w:val="single"/>
        </w:rPr>
        <w:t>that which has constituted itself as ‘</w:t>
      </w:r>
      <w:r w:rsidRPr="00870254">
        <w:rPr>
          <w:rFonts w:asciiTheme="minorHAnsi" w:hAnsiTheme="minorHAnsi" w:cstheme="minorHAnsi"/>
          <w:bCs/>
          <w:highlight w:val="green"/>
          <w:u w:val="single"/>
        </w:rPr>
        <w:t xml:space="preserve">Western’ </w:t>
      </w:r>
      <w:r w:rsidRPr="006F2E3B">
        <w:rPr>
          <w:rFonts w:asciiTheme="minorHAnsi" w:hAnsiTheme="minorHAnsi" w:cstheme="minorHAnsi"/>
          <w:bCs/>
          <w:u w:val="single"/>
        </w:rPr>
        <w:t xml:space="preserve">[and ‘white’]” Only middle-class academics could blithely assume that all the world is a text because reading and writing are central to their everyday lives and occupational security. </w:t>
      </w:r>
      <w:r w:rsidRPr="00870254">
        <w:rPr>
          <w:rFonts w:asciiTheme="minorHAnsi" w:hAnsiTheme="minorHAnsi" w:cstheme="minorHAnsi"/>
          <w:bCs/>
          <w:highlight w:val="green"/>
          <w:u w:val="single"/>
        </w:rPr>
        <w:t>For many</w:t>
      </w:r>
      <w:r w:rsidRPr="00870254">
        <w:rPr>
          <w:rFonts w:asciiTheme="minorHAnsi" w:hAnsiTheme="minorHAnsi" w:cstheme="minorHAnsi"/>
          <w:sz w:val="16"/>
          <w:highlight w:val="green"/>
        </w:rPr>
        <w:t xml:space="preserve"> </w:t>
      </w:r>
      <w:r w:rsidRPr="006F2E3B">
        <w:rPr>
          <w:rFonts w:asciiTheme="minorHAnsi" w:hAnsiTheme="minorHAnsi" w:cstheme="minorHAnsi"/>
          <w:sz w:val="16"/>
        </w:rPr>
        <w:t xml:space="preserve">people </w:t>
      </w:r>
      <w:r w:rsidRPr="006F2E3B">
        <w:rPr>
          <w:rFonts w:asciiTheme="minorHAnsi" w:hAnsiTheme="minorHAnsi" w:cstheme="minorHAnsi"/>
          <w:bCs/>
          <w:u w:val="single"/>
        </w:rPr>
        <w:t>throughout the world</w:t>
      </w:r>
      <w:r w:rsidRPr="006F2E3B">
        <w:rPr>
          <w:rFonts w:asciiTheme="minorHAnsi" w:hAnsiTheme="minorHAnsi" w:cstheme="minorHAnsi"/>
          <w:sz w:val="16"/>
        </w:rPr>
        <w:t xml:space="preserve">, however, </w:t>
      </w:r>
      <w:r w:rsidRPr="00870254">
        <w:rPr>
          <w:rFonts w:asciiTheme="minorHAnsi" w:hAnsiTheme="minorHAnsi" w:cstheme="minorHAnsi"/>
          <w:bCs/>
          <w:highlight w:val="green"/>
          <w:u w:val="single"/>
        </w:rPr>
        <w:t>particularly subaltern groups</w:t>
      </w:r>
      <w:r w:rsidRPr="006F2E3B">
        <w:rPr>
          <w:rFonts w:asciiTheme="minorHAnsi" w:hAnsiTheme="minorHAnsi" w:cstheme="minorHAnsi"/>
          <w:bCs/>
          <w:u w:val="single"/>
        </w:rPr>
        <w:t xml:space="preserve">, </w:t>
      </w:r>
      <w:r w:rsidRPr="00870254">
        <w:rPr>
          <w:rFonts w:asciiTheme="minorHAnsi" w:hAnsiTheme="minorHAnsi" w:cstheme="minorHAnsi"/>
          <w:bCs/>
          <w:highlight w:val="green"/>
          <w:u w:val="single"/>
        </w:rPr>
        <w:t>texts are</w:t>
      </w:r>
      <w:r w:rsidRPr="00870254">
        <w:rPr>
          <w:rFonts w:asciiTheme="minorHAnsi" w:hAnsiTheme="minorHAnsi" w:cstheme="minorHAnsi"/>
          <w:sz w:val="16"/>
          <w:highlight w:val="green"/>
        </w:rPr>
        <w:t xml:space="preserve"> </w:t>
      </w:r>
      <w:r w:rsidRPr="006F2E3B">
        <w:rPr>
          <w:rFonts w:asciiTheme="minorHAnsi" w:hAnsiTheme="minorHAnsi" w:cstheme="minorHAnsi"/>
          <w:sz w:val="16"/>
        </w:rPr>
        <w:t xml:space="preserve">often </w:t>
      </w:r>
      <w:r w:rsidRPr="00870254">
        <w:rPr>
          <w:rFonts w:asciiTheme="minorHAnsi" w:hAnsiTheme="minorHAnsi" w:cstheme="minorHAnsi"/>
          <w:bCs/>
          <w:highlight w:val="green"/>
          <w:u w:val="single"/>
        </w:rPr>
        <w:t>inaccessible, or threatening</w:t>
      </w:r>
      <w:r w:rsidRPr="006F2E3B">
        <w:rPr>
          <w:rFonts w:asciiTheme="minorHAnsi" w:hAnsiTheme="minorHAnsi" w:cstheme="minorHAnsi"/>
          <w:bCs/>
          <w:u w:val="single"/>
        </w:rPr>
        <w:t>, charged with the regulator)' powers of the state.</w:t>
      </w:r>
      <w:r w:rsidRPr="006F2E3B">
        <w:rPr>
          <w:rFonts w:asciiTheme="minorHAnsi" w:hAnsiTheme="minorHAnsi" w:cstheme="minorHAnsi"/>
          <w:sz w:val="16"/>
        </w:rPr>
        <w:t xml:space="preserve"> </w:t>
      </w:r>
      <w:proofErr w:type="gramStart"/>
      <w:r w:rsidRPr="006F2E3B">
        <w:rPr>
          <w:rFonts w:asciiTheme="minorHAnsi" w:hAnsiTheme="minorHAnsi" w:cstheme="minorHAnsi"/>
          <w:sz w:val="16"/>
        </w:rPr>
        <w:t>More often than not</w:t>
      </w:r>
      <w:proofErr w:type="gramEnd"/>
      <w:r w:rsidRPr="006F2E3B">
        <w:rPr>
          <w:rFonts w:asciiTheme="minorHAnsi" w:hAnsiTheme="minorHAnsi" w:cstheme="minorHAnsi"/>
          <w:sz w:val="16"/>
        </w:rPr>
        <w:t xml:space="preserve">, </w:t>
      </w:r>
      <w:r w:rsidRPr="006F2E3B">
        <w:rPr>
          <w:rFonts w:asciiTheme="minorHAnsi" w:hAnsiTheme="minorHAnsi" w:cstheme="minorHAnsi"/>
          <w:bCs/>
          <w:u w:val="single"/>
        </w:rPr>
        <w:t xml:space="preserve">subordinate people experience texts and the bureaucracy of literacy as instruments of control and displacement, e.g., </w:t>
      </w:r>
      <w:r w:rsidRPr="006F2E3B">
        <w:rPr>
          <w:rFonts w:asciiTheme="minorHAnsi" w:hAnsiTheme="minorHAnsi" w:cstheme="minorHAnsi"/>
          <w:b/>
          <w:u w:val="single"/>
        </w:rPr>
        <w:t>green cards, passports, arrest warrants, deportation orders</w:t>
      </w:r>
      <w:r w:rsidRPr="006F2E3B">
        <w:rPr>
          <w:rFonts w:asciiTheme="minorHAnsi" w:hAnsiTheme="minorHAnsi" w:cstheme="minorHAnsi"/>
          <w:sz w:val="16"/>
        </w:rPr>
        <w:t xml:space="preserve">—what de </w:t>
      </w:r>
      <w:proofErr w:type="spellStart"/>
      <w:r w:rsidRPr="006F2E3B">
        <w:rPr>
          <w:rFonts w:asciiTheme="minorHAnsi" w:hAnsiTheme="minorHAnsi" w:cstheme="minorHAnsi"/>
          <w:sz w:val="16"/>
        </w:rPr>
        <w:t>Certeau</w:t>
      </w:r>
      <w:proofErr w:type="spellEnd"/>
      <w:r w:rsidRPr="006F2E3B">
        <w:rPr>
          <w:rFonts w:asciiTheme="minorHAnsi" w:hAnsiTheme="minorHAnsi" w:cstheme="minorHAnsi"/>
          <w:sz w:val="16"/>
        </w:rPr>
        <w:t xml:space="preserve"> calls "</w:t>
      </w:r>
      <w:proofErr w:type="spellStart"/>
      <w:r w:rsidRPr="006F2E3B">
        <w:rPr>
          <w:rFonts w:asciiTheme="minorHAnsi" w:hAnsiTheme="minorHAnsi" w:cstheme="minorHAnsi"/>
          <w:sz w:val="16"/>
        </w:rPr>
        <w:t>intextuation</w:t>
      </w:r>
      <w:proofErr w:type="spellEnd"/>
      <w:r w:rsidRPr="006F2E3B">
        <w:rPr>
          <w:rFonts w:asciiTheme="minorHAnsi" w:hAnsiTheme="minorHAnsi" w:cstheme="minorHAnsi"/>
          <w:sz w:val="16"/>
        </w:rPr>
        <w:t xml:space="preserve">": "Ever)' power, including </w:t>
      </w:r>
      <w:r w:rsidRPr="00870254">
        <w:rPr>
          <w:rFonts w:asciiTheme="minorHAnsi" w:hAnsiTheme="minorHAnsi" w:cstheme="minorHAnsi"/>
          <w:b/>
          <w:iCs/>
          <w:highlight w:val="green"/>
          <w:u w:val="single"/>
          <w:bdr w:val="single" w:sz="18" w:space="0" w:color="auto"/>
        </w:rPr>
        <w:t xml:space="preserve">the power of law, is written </w:t>
      </w:r>
      <w:r w:rsidRPr="006F2E3B">
        <w:rPr>
          <w:rFonts w:asciiTheme="minorHAnsi" w:hAnsiTheme="minorHAnsi" w:cstheme="minorHAnsi"/>
          <w:b/>
          <w:iCs/>
          <w:u w:val="single"/>
          <w:bdr w:val="single" w:sz="18" w:space="0" w:color="auto"/>
        </w:rPr>
        <w:t xml:space="preserve">first of all </w:t>
      </w:r>
      <w:r w:rsidRPr="00870254">
        <w:rPr>
          <w:rFonts w:asciiTheme="minorHAnsi" w:hAnsiTheme="minorHAnsi" w:cstheme="minorHAnsi"/>
          <w:b/>
          <w:iCs/>
          <w:highlight w:val="green"/>
          <w:u w:val="single"/>
          <w:bdr w:val="single" w:sz="18" w:space="0" w:color="auto"/>
        </w:rPr>
        <w:t>on the backs of its subjects</w:t>
      </w:r>
      <w:r w:rsidRPr="006F2E3B">
        <w:rPr>
          <w:rFonts w:asciiTheme="minorHAnsi" w:hAnsiTheme="minorHAnsi" w:cstheme="minorHAnsi"/>
          <w:b/>
          <w:iCs/>
          <w:u w:val="single"/>
          <w:bdr w:val="single" w:sz="18" w:space="0" w:color="auto"/>
        </w:rPr>
        <w:t>"</w:t>
      </w:r>
      <w:r w:rsidRPr="006F2E3B">
        <w:rPr>
          <w:rFonts w:asciiTheme="minorHAnsi" w:hAnsiTheme="minorHAnsi" w:cstheme="minorHAnsi"/>
          <w:sz w:val="16"/>
        </w:rPr>
        <w:t xml:space="preserve"> (1984:140). Among the most oppressed people in the United States today are the "undocumented" immigrants, the so-called "il- legal aliens," known in the vernacular as the people "sin </w:t>
      </w:r>
      <w:proofErr w:type="spellStart"/>
      <w:r w:rsidRPr="006F2E3B">
        <w:rPr>
          <w:rFonts w:asciiTheme="minorHAnsi" w:hAnsiTheme="minorHAnsi" w:cstheme="minorHAnsi"/>
          <w:sz w:val="16"/>
        </w:rPr>
        <w:t>papeles</w:t>
      </w:r>
      <w:proofErr w:type="spellEnd"/>
      <w:r w:rsidRPr="006F2E3B">
        <w:rPr>
          <w:rFonts w:asciiTheme="minorHAnsi" w:hAnsiTheme="minorHAnsi" w:cstheme="minorHAnsi"/>
          <w:sz w:val="16"/>
        </w:rPr>
        <w:t xml:space="preserve">," the people without papers, </w:t>
      </w:r>
      <w:proofErr w:type="spellStart"/>
      <w:r w:rsidRPr="006F2E3B">
        <w:rPr>
          <w:rFonts w:asciiTheme="minorHAnsi" w:hAnsiTheme="minorHAnsi" w:cstheme="minorHAnsi"/>
          <w:sz w:val="16"/>
        </w:rPr>
        <w:t>indocitmentado</w:t>
      </w:r>
      <w:proofErr w:type="spellEnd"/>
      <w:r w:rsidRPr="006F2E3B">
        <w:rPr>
          <w:rFonts w:asciiTheme="minorHAnsi" w:hAnsiTheme="minorHAnsi" w:cstheme="minorHAnsi"/>
          <w:sz w:val="16"/>
        </w:rPr>
        <w:t xml:space="preserve">/as. They are illegal because they are not legible, they trouble "the writing machine of the law" (de </w:t>
      </w:r>
      <w:proofErr w:type="spellStart"/>
      <w:r w:rsidRPr="006F2E3B">
        <w:rPr>
          <w:rFonts w:asciiTheme="minorHAnsi" w:hAnsiTheme="minorHAnsi" w:cstheme="minorHAnsi"/>
          <w:sz w:val="16"/>
        </w:rPr>
        <w:t>Certeau</w:t>
      </w:r>
      <w:proofErr w:type="spellEnd"/>
      <w:r w:rsidRPr="006F2E3B">
        <w:rPr>
          <w:rFonts w:asciiTheme="minorHAnsi" w:hAnsiTheme="minorHAnsi" w:cstheme="minorHAnsi"/>
          <w:sz w:val="16"/>
        </w:rPr>
        <w:t xml:space="preserve"> 1984:141). </w:t>
      </w:r>
      <w:r w:rsidRPr="00870254">
        <w:rPr>
          <w:rFonts w:asciiTheme="minorHAnsi" w:hAnsiTheme="minorHAnsi" w:cstheme="minorHAnsi"/>
          <w:b/>
          <w:iCs/>
          <w:highlight w:val="green"/>
          <w:u w:val="single"/>
          <w:bdr w:val="single" w:sz="18" w:space="0" w:color="auto"/>
        </w:rPr>
        <w:t xml:space="preserve">The hegemony of textualism needs to be exposed </w:t>
      </w:r>
      <w:r w:rsidRPr="006F2E3B">
        <w:rPr>
          <w:rFonts w:asciiTheme="minorHAnsi" w:hAnsiTheme="minorHAnsi" w:cstheme="minorHAnsi"/>
          <w:b/>
          <w:iCs/>
          <w:u w:val="single"/>
          <w:bdr w:val="single" w:sz="18" w:space="0" w:color="auto"/>
        </w:rPr>
        <w:t>and undermined.</w:t>
      </w:r>
      <w:r w:rsidRPr="006F2E3B">
        <w:rPr>
          <w:rFonts w:asciiTheme="minorHAnsi" w:hAnsiTheme="minorHAnsi" w:cstheme="minorHAnsi"/>
          <w:sz w:val="16"/>
        </w:rPr>
        <w:t xml:space="preserve"> </w:t>
      </w:r>
      <w:proofErr w:type="spellStart"/>
      <w:r w:rsidRPr="006F2E3B">
        <w:rPr>
          <w:rFonts w:asciiTheme="minorHAnsi" w:hAnsiTheme="minorHAnsi" w:cstheme="minorHAnsi"/>
          <w:bCs/>
          <w:u w:val="single"/>
        </w:rPr>
        <w:t>Transcrip</w:t>
      </w:r>
      <w:proofErr w:type="spellEnd"/>
      <w:r w:rsidRPr="006F2E3B">
        <w:rPr>
          <w:rFonts w:asciiTheme="minorHAnsi" w:hAnsiTheme="minorHAnsi" w:cstheme="minorHAnsi"/>
          <w:bCs/>
          <w:u w:val="single"/>
        </w:rPr>
        <w:t xml:space="preserve">- </w:t>
      </w:r>
      <w:proofErr w:type="spellStart"/>
      <w:r w:rsidRPr="006F2E3B">
        <w:rPr>
          <w:rFonts w:asciiTheme="minorHAnsi" w:hAnsiTheme="minorHAnsi" w:cstheme="minorHAnsi"/>
          <w:bCs/>
          <w:u w:val="single"/>
        </w:rPr>
        <w:t>tion</w:t>
      </w:r>
      <w:proofErr w:type="spellEnd"/>
      <w:r w:rsidRPr="006F2E3B">
        <w:rPr>
          <w:rFonts w:asciiTheme="minorHAnsi" w:hAnsiTheme="minorHAnsi" w:cstheme="minorHAnsi"/>
          <w:bCs/>
          <w:u w:val="single"/>
        </w:rPr>
        <w:t xml:space="preserve"> is not</w:t>
      </w:r>
      <w:r w:rsidRPr="006F2E3B">
        <w:rPr>
          <w:rFonts w:asciiTheme="minorHAnsi" w:hAnsiTheme="minorHAnsi" w:cstheme="minorHAnsi"/>
          <w:sz w:val="16"/>
        </w:rPr>
        <w:t xml:space="preserve"> a </w:t>
      </w:r>
      <w:r w:rsidRPr="006F2E3B">
        <w:rPr>
          <w:rFonts w:asciiTheme="minorHAnsi" w:hAnsiTheme="minorHAnsi" w:cstheme="minorHAnsi"/>
          <w:b/>
          <w:iCs/>
          <w:u w:val="single"/>
          <w:bdr w:val="single" w:sz="18" w:space="0" w:color="auto"/>
        </w:rPr>
        <w:t>transparent or politically innocent model for</w:t>
      </w:r>
      <w:r w:rsidRPr="006F2E3B">
        <w:rPr>
          <w:rFonts w:asciiTheme="minorHAnsi" w:hAnsiTheme="minorHAnsi" w:cstheme="minorHAnsi"/>
          <w:sz w:val="16"/>
        </w:rPr>
        <w:t xml:space="preserve"> conceptualizing or </w:t>
      </w:r>
      <w:r w:rsidRPr="006F2E3B">
        <w:rPr>
          <w:rFonts w:asciiTheme="minorHAnsi" w:hAnsiTheme="minorHAnsi" w:cstheme="minorHAnsi"/>
          <w:b/>
          <w:iCs/>
          <w:u w:val="single"/>
          <w:bdr w:val="single" w:sz="18" w:space="0" w:color="auto"/>
        </w:rPr>
        <w:t>engaging the world</w:t>
      </w:r>
      <w:r w:rsidRPr="006F2E3B">
        <w:rPr>
          <w:rFonts w:asciiTheme="minorHAnsi" w:hAnsiTheme="minorHAnsi" w:cstheme="minorHAnsi"/>
          <w:sz w:val="16"/>
        </w:rPr>
        <w:t xml:space="preserve">. </w:t>
      </w:r>
      <w:r w:rsidRPr="006F2E3B">
        <w:rPr>
          <w:rFonts w:asciiTheme="minorHAnsi" w:hAnsiTheme="minorHAnsi" w:cstheme="minorHAnsi"/>
          <w:bCs/>
          <w:u w:val="single"/>
        </w:rPr>
        <w:t xml:space="preserve">The root metaphor of the text underpins the </w:t>
      </w:r>
      <w:r w:rsidRPr="00870254">
        <w:rPr>
          <w:rFonts w:asciiTheme="minorHAnsi" w:hAnsiTheme="minorHAnsi" w:cstheme="minorHAnsi"/>
          <w:b/>
          <w:iCs/>
          <w:highlight w:val="green"/>
          <w:u w:val="single"/>
          <w:bdr w:val="single" w:sz="18" w:space="0" w:color="auto"/>
        </w:rPr>
        <w:t>supremacy of Western knowledge systems</w:t>
      </w:r>
      <w:r w:rsidRPr="006F2E3B">
        <w:rPr>
          <w:rFonts w:asciiTheme="minorHAnsi" w:hAnsiTheme="minorHAnsi" w:cstheme="minorHAnsi"/>
          <w:bCs/>
          <w:u w:val="single"/>
        </w:rPr>
        <w:t xml:space="preserve"> by </w:t>
      </w:r>
      <w:r w:rsidRPr="00870254">
        <w:rPr>
          <w:rFonts w:asciiTheme="minorHAnsi" w:hAnsiTheme="minorHAnsi" w:cstheme="minorHAnsi"/>
          <w:b/>
          <w:iCs/>
          <w:highlight w:val="green"/>
          <w:u w:val="single"/>
          <w:bdr w:val="single" w:sz="18" w:space="0" w:color="auto"/>
        </w:rPr>
        <w:t>erasing</w:t>
      </w:r>
      <w:r w:rsidRPr="00870254">
        <w:rPr>
          <w:rFonts w:asciiTheme="minorHAnsi" w:hAnsiTheme="minorHAnsi" w:cstheme="minorHAnsi"/>
          <w:sz w:val="16"/>
          <w:highlight w:val="green"/>
        </w:rPr>
        <w:t xml:space="preserve"> </w:t>
      </w:r>
      <w:r w:rsidRPr="006F2E3B">
        <w:rPr>
          <w:rFonts w:asciiTheme="minorHAnsi" w:hAnsiTheme="minorHAnsi" w:cstheme="minorHAnsi"/>
          <w:sz w:val="16"/>
        </w:rPr>
        <w:t xml:space="preserve">the vast realm of human </w:t>
      </w:r>
      <w:r w:rsidRPr="00870254">
        <w:rPr>
          <w:rFonts w:asciiTheme="minorHAnsi" w:hAnsiTheme="minorHAnsi" w:cstheme="minorHAnsi"/>
          <w:b/>
          <w:iCs/>
          <w:highlight w:val="green"/>
          <w:u w:val="single"/>
          <w:bdr w:val="single" w:sz="18" w:space="0" w:color="auto"/>
        </w:rPr>
        <w:t xml:space="preserve">knowledge </w:t>
      </w:r>
      <w:r w:rsidRPr="006F2E3B">
        <w:rPr>
          <w:rFonts w:asciiTheme="minorHAnsi" w:hAnsiTheme="minorHAnsi" w:cstheme="minorHAnsi"/>
          <w:b/>
          <w:iCs/>
          <w:u w:val="single"/>
          <w:bdr w:val="single" w:sz="18" w:space="0" w:color="auto"/>
        </w:rPr>
        <w:t xml:space="preserve">and meaningful action </w:t>
      </w:r>
      <w:r w:rsidRPr="00870254">
        <w:rPr>
          <w:rFonts w:asciiTheme="minorHAnsi" w:hAnsiTheme="minorHAnsi" w:cstheme="minorHAnsi"/>
          <w:b/>
          <w:iCs/>
          <w:highlight w:val="green"/>
          <w:u w:val="single"/>
          <w:bdr w:val="single" w:sz="18" w:space="0" w:color="auto"/>
        </w:rPr>
        <w:t>that is unlettered</w:t>
      </w:r>
      <w:r w:rsidRPr="006F2E3B">
        <w:rPr>
          <w:rFonts w:asciiTheme="minorHAnsi" w:hAnsiTheme="minorHAnsi" w:cstheme="minorHAnsi"/>
          <w:b/>
          <w:iCs/>
          <w:u w:val="single"/>
          <w:bdr w:val="single" w:sz="18" w:space="0" w:color="auto"/>
        </w:rPr>
        <w:t>,</w:t>
      </w:r>
      <w:r w:rsidRPr="006F2E3B">
        <w:rPr>
          <w:rFonts w:asciiTheme="minorHAnsi" w:hAnsiTheme="minorHAnsi" w:cstheme="minorHAnsi"/>
          <w:sz w:val="16"/>
        </w:rPr>
        <w:t xml:space="preserve"> "a history of the tacit and the habitual" (Jackson </w:t>
      </w:r>
      <w:r w:rsidRPr="006F2E3B">
        <w:rPr>
          <w:rFonts w:asciiTheme="minorHAnsi" w:hAnsiTheme="minorHAnsi" w:cstheme="minorHAnsi"/>
          <w:sz w:val="16"/>
        </w:rPr>
        <w:lastRenderedPageBreak/>
        <w:t xml:space="preserve">2000:29). In their multivolume historical ethnography of colonialism/ evangelism in South Africa, John and Jean </w:t>
      </w:r>
      <w:proofErr w:type="spellStart"/>
      <w:r w:rsidRPr="006F2E3B">
        <w:rPr>
          <w:rFonts w:asciiTheme="minorHAnsi" w:hAnsiTheme="minorHAnsi" w:cstheme="minorHAnsi"/>
          <w:sz w:val="16"/>
        </w:rPr>
        <w:t>ComarofFpay</w:t>
      </w:r>
      <w:proofErr w:type="spellEnd"/>
      <w:r w:rsidRPr="006F2E3B">
        <w:rPr>
          <w:rFonts w:asciiTheme="minorHAnsi" w:hAnsiTheme="minorHAnsi" w:cstheme="minorHAnsi"/>
          <w:sz w:val="16"/>
        </w:rPr>
        <w:t xml:space="preserve"> careful attention to the way Tswana people argued with their white interlocutors "both verbally and nonverbally" (1997:47; see also 1991). They excavate spaces of agency and </w:t>
      </w:r>
      <w:proofErr w:type="spellStart"/>
      <w:r w:rsidRPr="006F2E3B">
        <w:rPr>
          <w:rFonts w:asciiTheme="minorHAnsi" w:hAnsiTheme="minorHAnsi" w:cstheme="minorHAnsi"/>
          <w:sz w:val="16"/>
        </w:rPr>
        <w:t>strug</w:t>
      </w:r>
      <w:proofErr w:type="spellEnd"/>
      <w:r w:rsidRPr="006F2E3B">
        <w:rPr>
          <w:rFonts w:asciiTheme="minorHAnsi" w:hAnsiTheme="minorHAnsi" w:cstheme="minorHAnsi"/>
          <w:sz w:val="16"/>
        </w:rPr>
        <w:t xml:space="preserve">- </w:t>
      </w:r>
      <w:proofErr w:type="spellStart"/>
      <w:r w:rsidRPr="006F2E3B">
        <w:rPr>
          <w:rFonts w:asciiTheme="minorHAnsi" w:hAnsiTheme="minorHAnsi" w:cstheme="minorHAnsi"/>
          <w:sz w:val="16"/>
        </w:rPr>
        <w:t>gle</w:t>
      </w:r>
      <w:proofErr w:type="spellEnd"/>
      <w:r w:rsidRPr="006F2E3B">
        <w:rPr>
          <w:rFonts w:asciiTheme="minorHAnsi" w:hAnsiTheme="minorHAnsi" w:cstheme="minorHAnsi"/>
          <w:sz w:val="16"/>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sidRPr="006F2E3B">
        <w:rPr>
          <w:rFonts w:asciiTheme="minorHAnsi" w:hAnsiTheme="minorHAnsi" w:cstheme="minorHAnsi"/>
          <w:sz w:val="16"/>
        </w:rPr>
        <w:t>Comarofis</w:t>
      </w:r>
      <w:proofErr w:type="spellEnd"/>
      <w:r w:rsidRPr="006F2E3B">
        <w:rPr>
          <w:rFonts w:asciiTheme="minorHAnsi" w:hAnsiTheme="minorHAnsi" w:cstheme="minorHAnsi"/>
          <w:sz w:val="16"/>
        </w:rPr>
        <w:t xml:space="preserve"> intervene in an academically fashionable textual fundamentalism and fetish of the (verbal) archive where "text—a sad proxy for life—becomes all" (1992:26). "In this day and age," they ask, "</w:t>
      </w:r>
      <w:r w:rsidRPr="006F2E3B">
        <w:rPr>
          <w:rFonts w:asciiTheme="minorHAnsi" w:hAnsiTheme="minorHAnsi" w:cstheme="minorHAnsi"/>
          <w:bCs/>
          <w:u w:val="single"/>
        </w:rPr>
        <w:t xml:space="preserve">do we still have to remind ourselves that many of the players on any historical stage </w:t>
      </w:r>
      <w:r w:rsidRPr="006F2E3B">
        <w:rPr>
          <w:rFonts w:asciiTheme="minorHAnsi" w:hAnsiTheme="minorHAnsi" w:cstheme="minorHAnsi"/>
          <w:b/>
          <w:iCs/>
          <w:u w:val="single"/>
          <w:bdr w:val="single" w:sz="18" w:space="0" w:color="auto"/>
        </w:rPr>
        <w:t>cannot speak at all? Or</w:t>
      </w:r>
      <w:r w:rsidRPr="006F2E3B">
        <w:rPr>
          <w:rFonts w:asciiTheme="minorHAnsi" w:hAnsiTheme="minorHAnsi" w:cstheme="minorHAnsi"/>
          <w:sz w:val="16"/>
        </w:rPr>
        <w:t xml:space="preserve">, under greater or lesser duress, </w:t>
      </w:r>
      <w:r w:rsidRPr="006F2E3B">
        <w:rPr>
          <w:rFonts w:asciiTheme="minorHAnsi" w:hAnsiTheme="minorHAnsi" w:cstheme="minorHAnsi"/>
          <w:b/>
          <w:iCs/>
          <w:u w:val="single"/>
          <w:bdr w:val="single" w:sz="18" w:space="0" w:color="auto"/>
        </w:rPr>
        <w:t>opt not to</w:t>
      </w:r>
      <w:r w:rsidRPr="006F2E3B">
        <w:rPr>
          <w:rFonts w:asciiTheme="minorHAnsi" w:hAnsiTheme="minorHAnsi" w:cstheme="minorHAnsi"/>
          <w:sz w:val="16"/>
        </w:rPr>
        <w:t xml:space="preserve"> do so" (1997:48; see also Scott 1990)?</w:t>
      </w:r>
    </w:p>
    <w:p w14:paraId="53F392FB" w14:textId="77777777" w:rsidR="000C7AD4" w:rsidRDefault="000C7AD4" w:rsidP="000C7AD4">
      <w:pPr>
        <w:pStyle w:val="Heading4"/>
      </w:pPr>
      <w:r>
        <w:t xml:space="preserve">The counterplan is a </w:t>
      </w:r>
      <w:r w:rsidRPr="008C75FE">
        <w:rPr>
          <w:u w:val="single"/>
        </w:rPr>
        <w:t>semiotic opacity</w:t>
      </w:r>
      <w:r>
        <w:t xml:space="preserve"> within the hegemony of the text that ruptures the </w:t>
      </w:r>
      <w:r w:rsidRPr="008C75FE">
        <w:rPr>
          <w:u w:val="single"/>
        </w:rPr>
        <w:t>smooth functioning</w:t>
      </w:r>
      <w:r>
        <w:t xml:space="preserve"> of western modernity itself</w:t>
      </w:r>
    </w:p>
    <w:p w14:paraId="425A90C2" w14:textId="77777777" w:rsidR="000C7AD4" w:rsidRPr="00B264DF" w:rsidRDefault="000C7AD4" w:rsidP="000C7AD4">
      <w:proofErr w:type="spellStart"/>
      <w:r w:rsidRPr="006F2E3B">
        <w:rPr>
          <w:rStyle w:val="Style13ptBold"/>
        </w:rPr>
        <w:t>Conquergood</w:t>
      </w:r>
      <w:proofErr w:type="spellEnd"/>
      <w:r w:rsidRPr="006F2E3B">
        <w:t>, Dwight. Cultural struggles: Performance, ethnography, praxis. University of Michigan Press, 20</w:t>
      </w:r>
      <w:r w:rsidRPr="006F2E3B">
        <w:rPr>
          <w:rStyle w:val="Style13ptBold"/>
        </w:rPr>
        <w:t>13</w:t>
      </w:r>
      <w:r w:rsidRPr="006F2E3B">
        <w:t>.</w:t>
      </w:r>
      <w:r>
        <w:t xml:space="preserve"> </w:t>
      </w:r>
      <w:r w:rsidRPr="00B264DF">
        <w:t>(a professor of anthropology and performance studies at Northwestern University)</w:t>
      </w:r>
      <w:r>
        <w:t>//Elmer</w:t>
      </w:r>
    </w:p>
    <w:p w14:paraId="303D92D6" w14:textId="08AD7599" w:rsidR="000C7AD4" w:rsidRDefault="000C7AD4" w:rsidP="000C7AD4">
      <w:pPr>
        <w:rPr>
          <w:u w:val="single"/>
        </w:rPr>
      </w:pPr>
      <w:r w:rsidRPr="002D6B11">
        <w:rPr>
          <w:sz w:val="16"/>
        </w:rPr>
        <w:t xml:space="preserve">There are </w:t>
      </w:r>
      <w:r w:rsidRPr="00870254">
        <w:rPr>
          <w:highlight w:val="green"/>
          <w:u w:val="single"/>
        </w:rPr>
        <w:t xml:space="preserve">many </w:t>
      </w:r>
      <w:r w:rsidRPr="0004664F">
        <w:rPr>
          <w:u w:val="single"/>
        </w:rPr>
        <w:t xml:space="preserve">ethnographic </w:t>
      </w:r>
      <w:r w:rsidRPr="00870254">
        <w:rPr>
          <w:highlight w:val="green"/>
          <w:u w:val="single"/>
        </w:rPr>
        <w:t xml:space="preserve">examples of how </w:t>
      </w:r>
      <w:r w:rsidRPr="0004664F">
        <w:rPr>
          <w:u w:val="single"/>
        </w:rPr>
        <w:t xml:space="preserve">nonelite </w:t>
      </w:r>
      <w:r w:rsidRPr="00870254">
        <w:rPr>
          <w:highlight w:val="green"/>
          <w:u w:val="single"/>
        </w:rPr>
        <w:t xml:space="preserve">people recognize </w:t>
      </w:r>
      <w:r w:rsidRPr="00870254">
        <w:rPr>
          <w:b/>
          <w:bCs/>
          <w:highlight w:val="green"/>
          <w:u w:val="single"/>
          <w:bdr w:val="single" w:sz="4" w:space="0" w:color="auto"/>
        </w:rPr>
        <w:t>the opacity of the text</w:t>
      </w:r>
      <w:r w:rsidRPr="00870254">
        <w:rPr>
          <w:highlight w:val="green"/>
          <w:u w:val="single"/>
        </w:rPr>
        <w:t xml:space="preserve"> </w:t>
      </w:r>
      <w:r w:rsidRPr="0004664F">
        <w:rPr>
          <w:u w:val="single"/>
        </w:rPr>
        <w:t>and critique its dense occlusions and implications in historical processes of political economic privilege and systematic exclusion</w:t>
      </w:r>
      <w:r w:rsidRPr="002D6B11">
        <w:rPr>
          <w:sz w:val="16"/>
        </w:rPr>
        <w:t xml:space="preserve">. </w:t>
      </w:r>
      <w:r w:rsidRPr="0004664F">
        <w:rPr>
          <w:u w:val="single"/>
        </w:rPr>
        <w:t xml:space="preserve">In Belize, for example, </w:t>
      </w:r>
      <w:r w:rsidRPr="00870254">
        <w:rPr>
          <w:highlight w:val="green"/>
          <w:u w:val="single"/>
        </w:rPr>
        <w:t xml:space="preserve">Garifuna </w:t>
      </w:r>
      <w:r w:rsidRPr="0004664F">
        <w:rPr>
          <w:u w:val="single"/>
        </w:rPr>
        <w:t xml:space="preserve">people, an African-descended minority group, </w:t>
      </w:r>
      <w:r w:rsidRPr="00870254">
        <w:rPr>
          <w:highlight w:val="green"/>
          <w:u w:val="single"/>
        </w:rPr>
        <w:t xml:space="preserve">use the word </w:t>
      </w:r>
      <w:proofErr w:type="spellStart"/>
      <w:r w:rsidRPr="00870254">
        <w:rPr>
          <w:highlight w:val="green"/>
          <w:u w:val="single"/>
        </w:rPr>
        <w:t>gapencillitin</w:t>
      </w:r>
      <w:proofErr w:type="spellEnd"/>
      <w:r w:rsidRPr="0004664F">
        <w:rPr>
          <w:u w:val="single"/>
        </w:rPr>
        <w:t>, which means “</w:t>
      </w:r>
      <w:r w:rsidRPr="00870254">
        <w:rPr>
          <w:highlight w:val="green"/>
          <w:u w:val="single"/>
        </w:rPr>
        <w:t>people with pencil</w:t>
      </w:r>
      <w:r w:rsidRPr="0004664F">
        <w:rPr>
          <w:u w:val="single"/>
        </w:rPr>
        <w:t xml:space="preserve">,” </w:t>
      </w:r>
      <w:r w:rsidRPr="00870254">
        <w:rPr>
          <w:highlight w:val="green"/>
          <w:u w:val="single"/>
        </w:rPr>
        <w:t xml:space="preserve">to refer to </w:t>
      </w:r>
      <w:r w:rsidRPr="0004664F">
        <w:rPr>
          <w:u w:val="single"/>
        </w:rPr>
        <w:t xml:space="preserve">middle- and </w:t>
      </w:r>
      <w:r w:rsidRPr="00870254">
        <w:rPr>
          <w:highlight w:val="green"/>
          <w:u w:val="single"/>
        </w:rPr>
        <w:t xml:space="preserve">upper-class members </w:t>
      </w:r>
      <w:r w:rsidRPr="0004664F">
        <w:rPr>
          <w:u w:val="single"/>
        </w:rPr>
        <w:t xml:space="preserve">of the professional-managerial class, elites who approach life from an intellectual perspective. They use the word </w:t>
      </w:r>
      <w:proofErr w:type="spellStart"/>
      <w:r w:rsidRPr="00870254">
        <w:rPr>
          <w:highlight w:val="green"/>
          <w:u w:val="single"/>
        </w:rPr>
        <w:t>mapencillitin</w:t>
      </w:r>
      <w:proofErr w:type="spellEnd"/>
      <w:r w:rsidRPr="0004664F">
        <w:rPr>
          <w:u w:val="single"/>
        </w:rPr>
        <w:t>, literally “</w:t>
      </w:r>
      <w:r w:rsidRPr="00870254">
        <w:rPr>
          <w:highlight w:val="green"/>
          <w:u w:val="single"/>
        </w:rPr>
        <w:t>people without pencil</w:t>
      </w:r>
      <w:r w:rsidRPr="0004664F">
        <w:rPr>
          <w:u w:val="single"/>
        </w:rPr>
        <w:t xml:space="preserve">,” </w:t>
      </w:r>
      <w:r w:rsidRPr="00870254">
        <w:rPr>
          <w:highlight w:val="green"/>
          <w:u w:val="single"/>
        </w:rPr>
        <w:t xml:space="preserve">to refer to </w:t>
      </w:r>
      <w:r w:rsidRPr="0004664F">
        <w:rPr>
          <w:u w:val="single"/>
        </w:rPr>
        <w:t xml:space="preserve">rural and </w:t>
      </w:r>
      <w:r w:rsidRPr="00870254">
        <w:rPr>
          <w:highlight w:val="green"/>
          <w:u w:val="single"/>
        </w:rPr>
        <w:t>working-class people</w:t>
      </w:r>
      <w:r w:rsidRPr="0004664F">
        <w:rPr>
          <w:u w:val="single"/>
        </w:rPr>
        <w:t>, “real folks” who approach life from a practitioner’s point of view</w:t>
      </w:r>
      <w:r w:rsidRPr="002D6B11">
        <w:rPr>
          <w:sz w:val="16"/>
        </w:rPr>
        <w:t xml:space="preserve">.1 </w:t>
      </w:r>
      <w:r w:rsidRPr="0004664F">
        <w:rPr>
          <w:u w:val="single"/>
        </w:rPr>
        <w:t xml:space="preserve">What is interesting about the Garifuna example is that class </w:t>
      </w:r>
      <w:proofErr w:type="spellStart"/>
      <w:r w:rsidRPr="0004664F">
        <w:rPr>
          <w:u w:val="single"/>
        </w:rPr>
        <w:t>stratifcation</w:t>
      </w:r>
      <w:proofErr w:type="spellEnd"/>
      <w:r w:rsidRPr="0004664F">
        <w:rPr>
          <w:u w:val="single"/>
        </w:rPr>
        <w:t xml:space="preserve">, related to </w:t>
      </w:r>
      <w:proofErr w:type="spellStart"/>
      <w:r w:rsidRPr="0004664F">
        <w:rPr>
          <w:u w:val="single"/>
        </w:rPr>
        <w:t>diferential</w:t>
      </w:r>
      <w:proofErr w:type="spellEnd"/>
      <w:r w:rsidRPr="0004664F">
        <w:rPr>
          <w:u w:val="single"/>
        </w:rPr>
        <w:t xml:space="preserve"> knowledges, is articulated in terms of access to literacy.</w:t>
      </w:r>
      <w:r w:rsidRPr="002D6B11">
        <w:rPr>
          <w:sz w:val="16"/>
        </w:rPr>
        <w:t xml:space="preserve"> </w:t>
      </w:r>
      <w:r w:rsidRPr="00870254">
        <w:rPr>
          <w:b/>
          <w:bCs/>
          <w:highlight w:val="green"/>
          <w:u w:val="single"/>
        </w:rPr>
        <w:t>The pencil draws the line</w:t>
      </w:r>
      <w:r w:rsidRPr="00870254">
        <w:rPr>
          <w:sz w:val="16"/>
          <w:highlight w:val="green"/>
        </w:rPr>
        <w:t xml:space="preserve"> </w:t>
      </w:r>
      <w:r w:rsidRPr="002D6B11">
        <w:rPr>
          <w:sz w:val="16"/>
        </w:rPr>
        <w:t xml:space="preserve">between the haves and the have-nots. For Garifuna people, </w:t>
      </w:r>
      <w:r w:rsidRPr="0004664F">
        <w:rPr>
          <w:u w:val="single"/>
        </w:rPr>
        <w:t xml:space="preserve">the pencil is </w:t>
      </w:r>
      <w:r w:rsidRPr="00870254">
        <w:rPr>
          <w:highlight w:val="green"/>
          <w:u w:val="single"/>
        </w:rPr>
        <w:t>not a neutral instrument</w:t>
      </w:r>
      <w:r w:rsidRPr="0004664F">
        <w:rPr>
          <w:u w:val="single"/>
        </w:rPr>
        <w:t xml:space="preserve">; it </w:t>
      </w:r>
      <w:r w:rsidRPr="00870254">
        <w:rPr>
          <w:highlight w:val="green"/>
          <w:u w:val="single"/>
        </w:rPr>
        <w:t xml:space="preserve">functions </w:t>
      </w:r>
      <w:r w:rsidRPr="0004664F">
        <w:rPr>
          <w:u w:val="single"/>
        </w:rPr>
        <w:t xml:space="preserve">metonymically </w:t>
      </w:r>
      <w:r w:rsidRPr="00870254">
        <w:rPr>
          <w:highlight w:val="green"/>
          <w:u w:val="single"/>
        </w:rPr>
        <w:t xml:space="preserve">as the operative technology of </w:t>
      </w:r>
      <w:r w:rsidRPr="0004664F">
        <w:rPr>
          <w:u w:val="single"/>
        </w:rPr>
        <w:t xml:space="preserve">a complex </w:t>
      </w:r>
      <w:r w:rsidRPr="00870254">
        <w:rPr>
          <w:highlight w:val="green"/>
          <w:u w:val="single"/>
        </w:rPr>
        <w:t xml:space="preserve">political </w:t>
      </w:r>
      <w:r w:rsidRPr="0004664F">
        <w:rPr>
          <w:u w:val="single"/>
        </w:rPr>
        <w:t xml:space="preserve">economy of knowledge, </w:t>
      </w:r>
      <w:r w:rsidRPr="00870254">
        <w:rPr>
          <w:highlight w:val="green"/>
          <w:u w:val="single"/>
        </w:rPr>
        <w:t>power</w:t>
      </w:r>
      <w:r w:rsidRPr="0004664F">
        <w:rPr>
          <w:u w:val="single"/>
        </w:rPr>
        <w:t>, and the exclusions upon which privilege is based</w:t>
      </w:r>
      <w:r w:rsidRPr="002D6B11">
        <w:rPr>
          <w:sz w:val="16"/>
        </w:rPr>
        <w:t xml:space="preserve">. In his study of the oppositional politics of black musical performance, Paul Gilroy argues </w:t>
      </w:r>
      <w:r w:rsidRPr="0004664F">
        <w:rPr>
          <w:u w:val="single"/>
        </w:rPr>
        <w:t xml:space="preserve">that </w:t>
      </w:r>
      <w:r w:rsidRPr="00870254">
        <w:rPr>
          <w:highlight w:val="green"/>
          <w:u w:val="single"/>
        </w:rPr>
        <w:t xml:space="preserve">critical scholars need to move beyond this </w:t>
      </w:r>
      <w:r w:rsidRPr="0004664F">
        <w:rPr>
          <w:u w:val="single"/>
        </w:rPr>
        <w:t xml:space="preserve">“idea and </w:t>
      </w:r>
      <w:r w:rsidRPr="00870254">
        <w:rPr>
          <w:highlight w:val="green"/>
          <w:u w:val="single"/>
        </w:rPr>
        <w:t xml:space="preserve">ideology of the text </w:t>
      </w:r>
      <w:r w:rsidRPr="0004664F">
        <w:rPr>
          <w:u w:val="single"/>
        </w:rPr>
        <w:t xml:space="preserve">and of textuality </w:t>
      </w:r>
      <w:r w:rsidRPr="00870254">
        <w:rPr>
          <w:highlight w:val="green"/>
          <w:u w:val="single"/>
        </w:rPr>
        <w:t xml:space="preserve">as </w:t>
      </w:r>
      <w:r w:rsidRPr="0004664F">
        <w:rPr>
          <w:u w:val="single"/>
        </w:rPr>
        <w:t xml:space="preserve">a mode of </w:t>
      </w:r>
      <w:r w:rsidRPr="00870254">
        <w:rPr>
          <w:highlight w:val="green"/>
          <w:u w:val="single"/>
        </w:rPr>
        <w:t>communicative practice</w:t>
      </w:r>
      <w:r w:rsidRPr="0004664F">
        <w:rPr>
          <w:u w:val="single"/>
        </w:rPr>
        <w:t xml:space="preserve"> </w:t>
      </w:r>
      <w:r w:rsidRPr="00870254">
        <w:rPr>
          <w:highlight w:val="green"/>
          <w:u w:val="single"/>
        </w:rPr>
        <w:t xml:space="preserve">which provides a model for all other </w:t>
      </w:r>
      <w:r w:rsidRPr="0004664F">
        <w:rPr>
          <w:u w:val="single"/>
        </w:rPr>
        <w:t xml:space="preserve">forms of </w:t>
      </w:r>
      <w:r w:rsidRPr="00870254">
        <w:rPr>
          <w:b/>
          <w:bCs/>
          <w:highlight w:val="green"/>
          <w:u w:val="single"/>
        </w:rPr>
        <w:t>cognitive exchange</w:t>
      </w:r>
      <w:r w:rsidRPr="00870254">
        <w:rPr>
          <w:highlight w:val="green"/>
          <w:u w:val="single"/>
        </w:rPr>
        <w:t xml:space="preserve"> </w:t>
      </w:r>
      <w:r w:rsidRPr="0004664F">
        <w:rPr>
          <w:u w:val="single"/>
        </w:rPr>
        <w:t>and social interaction” (Gilroy 1994, 77). Oppressed people everywhere must watch their backs, cover their tracks, suck up their feelings, and veil their meanings</w:t>
      </w:r>
      <w:r w:rsidRPr="002D6B11">
        <w:rPr>
          <w:sz w:val="16"/>
        </w:rPr>
        <w:t xml:space="preserve">. </w:t>
      </w:r>
      <w:r w:rsidRPr="002D6B11">
        <w:rPr>
          <w:u w:val="single"/>
        </w:rPr>
        <w:t xml:space="preserve">The state of emergency under which many people live demands that we </w:t>
      </w:r>
      <w:r w:rsidRPr="00870254">
        <w:rPr>
          <w:highlight w:val="green"/>
          <w:u w:val="single"/>
        </w:rPr>
        <w:t xml:space="preserve">pay attention </w:t>
      </w:r>
      <w:r w:rsidRPr="00870254">
        <w:rPr>
          <w:highlight w:val="green"/>
          <w:u w:val="single"/>
        </w:rPr>
        <w:lastRenderedPageBreak/>
        <w:t xml:space="preserve">to </w:t>
      </w:r>
      <w:r w:rsidRPr="002D6B11">
        <w:rPr>
          <w:u w:val="single"/>
        </w:rPr>
        <w:t xml:space="preserve">messages that are </w:t>
      </w:r>
      <w:r w:rsidRPr="00870254">
        <w:rPr>
          <w:highlight w:val="green"/>
          <w:u w:val="single"/>
        </w:rPr>
        <w:t>coded and encrypted</w:t>
      </w:r>
      <w:r w:rsidRPr="002D6B11">
        <w:rPr>
          <w:u w:val="single"/>
        </w:rPr>
        <w:t xml:space="preserve">; to indirect, nonverbal, and </w:t>
      </w:r>
      <w:r w:rsidRPr="00870254">
        <w:rPr>
          <w:highlight w:val="green"/>
          <w:u w:val="single"/>
        </w:rPr>
        <w:t xml:space="preserve">extralinguistic modes of communication where subversive meanings </w:t>
      </w:r>
      <w:r w:rsidRPr="002D6B11">
        <w:rPr>
          <w:u w:val="single"/>
        </w:rPr>
        <w:t xml:space="preserve">and utopian yearnings </w:t>
      </w:r>
      <w:r w:rsidRPr="00870254">
        <w:rPr>
          <w:highlight w:val="green"/>
          <w:u w:val="single"/>
        </w:rPr>
        <w:t xml:space="preserve">can be </w:t>
      </w:r>
      <w:r w:rsidRPr="002D6B11">
        <w:rPr>
          <w:u w:val="single"/>
        </w:rPr>
        <w:t xml:space="preserve">sheltered and </w:t>
      </w:r>
      <w:r w:rsidRPr="00870254">
        <w:rPr>
          <w:b/>
          <w:bCs/>
          <w:highlight w:val="green"/>
          <w:u w:val="single"/>
        </w:rPr>
        <w:t>shielded from surveillance</w:t>
      </w:r>
      <w:r w:rsidRPr="002D6B11">
        <w:rPr>
          <w:u w:val="single"/>
        </w:rPr>
        <w:t>.</w:t>
      </w:r>
    </w:p>
    <w:p w14:paraId="6D66D4E0" w14:textId="77777777" w:rsidR="001B2A32" w:rsidRDefault="001B2A32" w:rsidP="001B2A32">
      <w:pPr>
        <w:pStyle w:val="Heading4"/>
      </w:pPr>
      <w:r>
        <w:t>No permutations in a methods debate –</w:t>
      </w:r>
    </w:p>
    <w:p w14:paraId="1D0182D9" w14:textId="77777777" w:rsidR="001B2A32" w:rsidRDefault="001B2A32" w:rsidP="001B2A32">
      <w:pPr>
        <w:pStyle w:val="Heading4"/>
      </w:pPr>
      <w:r>
        <w:t>They don’t get a permutation—a permutation is a test of competitiveness between policy options—that model doesn’t make sense when the debate is between amorphous philosophical positions because you can’t really tie them down to anything. They can always explain why in the abstract certain things they said are compatible with diaspora studies but that just begs the question of why they included the rest</w:t>
      </w:r>
    </w:p>
    <w:p w14:paraId="430E5518" w14:textId="102F7C82" w:rsidR="00B457AC" w:rsidRPr="00CB4D2D" w:rsidRDefault="001B2A32" w:rsidP="00CB4D2D">
      <w:pPr>
        <w:pStyle w:val="Heading4"/>
      </w:pPr>
      <w:r>
        <w:t>Permutations should be evaluated from a “risk” perspective through the offense defense paradigm—if they can’t explain why there is an offensive reason to prefer the permutation there is no reason to risk it. The case isn’t an advantage to weigh when evaluating the permutation because if we win the premise of the link their advocacy is counterproductive—this isn’t a situation where perm shields the link</w:t>
      </w:r>
    </w:p>
    <w:sectPr w:rsidR="00B457AC" w:rsidRPr="00CB4D2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683018096">
    <w:abstractNumId w:val="10"/>
  </w:num>
  <w:num w:numId="2" w16cid:durableId="1535121768">
    <w:abstractNumId w:val="8"/>
  </w:num>
  <w:num w:numId="3" w16cid:durableId="1009215128">
    <w:abstractNumId w:val="7"/>
  </w:num>
  <w:num w:numId="4" w16cid:durableId="80296866">
    <w:abstractNumId w:val="6"/>
  </w:num>
  <w:num w:numId="5" w16cid:durableId="92090833">
    <w:abstractNumId w:val="5"/>
  </w:num>
  <w:num w:numId="6" w16cid:durableId="200366366">
    <w:abstractNumId w:val="9"/>
  </w:num>
  <w:num w:numId="7" w16cid:durableId="1956982088">
    <w:abstractNumId w:val="4"/>
  </w:num>
  <w:num w:numId="8" w16cid:durableId="1214611071">
    <w:abstractNumId w:val="3"/>
  </w:num>
  <w:num w:numId="9" w16cid:durableId="1505238603">
    <w:abstractNumId w:val="2"/>
  </w:num>
  <w:num w:numId="10" w16cid:durableId="936208880">
    <w:abstractNumId w:val="1"/>
  </w:num>
  <w:num w:numId="11" w16cid:durableId="13233108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53E96"/>
    <w:rsid w:val="000029E3"/>
    <w:rsid w:val="000029E8"/>
    <w:rsid w:val="00004225"/>
    <w:rsid w:val="000066CA"/>
    <w:rsid w:val="00007264"/>
    <w:rsid w:val="000076A9"/>
    <w:rsid w:val="00014FAD"/>
    <w:rsid w:val="00015D2A"/>
    <w:rsid w:val="00017131"/>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7AD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A32"/>
    <w:rsid w:val="001B73E3"/>
    <w:rsid w:val="001C316D"/>
    <w:rsid w:val="001D1A0D"/>
    <w:rsid w:val="001D36BF"/>
    <w:rsid w:val="001D4C28"/>
    <w:rsid w:val="001E0B1F"/>
    <w:rsid w:val="001E0C0F"/>
    <w:rsid w:val="001E1E0B"/>
    <w:rsid w:val="001F1173"/>
    <w:rsid w:val="002005A8"/>
    <w:rsid w:val="00203DD8"/>
    <w:rsid w:val="00204E1D"/>
    <w:rsid w:val="0020585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5D27"/>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4A2"/>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C15"/>
    <w:rsid w:val="00496BB2"/>
    <w:rsid w:val="004B37B4"/>
    <w:rsid w:val="004B72B4"/>
    <w:rsid w:val="004C0314"/>
    <w:rsid w:val="004C0D3D"/>
    <w:rsid w:val="004C213E"/>
    <w:rsid w:val="004C376C"/>
    <w:rsid w:val="004C657F"/>
    <w:rsid w:val="004D17D8"/>
    <w:rsid w:val="004D1E11"/>
    <w:rsid w:val="004D52D8"/>
    <w:rsid w:val="004E355B"/>
    <w:rsid w:val="004F1492"/>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25A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3E96"/>
    <w:rsid w:val="008564FC"/>
    <w:rsid w:val="00864E76"/>
    <w:rsid w:val="00872581"/>
    <w:rsid w:val="0087459D"/>
    <w:rsid w:val="0087680F"/>
    <w:rsid w:val="00876D81"/>
    <w:rsid w:val="00881D86"/>
    <w:rsid w:val="00883306"/>
    <w:rsid w:val="00883408"/>
    <w:rsid w:val="008904F9"/>
    <w:rsid w:val="00890E4C"/>
    <w:rsid w:val="00890E74"/>
    <w:rsid w:val="00892798"/>
    <w:rsid w:val="0089418F"/>
    <w:rsid w:val="00897C29"/>
    <w:rsid w:val="008A1A9C"/>
    <w:rsid w:val="008A4633"/>
    <w:rsid w:val="008B032E"/>
    <w:rsid w:val="008C0FA2"/>
    <w:rsid w:val="008C2342"/>
    <w:rsid w:val="008C77B6"/>
    <w:rsid w:val="008D14DA"/>
    <w:rsid w:val="008D1B91"/>
    <w:rsid w:val="008D724A"/>
    <w:rsid w:val="008E7A3E"/>
    <w:rsid w:val="008F41FD"/>
    <w:rsid w:val="008F4479"/>
    <w:rsid w:val="008F4BA0"/>
    <w:rsid w:val="00901726"/>
    <w:rsid w:val="00920E6A"/>
    <w:rsid w:val="00931816"/>
    <w:rsid w:val="00932C71"/>
    <w:rsid w:val="009509D5"/>
    <w:rsid w:val="009538F5"/>
    <w:rsid w:val="00956F43"/>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8A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7A9"/>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2563"/>
    <w:rsid w:val="00AE3E3F"/>
    <w:rsid w:val="00AF2516"/>
    <w:rsid w:val="00AF4760"/>
    <w:rsid w:val="00AF55D4"/>
    <w:rsid w:val="00B0505F"/>
    <w:rsid w:val="00B05C2D"/>
    <w:rsid w:val="00B12933"/>
    <w:rsid w:val="00B12B88"/>
    <w:rsid w:val="00B137E0"/>
    <w:rsid w:val="00B13BC8"/>
    <w:rsid w:val="00B24662"/>
    <w:rsid w:val="00B3569C"/>
    <w:rsid w:val="00B43676"/>
    <w:rsid w:val="00B457AC"/>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4D2D"/>
    <w:rsid w:val="00CC7A4E"/>
    <w:rsid w:val="00CD1359"/>
    <w:rsid w:val="00CD4C83"/>
    <w:rsid w:val="00D01EDC"/>
    <w:rsid w:val="00D0331A"/>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2B5F"/>
    <w:rsid w:val="00E03F91"/>
    <w:rsid w:val="00E064EF"/>
    <w:rsid w:val="00E064F2"/>
    <w:rsid w:val="00E0717B"/>
    <w:rsid w:val="00E15598"/>
    <w:rsid w:val="00E20D65"/>
    <w:rsid w:val="00E21506"/>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62C4"/>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F4DE66"/>
  <w14:defaultImageDpi w14:val="300"/>
  <w15:docId w15:val="{1B30D77A-A5D3-DE49-AB27-7522D4F71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21506"/>
    <w:pPr>
      <w:spacing w:after="160" w:line="259" w:lineRule="auto"/>
    </w:pPr>
    <w:rPr>
      <w:rFonts w:ascii="Calibri" w:hAnsi="Calibri" w:cs="Calibri"/>
      <w:sz w:val="28"/>
    </w:rPr>
  </w:style>
  <w:style w:type="paragraph" w:styleId="Heading1">
    <w:name w:val="heading 1"/>
    <w:aliases w:val="Pocket"/>
    <w:basedOn w:val="Normal"/>
    <w:next w:val="Normal"/>
    <w:link w:val="Heading1Char"/>
    <w:uiPriority w:val="9"/>
    <w:qFormat/>
    <w:rsid w:val="00E215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2150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2150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
    <w:basedOn w:val="Normal"/>
    <w:next w:val="Normal"/>
    <w:link w:val="Heading4Char"/>
    <w:uiPriority w:val="9"/>
    <w:unhideWhenUsed/>
    <w:qFormat/>
    <w:rsid w:val="00E21506"/>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E215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1506"/>
  </w:style>
  <w:style w:type="character" w:customStyle="1" w:styleId="Heading1Char">
    <w:name w:val="Heading 1 Char"/>
    <w:aliases w:val="Pocket Char"/>
    <w:basedOn w:val="DefaultParagraphFont"/>
    <w:link w:val="Heading1"/>
    <w:uiPriority w:val="9"/>
    <w:rsid w:val="00E2150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2150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21506"/>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E21506"/>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21506"/>
    <w:rPr>
      <w:b/>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1"/>
    <w:qFormat/>
    <w:rsid w:val="00E21506"/>
    <w:rPr>
      <w:b w:val="0"/>
      <w:sz w:val="28"/>
      <w:u w:val="single"/>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20"/>
    <w:qFormat/>
    <w:rsid w:val="00E21506"/>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E21506"/>
    <w:rPr>
      <w:color w:val="auto"/>
      <w:u w:val="none"/>
    </w:rPr>
  </w:style>
  <w:style w:type="character" w:styleId="Hyperlink">
    <w:name w:val="Hyperlink"/>
    <w:aliases w:val="heading 1 (block title),Card Text,Important,Read,Internet Link,Analytic Text,Internet link,Char Char1,Block Char1,No Underline Char1,Char Char Char Char Char Char Char Char1,Text 7 Char1,Tags v 2 Char1,Heading 3 Char1 Char1,Heading 3 Char2,C"/>
    <w:basedOn w:val="DefaultParagraphFont"/>
    <w:uiPriority w:val="99"/>
    <w:unhideWhenUsed/>
    <w:rsid w:val="00E21506"/>
    <w:rPr>
      <w:color w:val="auto"/>
      <w:u w:val="none"/>
    </w:rPr>
  </w:style>
  <w:style w:type="paragraph" w:styleId="DocumentMap">
    <w:name w:val="Document Map"/>
    <w:basedOn w:val="Normal"/>
    <w:link w:val="DocumentMapChar"/>
    <w:uiPriority w:val="99"/>
    <w:semiHidden/>
    <w:unhideWhenUsed/>
    <w:rsid w:val="00E215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21506"/>
    <w:rPr>
      <w:rFonts w:ascii="Lucida Grande" w:hAnsi="Lucida Grande" w:cs="Lucida Grande"/>
    </w:rPr>
  </w:style>
  <w:style w:type="paragraph" w:customStyle="1" w:styleId="textbold">
    <w:name w:val="text bold"/>
    <w:basedOn w:val="Normal"/>
    <w:link w:val="Emphasis"/>
    <w:uiPriority w:val="20"/>
    <w:qFormat/>
    <w:rsid w:val="004F1492"/>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owe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5</Pages>
  <Words>930</Words>
  <Characters>5301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Naaman Wei 魏弘维</cp:lastModifiedBy>
  <cp:revision>20</cp:revision>
  <dcterms:created xsi:type="dcterms:W3CDTF">2022-04-23T23:16:00Z</dcterms:created>
  <dcterms:modified xsi:type="dcterms:W3CDTF">2022-04-24T00:45:00Z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