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E8BB5" w14:textId="5F0AC6FB" w:rsidR="008F208B" w:rsidRDefault="00020F52" w:rsidP="008F208B">
      <w:pPr>
        <w:pStyle w:val="Heading3"/>
      </w:pPr>
      <w:r>
        <w:t>1</w:t>
      </w:r>
    </w:p>
    <w:p w14:paraId="7694B238" w14:textId="77777777" w:rsidR="00777BAB" w:rsidRDefault="00777BAB" w:rsidP="00777BAB">
      <w:pPr>
        <w:pStyle w:val="Heading4"/>
      </w:pPr>
      <w:r>
        <w:t>Interpretation: The affirmative must define “advocacy” in a delineated line in the 1AC</w:t>
      </w:r>
    </w:p>
    <w:p w14:paraId="418617FD" w14:textId="77777777" w:rsidR="00777BAB" w:rsidRPr="00CE052A" w:rsidRDefault="00777BAB" w:rsidP="00777BAB">
      <w:pPr>
        <w:pStyle w:val="Heading4"/>
      </w:pPr>
      <w:r>
        <w:t>3 different forms of media advocacy all completely different</w:t>
      </w:r>
    </w:p>
    <w:p w14:paraId="5053124F" w14:textId="77777777" w:rsidR="00777BAB" w:rsidRDefault="00777BAB" w:rsidP="00777BAB">
      <w:pPr>
        <w:rPr>
          <w:sz w:val="16"/>
        </w:rPr>
      </w:pPr>
      <w:r w:rsidRPr="00CE052A">
        <w:rPr>
          <w:rStyle w:val="Style13ptBold"/>
        </w:rPr>
        <w:t>WVU</w:t>
      </w:r>
      <w:r>
        <w:rPr>
          <w:sz w:val="16"/>
        </w:rPr>
        <w:t xml:space="preserve"> </w:t>
      </w:r>
      <w:r w:rsidRPr="00CE052A">
        <w:rPr>
          <w:sz w:val="16"/>
        </w:rPr>
        <w:t xml:space="preserve">No </w:t>
      </w:r>
      <w:proofErr w:type="spellStart"/>
      <w:r w:rsidRPr="00CE052A">
        <w:rPr>
          <w:sz w:val="16"/>
        </w:rPr>
        <w:t>Author</w:t>
      </w:r>
      <w:r>
        <w:rPr>
          <w:sz w:val="16"/>
        </w:rPr>
        <w:t>ND</w:t>
      </w:r>
      <w:proofErr w:type="spellEnd"/>
      <w:r w:rsidRPr="00CE052A">
        <w:rPr>
          <w:sz w:val="16"/>
        </w:rPr>
        <w:t>, "Types of Advocacy," No Publication, https://cedwvu.org/resources/types-of-advocacy/</w:t>
      </w:r>
      <w:r>
        <w:rPr>
          <w:sz w:val="16"/>
        </w:rPr>
        <w:t>/SJJK</w:t>
      </w:r>
    </w:p>
    <w:p w14:paraId="1DF252E4" w14:textId="77777777" w:rsidR="00777BAB" w:rsidRDefault="00777BAB" w:rsidP="00777BAB">
      <w:pPr>
        <w:rPr>
          <w:sz w:val="16"/>
        </w:rPr>
      </w:pPr>
      <w:r w:rsidRPr="00CE052A">
        <w:rPr>
          <w:sz w:val="16"/>
        </w:rPr>
        <w:t xml:space="preserve">Advocacy involves promoting the interests or cause of someone or a group of people. An advocate is a person who argues for, recommends, or supports a cause or policy. Advocacy is also about helping people find their voice. </w:t>
      </w:r>
      <w:r w:rsidRPr="00CE052A">
        <w:rPr>
          <w:rStyle w:val="Emphasis"/>
        </w:rPr>
        <w:t xml:space="preserve">There are </w:t>
      </w:r>
      <w:r w:rsidRPr="00CE052A">
        <w:rPr>
          <w:rStyle w:val="Emphasis"/>
          <w:highlight w:val="green"/>
        </w:rPr>
        <w:t>three types of advocacy</w:t>
      </w:r>
      <w:r w:rsidRPr="00CE052A">
        <w:rPr>
          <w:rStyle w:val="Emphasis"/>
        </w:rPr>
        <w:t xml:space="preserve"> - self-advocacy, individual advocacy and systems advocacy</w:t>
      </w:r>
      <w:r w:rsidRPr="00CE052A">
        <w:rPr>
          <w:sz w:val="16"/>
        </w:rPr>
        <w:t xml:space="preserve">. The CED is involved in all areas of advocacy for people with disabilities and their families. Self-Advocacy </w:t>
      </w:r>
      <w:proofErr w:type="spellStart"/>
      <w:r w:rsidRPr="00CE052A">
        <w:rPr>
          <w:rStyle w:val="Emphasis"/>
          <w:highlight w:val="green"/>
        </w:rPr>
        <w:t>Self-advocacy</w:t>
      </w:r>
      <w:proofErr w:type="spellEnd"/>
      <w:r w:rsidRPr="00CE052A">
        <w:rPr>
          <w:rStyle w:val="Emphasis"/>
          <w:highlight w:val="green"/>
        </w:rPr>
        <w:t xml:space="preserve"> refers to</w:t>
      </w:r>
      <w:r w:rsidRPr="00CE052A">
        <w:rPr>
          <w:rStyle w:val="Emphasis"/>
        </w:rPr>
        <w:t xml:space="preserve"> an </w:t>
      </w:r>
      <w:r w:rsidRPr="00CE052A">
        <w:rPr>
          <w:rStyle w:val="Emphasis"/>
          <w:highlight w:val="green"/>
        </w:rPr>
        <w:t>individual's</w:t>
      </w:r>
      <w:r w:rsidRPr="00CE052A">
        <w:rPr>
          <w:rStyle w:val="Emphasis"/>
        </w:rPr>
        <w:t xml:space="preserve"> ability to effectively communicate, convey, negotiate or </w:t>
      </w:r>
      <w:r w:rsidRPr="00CE052A">
        <w:rPr>
          <w:rStyle w:val="Emphasis"/>
          <w:highlight w:val="green"/>
        </w:rPr>
        <w:t>assert</w:t>
      </w:r>
      <w:r w:rsidRPr="00CE052A">
        <w:rPr>
          <w:rStyle w:val="Emphasis"/>
        </w:rPr>
        <w:t xml:space="preserve"> his or her </w:t>
      </w:r>
      <w:r w:rsidRPr="00CE052A">
        <w:rPr>
          <w:rStyle w:val="Emphasis"/>
          <w:highlight w:val="green"/>
        </w:rPr>
        <w:t>own interests</w:t>
      </w:r>
      <w:r w:rsidRPr="00CE052A">
        <w:rPr>
          <w:rStyle w:val="Emphasis"/>
        </w:rPr>
        <w:t>, desires, needs, and rights</w:t>
      </w:r>
      <w:r w:rsidRPr="00CE052A">
        <w:rPr>
          <w:sz w:val="16"/>
        </w:rPr>
        <w:t xml:space="preserve"> (</w:t>
      </w:r>
      <w:proofErr w:type="spellStart"/>
      <w:r w:rsidRPr="00CE052A">
        <w:rPr>
          <w:sz w:val="16"/>
        </w:rPr>
        <w:t>VanReusen</w:t>
      </w:r>
      <w:proofErr w:type="spellEnd"/>
      <w:r w:rsidRPr="00CE052A">
        <w:rPr>
          <w:sz w:val="16"/>
        </w:rPr>
        <w:t xml:space="preserve"> et al., 1994). Self-advocacy means understanding your strengths and needs, identifying your personal goals, knowing your legal rights and responsibilities, and communicating these to others. Self-Advocacy is speaking up for oneself! Individual Advocacy In </w:t>
      </w:r>
      <w:r w:rsidRPr="00CE052A">
        <w:rPr>
          <w:rStyle w:val="Emphasis"/>
          <w:highlight w:val="green"/>
        </w:rPr>
        <w:t>individual advocacy</w:t>
      </w:r>
      <w:r w:rsidRPr="00CE052A">
        <w:rPr>
          <w:rStyle w:val="Emphasis"/>
        </w:rPr>
        <w:t xml:space="preserve"> a </w:t>
      </w:r>
      <w:r w:rsidRPr="00CE052A">
        <w:rPr>
          <w:rStyle w:val="Emphasis"/>
          <w:highlight w:val="green"/>
        </w:rPr>
        <w:t>person or group of</w:t>
      </w:r>
      <w:r w:rsidRPr="00CE052A">
        <w:rPr>
          <w:rStyle w:val="Emphasis"/>
        </w:rPr>
        <w:t xml:space="preserve"> </w:t>
      </w:r>
      <w:r w:rsidRPr="00CE052A">
        <w:rPr>
          <w:rStyle w:val="Emphasis"/>
          <w:highlight w:val="green"/>
        </w:rPr>
        <w:t>people</w:t>
      </w:r>
      <w:r w:rsidRPr="00CE052A">
        <w:rPr>
          <w:rStyle w:val="Emphasis"/>
        </w:rPr>
        <w:t xml:space="preserve"> concentrate their efforts on just one or two individuals</w:t>
      </w:r>
      <w:r w:rsidRPr="00CE052A">
        <w:rPr>
          <w:sz w:val="16"/>
        </w:rPr>
        <w:t xml:space="preserve">. According to the group Advocacy for Inclusion "Advocacy is having someone to stand beside you if you think something is unfair or that someone is treating you badly and you would like to do something to change it." There are </w:t>
      </w:r>
      <w:r w:rsidRPr="00CE052A">
        <w:rPr>
          <w:rStyle w:val="Emphasis"/>
          <w:highlight w:val="green"/>
        </w:rPr>
        <w:t>two common forms of individual advocacy</w:t>
      </w:r>
      <w:r w:rsidRPr="00CE052A">
        <w:rPr>
          <w:rStyle w:val="Emphasis"/>
        </w:rPr>
        <w:t xml:space="preserve"> - </w:t>
      </w:r>
      <w:r w:rsidRPr="00CE052A">
        <w:rPr>
          <w:rStyle w:val="Emphasis"/>
          <w:highlight w:val="green"/>
        </w:rPr>
        <w:t>informal and formal</w:t>
      </w:r>
      <w:r w:rsidRPr="00CE052A">
        <w:rPr>
          <w:rStyle w:val="Emphasis"/>
        </w:rPr>
        <w:t xml:space="preserve"> advocacy</w:t>
      </w:r>
      <w:r w:rsidRPr="00CE052A">
        <w:rPr>
          <w:sz w:val="16"/>
        </w:rPr>
        <w:t xml:space="preserve">. When people like </w:t>
      </w:r>
      <w:r w:rsidRPr="00CE052A">
        <w:rPr>
          <w:rStyle w:val="Emphasis"/>
          <w:highlight w:val="green"/>
        </w:rPr>
        <w:t>parents, friends, family members or agencies</w:t>
      </w:r>
      <w:r w:rsidRPr="00CE052A">
        <w:rPr>
          <w:rStyle w:val="Emphasis"/>
        </w:rPr>
        <w:t xml:space="preserve"> speak out and advocate for vulnerable people this is termed informal advocacy</w:t>
      </w:r>
      <w:r w:rsidRPr="00CE052A">
        <w:rPr>
          <w:sz w:val="16"/>
        </w:rPr>
        <w:t xml:space="preserve">. Formal advocacy more frequently involves </w:t>
      </w:r>
      <w:r w:rsidRPr="00CE052A">
        <w:rPr>
          <w:rStyle w:val="Emphasis"/>
          <w:highlight w:val="green"/>
        </w:rPr>
        <w:t>organizations</w:t>
      </w:r>
      <w:r w:rsidRPr="00CE052A">
        <w:rPr>
          <w:rStyle w:val="Emphasis"/>
        </w:rPr>
        <w:t xml:space="preserve"> that </w:t>
      </w:r>
      <w:r w:rsidRPr="00CE052A">
        <w:rPr>
          <w:rStyle w:val="Emphasis"/>
          <w:highlight w:val="green"/>
        </w:rPr>
        <w:t>pay</w:t>
      </w:r>
      <w:r w:rsidRPr="00CE052A">
        <w:rPr>
          <w:rStyle w:val="Emphasis"/>
        </w:rPr>
        <w:t xml:space="preserve"> their </w:t>
      </w:r>
      <w:r w:rsidRPr="00CE052A">
        <w:rPr>
          <w:rStyle w:val="Emphasis"/>
          <w:highlight w:val="green"/>
        </w:rPr>
        <w:t>staff</w:t>
      </w:r>
      <w:r w:rsidRPr="00CE052A">
        <w:rPr>
          <w:rStyle w:val="Emphasis"/>
        </w:rPr>
        <w:t xml:space="preserve"> to advocate for someone or for a group of individuals.</w:t>
      </w:r>
      <w:r>
        <w:rPr>
          <w:rStyle w:val="Emphasis"/>
        </w:rPr>
        <w:t xml:space="preserve"> </w:t>
      </w:r>
      <w:r w:rsidRPr="00CE052A">
        <w:rPr>
          <w:sz w:val="16"/>
        </w:rPr>
        <w:t xml:space="preserve">Systems Advocacy </w:t>
      </w:r>
      <w:r w:rsidRPr="00CE052A">
        <w:rPr>
          <w:rStyle w:val="Emphasis"/>
          <w:highlight w:val="green"/>
        </w:rPr>
        <w:t>Systems advocacy</w:t>
      </w:r>
      <w:r w:rsidRPr="00CE052A">
        <w:rPr>
          <w:rStyle w:val="Emphasis"/>
        </w:rPr>
        <w:t xml:space="preserve"> is about </w:t>
      </w:r>
      <w:r w:rsidRPr="00CE052A">
        <w:rPr>
          <w:rStyle w:val="Emphasis"/>
          <w:highlight w:val="green"/>
        </w:rPr>
        <w:t>changing policies</w:t>
      </w:r>
      <w:r w:rsidRPr="00CE052A">
        <w:rPr>
          <w:rStyle w:val="Emphasis"/>
        </w:rPr>
        <w:t>, laws or rules that impact how someone lives their life</w:t>
      </w:r>
      <w:r w:rsidRPr="00CE052A">
        <w:rPr>
          <w:sz w:val="16"/>
        </w:rPr>
        <w:t xml:space="preserve">. These efforts can be targeted at a local, state, or national agency. The focus can be changing laws, or simply written or unwritten policy. What is targeted depends on the type of problem and who has authority over the problem (Brain Injury Resource Center, 1998). </w:t>
      </w:r>
    </w:p>
    <w:p w14:paraId="7462C7C5" w14:textId="77777777" w:rsidR="00777BAB" w:rsidRPr="00CE052A" w:rsidRDefault="00777BAB" w:rsidP="00777BAB">
      <w:pPr>
        <w:pStyle w:val="Heading4"/>
        <w:rPr>
          <w:sz w:val="16"/>
        </w:rPr>
      </w:pPr>
      <w:r>
        <w:lastRenderedPageBreak/>
        <w:t>Violation: They didn’t</w:t>
      </w:r>
    </w:p>
    <w:p w14:paraId="0C96D3B2" w14:textId="77777777" w:rsidR="00777BAB" w:rsidRDefault="00777BAB" w:rsidP="00777BAB">
      <w:pPr>
        <w:pStyle w:val="Heading4"/>
      </w:pPr>
      <w:r>
        <w:t>Negate:</w:t>
      </w:r>
    </w:p>
    <w:p w14:paraId="11440259" w14:textId="77777777" w:rsidR="00777BAB" w:rsidRPr="004501D4" w:rsidRDefault="00777BAB" w:rsidP="00777BAB">
      <w:pPr>
        <w:pStyle w:val="Heading4"/>
      </w:pPr>
      <w:r>
        <w:t xml:space="preserve">1] </w:t>
      </w:r>
      <w:r w:rsidRPr="004501D4">
        <w:rPr>
          <w:u w:val="single"/>
        </w:rPr>
        <w:t>Shiftiness</w:t>
      </w:r>
      <w:r>
        <w:t xml:space="preserve">- they can redefine what type of advocacy the 1ac defends in the 1ar which decks strategy and allows them to wriggle out of negative positions which strips the neg of all our ground. If we don’t know what type of advocacy the </w:t>
      </w:r>
      <w:proofErr w:type="spellStart"/>
      <w:r>
        <w:t>aff</w:t>
      </w:r>
      <w:proofErr w:type="spellEnd"/>
      <w:r>
        <w:t xml:space="preserve"> deprioritizes we </w:t>
      </w:r>
      <w:proofErr w:type="spellStart"/>
      <w:r>
        <w:t>cant</w:t>
      </w:r>
      <w:proofErr w:type="spellEnd"/>
      <w:r>
        <w:t xml:space="preserve"> generate any offense</w:t>
      </w:r>
    </w:p>
    <w:p w14:paraId="791ACA06" w14:textId="77777777" w:rsidR="00777BAB" w:rsidRPr="004501D4" w:rsidRDefault="00777BAB" w:rsidP="00777BAB">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13C54324" w14:textId="77777777" w:rsidR="00777BAB" w:rsidRDefault="00777BAB" w:rsidP="00777BAB">
      <w:pPr>
        <w:pStyle w:val="Heading4"/>
      </w:pPr>
      <w:r>
        <w:t xml:space="preserve">2] </w:t>
      </w:r>
      <w:r w:rsidRPr="004501D4">
        <w:rPr>
          <w:u w:val="single"/>
        </w:rPr>
        <w:t>Real World</w:t>
      </w:r>
      <w:r>
        <w:t xml:space="preserve">- policy makers will always specify what they aim to do. That outweighs since debate has no value without </w:t>
      </w:r>
      <w:r w:rsidRPr="004501D4">
        <w:rPr>
          <w:u w:val="single"/>
        </w:rPr>
        <w:t>portable application</w:t>
      </w:r>
      <w:r>
        <w:t>.</w:t>
      </w:r>
    </w:p>
    <w:p w14:paraId="11AD7267" w14:textId="77777777" w:rsidR="00777BAB" w:rsidRDefault="00777BAB" w:rsidP="00777BAB">
      <w:pPr>
        <w:pStyle w:val="Heading4"/>
      </w:pPr>
      <w:r>
        <w:t xml:space="preserve">This spec shell isn’t regressive- it literally determines </w:t>
      </w:r>
      <w:r>
        <w:rPr>
          <w:u w:val="single"/>
        </w:rPr>
        <w:t>what the affirmative defends</w:t>
      </w:r>
    </w:p>
    <w:p w14:paraId="741B1B0F" w14:textId="08A9C8C7" w:rsidR="008F208B" w:rsidRDefault="008F208B" w:rsidP="008F208B">
      <w:pPr>
        <w:pStyle w:val="Heading4"/>
      </w:pPr>
      <w:r>
        <w:t xml:space="preserve">Fairness – debate is a competitive activity that requires fairness for objective evaluation. </w:t>
      </w:r>
    </w:p>
    <w:p w14:paraId="4EE9FC5E" w14:textId="77777777" w:rsidR="008F208B" w:rsidRDefault="008F208B" w:rsidP="008F208B">
      <w:pPr>
        <w:pStyle w:val="Heading4"/>
      </w:pPr>
      <w:r>
        <w:t>Drop the debater – a] deter future abuse and b] set better norms for debate.</w:t>
      </w:r>
    </w:p>
    <w:p w14:paraId="01838DF9" w14:textId="77777777" w:rsidR="008F208B" w:rsidRDefault="008F208B" w:rsidP="008F208B">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2EEA4B8C" w14:textId="66967FFC" w:rsidR="008F208B" w:rsidRDefault="008F208B" w:rsidP="008F208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9FE3905" w14:textId="77777777" w:rsidR="008F208B" w:rsidRDefault="008F208B" w:rsidP="008F208B">
      <w:pPr>
        <w:pStyle w:val="Heading4"/>
      </w:pPr>
      <w:r>
        <w:t>No 1ar theory – a] 7-6 skew b] spikes and 1ac theory checks</w:t>
      </w:r>
    </w:p>
    <w:p w14:paraId="58DE6F3F" w14:textId="77777777" w:rsidR="008F208B" w:rsidRDefault="008F208B" w:rsidP="008F208B">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685EBC72" w14:textId="77777777" w:rsidR="008F208B" w:rsidRDefault="008F208B" w:rsidP="008F208B">
      <w:pPr>
        <w:pStyle w:val="Heading4"/>
      </w:pPr>
      <w:r>
        <w:t xml:space="preserve">DTA on 1AR shells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36B8C8DB" w14:textId="0F1C4D17" w:rsidR="008F208B" w:rsidRPr="008F208B" w:rsidRDefault="008F208B" w:rsidP="008F208B">
      <w:pPr>
        <w:pStyle w:val="Heading4"/>
      </w:pPr>
      <w:r>
        <w:lastRenderedPageBreak/>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526DCD15" w14:textId="0D87EC0D" w:rsidR="008F208B" w:rsidRDefault="008F208B" w:rsidP="008F208B">
      <w:pPr>
        <w:pStyle w:val="Heading3"/>
      </w:pPr>
      <w:r>
        <w:lastRenderedPageBreak/>
        <w:t>2</w:t>
      </w:r>
    </w:p>
    <w:p w14:paraId="69582308" w14:textId="26BB276F" w:rsidR="00AE2265" w:rsidRDefault="00AE2265" w:rsidP="008F208B">
      <w:pPr>
        <w:keepNext/>
        <w:keepLines/>
        <w:spacing w:before="40" w:after="0" w:line="256" w:lineRule="auto"/>
        <w:outlineLvl w:val="3"/>
        <w:rPr>
          <w:rFonts w:eastAsia="Malgun Gothic" w:cs="Times New Roman"/>
          <w:b/>
          <w:iCs/>
          <w:sz w:val="26"/>
        </w:rPr>
      </w:pPr>
      <w:proofErr w:type="spellStart"/>
      <w:r>
        <w:rPr>
          <w:rFonts w:eastAsia="Malgun Gothic" w:cs="Times New Roman"/>
          <w:b/>
          <w:iCs/>
          <w:sz w:val="26"/>
        </w:rPr>
        <w:t>Interp</w:t>
      </w:r>
      <w:proofErr w:type="spellEnd"/>
      <w:r>
        <w:rPr>
          <w:rFonts w:eastAsia="Malgun Gothic" w:cs="Times New Roman"/>
          <w:b/>
          <w:iCs/>
          <w:sz w:val="26"/>
        </w:rPr>
        <w:t xml:space="preserve"> – debaters must not misrepresent evidence</w:t>
      </w:r>
    </w:p>
    <w:p w14:paraId="308592DB" w14:textId="75D4373D" w:rsidR="008F208B" w:rsidRPr="00C42E84" w:rsidRDefault="008F208B" w:rsidP="008F208B">
      <w:pPr>
        <w:keepNext/>
        <w:keepLines/>
        <w:spacing w:before="40" w:after="0" w:line="256" w:lineRule="auto"/>
        <w:outlineLvl w:val="3"/>
        <w:rPr>
          <w:rFonts w:eastAsia="Malgun Gothic" w:cs="Times New Roman"/>
          <w:b/>
          <w:iCs/>
          <w:sz w:val="26"/>
        </w:rPr>
      </w:pPr>
      <w:r>
        <w:rPr>
          <w:rFonts w:eastAsia="Malgun Gothic" w:cs="Times New Roman"/>
          <w:b/>
          <w:iCs/>
          <w:sz w:val="26"/>
        </w:rPr>
        <w:t>Miscut</w:t>
      </w:r>
    </w:p>
    <w:p w14:paraId="0F5FAA16" w14:textId="77777777" w:rsidR="008F208B" w:rsidRDefault="008F208B" w:rsidP="008F208B">
      <w:pPr>
        <w:keepNext/>
        <w:keepLines/>
        <w:spacing w:after="0" w:line="256" w:lineRule="auto"/>
        <w:outlineLvl w:val="3"/>
        <w:rPr>
          <w:rFonts w:eastAsia="Malgun Gothic"/>
          <w:b/>
          <w:iCs/>
          <w:sz w:val="26"/>
        </w:rPr>
      </w:pPr>
      <w:r w:rsidRPr="00C42E84">
        <w:rPr>
          <w:rFonts w:eastAsia="Malgun Gothic"/>
          <w:b/>
          <w:iCs/>
          <w:sz w:val="26"/>
        </w:rPr>
        <w:t>Ought “</w:t>
      </w:r>
      <w:r w:rsidRPr="00C42E84">
        <w:rPr>
          <w:rFonts w:eastAsia="Calibri" w:cs="Times New Roman"/>
          <w:iCs/>
          <w:sz w:val="26"/>
          <w:u w:val="single"/>
        </w:rPr>
        <w:t xml:space="preserve">Ought </w:t>
      </w:r>
      <w:r w:rsidRPr="00C42E84">
        <w:rPr>
          <w:rFonts w:eastAsia="Calibri" w:cs="Times New Roman"/>
          <w:iCs/>
          <w:sz w:val="26"/>
          <w:highlight w:val="green"/>
          <w:u w:val="single"/>
        </w:rPr>
        <w:t>expresses</w:t>
      </w:r>
      <w:r w:rsidRPr="00C42E84">
        <w:rPr>
          <w:rFonts w:eastAsia="Calibri" w:cs="Times New Roman"/>
          <w:iCs/>
          <w:sz w:val="26"/>
          <w:u w:val="single"/>
        </w:rPr>
        <w:t xml:space="preserve"> ideas such as duty, necessity and </w:t>
      </w:r>
      <w:r w:rsidRPr="00C42E84">
        <w:rPr>
          <w:rFonts w:eastAsia="Calibri" w:cs="Times New Roman"/>
          <w:iCs/>
          <w:sz w:val="26"/>
          <w:highlight w:val="green"/>
          <w:u w:val="single"/>
        </w:rPr>
        <w:t>moral obligation</w:t>
      </w:r>
      <w:r w:rsidRPr="00C42E84">
        <w:rPr>
          <w:rFonts w:eastAsia="Calibri" w:cs="Times New Roman"/>
          <w:iCs/>
          <w:sz w:val="26"/>
          <w:u w:val="single"/>
        </w:rPr>
        <w:t xml:space="preserve">. It is not as forceful as must, but it is stronger than should. You ought to be punctual. We ought to help the poor. You </w:t>
      </w:r>
      <w:r w:rsidRPr="00C42E84">
        <w:rPr>
          <w:rFonts w:eastAsia="Calibri" w:cs="Times New Roman"/>
          <w:iCs/>
          <w:sz w:val="26"/>
          <w:highlight w:val="green"/>
          <w:u w:val="single"/>
        </w:rPr>
        <w:t>ought to visit your friends once in a while</w:t>
      </w:r>
      <w:r w:rsidRPr="00C42E84">
        <w:rPr>
          <w:rFonts w:eastAsia="Calibri" w:cs="Times New Roman"/>
          <w:iCs/>
          <w:sz w:val="26"/>
          <w:u w:val="single"/>
        </w:rPr>
        <w:t xml:space="preserve">. </w:t>
      </w:r>
      <w:r w:rsidRPr="00C04129">
        <w:rPr>
          <w:rFonts w:eastAsia="Calibri" w:cs="Times New Roman"/>
          <w:iCs/>
          <w:sz w:val="26"/>
          <w:highlight w:val="cyan"/>
          <w:u w:val="single"/>
        </w:rPr>
        <w:t>Ought</w:t>
      </w:r>
      <w:r w:rsidRPr="00C42E84">
        <w:rPr>
          <w:rFonts w:eastAsia="Calibri" w:cs="Times New Roman"/>
          <w:iCs/>
          <w:sz w:val="26"/>
          <w:u w:val="single"/>
        </w:rPr>
        <w:t xml:space="preserve"> generally </w:t>
      </w:r>
      <w:r w:rsidRPr="00C04129">
        <w:rPr>
          <w:rFonts w:eastAsia="Calibri" w:cs="Times New Roman"/>
          <w:iCs/>
          <w:sz w:val="26"/>
          <w:highlight w:val="cyan"/>
          <w:u w:val="single"/>
        </w:rPr>
        <w:t xml:space="preserve">points to present and future </w:t>
      </w:r>
      <w:r w:rsidRPr="00C42E84">
        <w:rPr>
          <w:rFonts w:eastAsia="Calibri" w:cs="Times New Roman"/>
          <w:iCs/>
          <w:sz w:val="26"/>
          <w:highlight w:val="green"/>
          <w:u w:val="single"/>
        </w:rPr>
        <w:t>time</w:t>
      </w:r>
      <w:r w:rsidRPr="00C42E84">
        <w:rPr>
          <w:rFonts w:eastAsia="Calibri" w:cs="Times New Roman"/>
          <w:iCs/>
          <w:sz w:val="26"/>
          <w:u w:val="single"/>
        </w:rPr>
        <w:t>. It can point to past time when it is followed by the perfect infinitive (have + past participle).</w:t>
      </w:r>
      <w:r w:rsidRPr="00C42E84">
        <w:rPr>
          <w:rFonts w:eastAsia="Malgun Gothic"/>
          <w:b/>
          <w:iCs/>
          <w:sz w:val="26"/>
        </w:rPr>
        <w:t xml:space="preserve">” </w:t>
      </w:r>
    </w:p>
    <w:p w14:paraId="640CCF41" w14:textId="74E4903B" w:rsidR="008F208B" w:rsidRDefault="008F208B" w:rsidP="008F208B">
      <w:pPr>
        <w:spacing w:line="256" w:lineRule="auto"/>
        <w:rPr>
          <w:rFonts w:eastAsia="Calibri"/>
        </w:rPr>
      </w:pPr>
      <w:r w:rsidRPr="00C42E84">
        <w:rPr>
          <w:rFonts w:eastAsia="Calibri"/>
          <w:b/>
          <w:bCs/>
          <w:sz w:val="26"/>
        </w:rPr>
        <w:t>That’s English Grammar 10</w:t>
      </w:r>
      <w:r w:rsidRPr="00C42E84">
        <w:rPr>
          <w:rFonts w:eastAsia="Calibri"/>
        </w:rPr>
        <w:t xml:space="preserve"> [“Must and Ought to”; English Grammar; August 16, 2010; </w:t>
      </w:r>
      <w:hyperlink r:id="rId9" w:history="1">
        <w:r w:rsidRPr="00C42E84">
          <w:rPr>
            <w:rFonts w:eastAsia="Calibri"/>
            <w:color w:val="000000"/>
            <w:u w:val="single"/>
          </w:rPr>
          <w:t>https://www.englishgrammar.org/must-and-ought-to/</w:t>
        </w:r>
      </w:hyperlink>
      <w:r w:rsidRPr="00C42E84">
        <w:rPr>
          <w:rFonts w:eastAsia="Calibri"/>
        </w:rPr>
        <w:t xml:space="preserve"> //BWSWJ]</w:t>
      </w:r>
    </w:p>
    <w:p w14:paraId="7F7E2F80" w14:textId="36ED1B87" w:rsidR="00AE2265" w:rsidRDefault="00AE2265" w:rsidP="00AE2265">
      <w:pPr>
        <w:pStyle w:val="Heading4"/>
      </w:pPr>
      <w:r>
        <w:t xml:space="preserve">Standard is evidence ethics and lying – </w:t>
      </w:r>
    </w:p>
    <w:p w14:paraId="4145CFF4" w14:textId="5F0353AC" w:rsidR="00E8014B" w:rsidRDefault="00E8014B" w:rsidP="00E8014B">
      <w:pPr>
        <w:pStyle w:val="Heading3"/>
      </w:pPr>
      <w:r>
        <w:lastRenderedPageBreak/>
        <w:t>3</w:t>
      </w:r>
    </w:p>
    <w:p w14:paraId="4458FE74" w14:textId="77777777" w:rsidR="00E8014B" w:rsidRPr="00010B7D" w:rsidRDefault="00E8014B" w:rsidP="00E8014B">
      <w:pPr>
        <w:pStyle w:val="Heading4"/>
      </w:pPr>
      <w:r>
        <w:t>Ethics must begin a priori and the meta-ethic is bindingness.</w:t>
      </w:r>
    </w:p>
    <w:p w14:paraId="2526722C" w14:textId="77777777" w:rsidR="00E8014B" w:rsidRDefault="00E8014B" w:rsidP="00E8014B">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4EF6C725" w14:textId="77777777" w:rsidR="00E8014B" w:rsidRDefault="00E8014B" w:rsidP="00E8014B">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6C42A304" w14:textId="77777777" w:rsidR="00E8014B" w:rsidRDefault="00E8014B" w:rsidP="00E8014B">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5374C2B8" w14:textId="37B87DD5" w:rsidR="00E8014B" w:rsidRDefault="00E8014B" w:rsidP="00E8014B">
      <w:pPr>
        <w:pStyle w:val="Heading4"/>
      </w:pPr>
      <w:r w:rsidRPr="000A5608">
        <w:t>Thus, the standard is consistency with the categorical imperative</w:t>
      </w:r>
      <w:r w:rsidR="000B441B">
        <w:t xml:space="preserve">, </w:t>
      </w:r>
      <w:proofErr w:type="spellStart"/>
      <w:r w:rsidR="000B441B">
        <w:t>specficially</w:t>
      </w:r>
      <w:proofErr w:type="spellEnd"/>
      <w:r w:rsidR="000B441B">
        <w:t xml:space="preserve"> the rule of nature</w:t>
      </w:r>
      <w:r w:rsidRPr="000A5608">
        <w:t xml:space="preserve">. </w:t>
      </w:r>
    </w:p>
    <w:p w14:paraId="415EE6D5" w14:textId="77777777" w:rsidR="00E8014B" w:rsidRDefault="00E8014B" w:rsidP="00E8014B">
      <w:pPr>
        <w:pStyle w:val="Heading4"/>
      </w:pPr>
      <w:r>
        <w:t xml:space="preserve">Prefer – </w:t>
      </w:r>
    </w:p>
    <w:p w14:paraId="70CA58FC" w14:textId="77777777" w:rsidR="00E8014B" w:rsidRDefault="00E8014B" w:rsidP="00E8014B">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7A548F0F" w14:textId="77777777" w:rsidR="00E8014B" w:rsidRPr="00884541" w:rsidRDefault="00E8014B" w:rsidP="00E8014B">
      <w:pPr>
        <w:pStyle w:val="Heading4"/>
      </w:pPr>
      <w:r w:rsidRPr="00884541">
        <w:t>1] Objectivity censors’ journalists’ personal views and biases- that’s non universalizable</w:t>
      </w:r>
    </w:p>
    <w:p w14:paraId="1901192E" w14:textId="77777777" w:rsidR="00E8014B" w:rsidRDefault="00E8014B" w:rsidP="00E8014B">
      <w:proofErr w:type="spellStart"/>
      <w:r w:rsidRPr="00CD347F">
        <w:rPr>
          <w:rStyle w:val="Style13ptBold"/>
        </w:rPr>
        <w:t>Greven</w:t>
      </w:r>
      <w:proofErr w:type="spellEnd"/>
      <w:r w:rsidRPr="00CD347F">
        <w:rPr>
          <w:rStyle w:val="Style13ptBold"/>
        </w:rPr>
        <w:t xml:space="preserve"> 21</w:t>
      </w:r>
      <w:r>
        <w:t xml:space="preserve"> </w:t>
      </w:r>
      <w:proofErr w:type="spellStart"/>
      <w:r w:rsidRPr="00CD347F">
        <w:t>Greven</w:t>
      </w:r>
      <w:proofErr w:type="spellEnd"/>
      <w:r w:rsidRPr="00CD347F">
        <w:t>, Alec, "Speech and Sovereignty: A Kantian Defense of Freedom of Expression" (2021). Honors Theses. 1579.</w:t>
      </w:r>
      <w:r w:rsidRPr="00CD347F">
        <w:br/>
        <w:t xml:space="preserve">https://scholarship.richmond.edu/honors-theses/1579 </w:t>
      </w:r>
      <w:r>
        <w:t>Karan</w:t>
      </w:r>
    </w:p>
    <w:p w14:paraId="5A2FAE62" w14:textId="77777777" w:rsidR="00E8014B" w:rsidRDefault="00E8014B" w:rsidP="00E8014B">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All agents need to will a world in which the value of communication is preserved in order to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7241DA0A" w14:textId="39F922D6" w:rsidR="00E8014B" w:rsidRPr="00884541" w:rsidRDefault="00E8014B" w:rsidP="00E8014B">
      <w:pPr>
        <w:pStyle w:val="Heading4"/>
      </w:pPr>
      <w:r w:rsidRPr="00884541">
        <w:lastRenderedPageBreak/>
        <w:t>2] Journalists are required to respect those they report on, thus, advocacy journalism is required to alleviate suffering</w:t>
      </w:r>
    </w:p>
    <w:p w14:paraId="635695CF" w14:textId="77777777" w:rsidR="00E8014B" w:rsidRPr="007D3691" w:rsidRDefault="00E8014B" w:rsidP="00E8014B">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2AC2C507" w14:textId="730095E3" w:rsidR="008F208B" w:rsidRPr="007063F7" w:rsidRDefault="00E8014B" w:rsidP="008F208B">
      <w:pPr>
        <w:rPr>
          <w:b/>
          <w:iCs/>
          <w:u w:val="single"/>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in order </w:t>
      </w:r>
      <w:r w:rsidRPr="00450502">
        <w:rPr>
          <w:rStyle w:val="Emphasis"/>
          <w:highlight w:val="green"/>
        </w:rPr>
        <w:t>to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it requires recognition of persons as ends,</w:t>
      </w:r>
      <w:r w:rsidRPr="00450502">
        <w:rPr>
          <w:sz w:val="14"/>
        </w:rPr>
        <w:t xml:space="preserve"> and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r w:rsidRPr="00450502">
        <w:rPr>
          <w:sz w:val="14"/>
        </w:rPr>
        <w:t>ibib</w:t>
      </w:r>
      <w:proofErr w:type="spell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 xml:space="preserve">persons are those who are </w:t>
      </w:r>
      <w:r w:rsidRPr="00BB5F55">
        <w:rPr>
          <w:rStyle w:val="Emphasis"/>
        </w:rPr>
        <w:lastRenderedPageBreak/>
        <w:t>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sectPr w:rsidR="008F208B" w:rsidRPr="007063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62006F"/>
    <w:multiLevelType w:val="hybridMultilevel"/>
    <w:tmpl w:val="BF7EF4BC"/>
    <w:lvl w:ilvl="0" w:tplc="4DA66D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3C4DB1"/>
    <w:multiLevelType w:val="hybridMultilevel"/>
    <w:tmpl w:val="CE66B66C"/>
    <w:lvl w:ilvl="0" w:tplc="4770E61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037E"/>
    <w:rsid w:val="0000066F"/>
    <w:rsid w:val="000029E3"/>
    <w:rsid w:val="000029E8"/>
    <w:rsid w:val="00004225"/>
    <w:rsid w:val="000066CA"/>
    <w:rsid w:val="00007264"/>
    <w:rsid w:val="000076A9"/>
    <w:rsid w:val="00014FAD"/>
    <w:rsid w:val="00015D2A"/>
    <w:rsid w:val="00020F5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41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37E"/>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1FC"/>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3F7"/>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77BA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208B"/>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265"/>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89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14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B0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B1B308"/>
  <w14:defaultImageDpi w14:val="300"/>
  <w15:docId w15:val="{93A6DC36-89A7-F643-BC0D-A568B987A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63F7"/>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7063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63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63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ta,CD - Cite,t,T,Ta,C Tagline,No Spacing12"/>
    <w:basedOn w:val="Normal"/>
    <w:next w:val="Normal"/>
    <w:link w:val="Heading4Char"/>
    <w:uiPriority w:val="9"/>
    <w:unhideWhenUsed/>
    <w:qFormat/>
    <w:rsid w:val="007063F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063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63F7"/>
  </w:style>
  <w:style w:type="character" w:customStyle="1" w:styleId="Heading1Char">
    <w:name w:val="Heading 1 Char"/>
    <w:aliases w:val="Pocket Char"/>
    <w:basedOn w:val="DefaultParagraphFont"/>
    <w:link w:val="Heading1"/>
    <w:uiPriority w:val="9"/>
    <w:rsid w:val="007063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63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63F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063F7"/>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063F7"/>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7063F7"/>
    <w:rPr>
      <w:b w:val="0"/>
      <w:sz w:val="28"/>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7063F7"/>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7063F7"/>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7063F7"/>
    <w:rPr>
      <w:color w:val="auto"/>
      <w:u w:val="none"/>
    </w:rPr>
  </w:style>
  <w:style w:type="paragraph" w:styleId="DocumentMap">
    <w:name w:val="Document Map"/>
    <w:basedOn w:val="Normal"/>
    <w:link w:val="DocumentMapChar"/>
    <w:uiPriority w:val="99"/>
    <w:semiHidden/>
    <w:unhideWhenUsed/>
    <w:rsid w:val="007063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63F7"/>
    <w:rPr>
      <w:rFonts w:ascii="Lucida Grande" w:hAnsi="Lucida Grande" w:cs="Lucida Grande"/>
    </w:rPr>
  </w:style>
  <w:style w:type="paragraph" w:customStyle="1" w:styleId="textbold">
    <w:name w:val="text bold"/>
    <w:basedOn w:val="Normal"/>
    <w:link w:val="Emphasis"/>
    <w:uiPriority w:val="20"/>
    <w:qFormat/>
    <w:rsid w:val="008F208B"/>
    <w:pPr>
      <w:ind w:left="720"/>
      <w:jc w:val="both"/>
    </w:pPr>
    <w:rPr>
      <w:b/>
      <w:iCs/>
      <w:u w:val="single"/>
    </w:rPr>
  </w:style>
  <w:style w:type="paragraph" w:customStyle="1" w:styleId="card">
    <w:name w:val="card"/>
    <w:aliases w:val="No Spacing,Medium Grid 21,No Spacing31,No Spacing22,No Spacing111,No Spacing3,tag,Dont use,Very Small Text,Card Format,Small Text,No Spacing112,No Spacing1,No Spacing111111,Card,Tags,Debate Text,No Spacing11,No Spacing2,Read stuff,No Spacing41"/>
    <w:basedOn w:val="Normal"/>
    <w:next w:val="Normal"/>
    <w:link w:val="StyleUnderline"/>
    <w:uiPriority w:val="1"/>
    <w:qFormat/>
    <w:rsid w:val="008F208B"/>
    <w:pPr>
      <w:ind w:left="288" w:right="288"/>
    </w:pPr>
    <w:rPr>
      <w:rFonts w:asciiTheme="minorHAnsi" w:hAnsiTheme="minorHAnsi" w:cstheme="minorBidi"/>
      <w:u w:val="single"/>
    </w:rPr>
  </w:style>
  <w:style w:type="paragraph" w:styleId="ListParagraph">
    <w:name w:val="List Paragraph"/>
    <w:aliases w:val="6 font"/>
    <w:basedOn w:val="Normal"/>
    <w:uiPriority w:val="34"/>
    <w:unhideWhenUsed/>
    <w:qFormat/>
    <w:rsid w:val="005831FC"/>
    <w:pPr>
      <w:ind w:left="720"/>
      <w:contextualSpacing/>
    </w:pPr>
  </w:style>
  <w:style w:type="character" w:customStyle="1" w:styleId="num">
    <w:name w:val="num"/>
    <w:basedOn w:val="DefaultParagraphFont"/>
    <w:rsid w:val="005831FC"/>
  </w:style>
  <w:style w:type="character" w:customStyle="1" w:styleId="letter">
    <w:name w:val="letter"/>
    <w:basedOn w:val="DefaultParagraphFont"/>
    <w:rsid w:val="005831FC"/>
  </w:style>
  <w:style w:type="character" w:customStyle="1" w:styleId="dttext">
    <w:name w:val="dttext"/>
    <w:basedOn w:val="DefaultParagraphFont"/>
    <w:rsid w:val="005831FC"/>
  </w:style>
  <w:style w:type="character" w:styleId="Strong">
    <w:name w:val="Strong"/>
    <w:basedOn w:val="DefaultParagraphFont"/>
    <w:uiPriority w:val="22"/>
    <w:qFormat/>
    <w:rsid w:val="005831FC"/>
    <w:rPr>
      <w:b/>
      <w:bCs/>
    </w:rPr>
  </w:style>
  <w:style w:type="character" w:customStyle="1" w:styleId="sdsense">
    <w:name w:val="sdsense"/>
    <w:basedOn w:val="DefaultParagraphFont"/>
    <w:rsid w:val="005831FC"/>
  </w:style>
  <w:style w:type="character" w:customStyle="1" w:styleId="sd">
    <w:name w:val="sd"/>
    <w:basedOn w:val="DefaultParagraphFont"/>
    <w:rsid w:val="005831FC"/>
  </w:style>
  <w:style w:type="paragraph" w:styleId="NormalWeb">
    <w:name w:val="Normal (Web)"/>
    <w:basedOn w:val="Normal"/>
    <w:uiPriority w:val="99"/>
    <w:unhideWhenUsed/>
    <w:rsid w:val="005831FC"/>
    <w:pPr>
      <w:spacing w:before="100" w:beforeAutospacing="1" w:after="100" w:afterAutospacing="1"/>
    </w:pPr>
  </w:style>
  <w:style w:type="character" w:styleId="UnresolvedMention">
    <w:name w:val="Unresolved Mention"/>
    <w:basedOn w:val="DefaultParagraphFont"/>
    <w:uiPriority w:val="99"/>
    <w:semiHidden/>
    <w:unhideWhenUsed/>
    <w:rsid w:val="005831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nglishgrammar.org/must-and-ought-t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7</Pages>
  <Words>1838</Words>
  <Characters>9449</Characters>
  <Application>Microsoft Office Word</Application>
  <DocSecurity>0</DocSecurity>
  <Lines>125</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15</cp:revision>
  <dcterms:created xsi:type="dcterms:W3CDTF">2022-03-11T23:05:00Z</dcterms:created>
  <dcterms:modified xsi:type="dcterms:W3CDTF">2022-03-12T01:34:00Z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