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D0138" w14:textId="40AB7E29" w:rsidR="00E42E4C" w:rsidRDefault="007A511C" w:rsidP="007A511C">
      <w:pPr>
        <w:pStyle w:val="Heading1"/>
      </w:pPr>
      <w:r>
        <w:t>Palm R3</w:t>
      </w:r>
    </w:p>
    <w:p w14:paraId="0E13B6E0" w14:textId="0C04CD5D" w:rsidR="00D845B1" w:rsidRDefault="00D845B1" w:rsidP="00D845B1">
      <w:pPr>
        <w:pStyle w:val="Heading2"/>
        <w:rPr>
          <w:lang w:eastAsia="zh-CN"/>
        </w:rPr>
      </w:pPr>
      <w:r>
        <w:lastRenderedPageBreak/>
        <w:t>N</w:t>
      </w:r>
      <w:r>
        <w:rPr>
          <w:rFonts w:hint="eastAsia"/>
          <w:lang w:eastAsia="zh-CN"/>
        </w:rPr>
        <w:t>C</w:t>
      </w:r>
    </w:p>
    <w:p w14:paraId="2F472208" w14:textId="00E891BC" w:rsidR="00D845B1" w:rsidRPr="00D845B1" w:rsidRDefault="004A1856" w:rsidP="00D845B1">
      <w:pPr>
        <w:pStyle w:val="Heading3"/>
        <w:rPr>
          <w:lang w:eastAsia="zh-CN"/>
        </w:rPr>
      </w:pPr>
      <w:r>
        <w:rPr>
          <w:lang w:eastAsia="zh-CN"/>
        </w:rPr>
        <w:lastRenderedPageBreak/>
        <w:t>T – BODY POLITICS</w:t>
      </w:r>
    </w:p>
    <w:p w14:paraId="5CA5A6FF" w14:textId="77777777" w:rsidR="002A7E1F" w:rsidRPr="005E24A9" w:rsidRDefault="002A7E1F" w:rsidP="002A7E1F">
      <w:pPr>
        <w:pStyle w:val="Heading4"/>
      </w:pPr>
      <w:r>
        <w:t>Interpretation – 1AC must use personal knowledge, organic intellectuals, and academic intellectuals, to garner offense.</w:t>
      </w:r>
    </w:p>
    <w:p w14:paraId="5A04636B" w14:textId="77777777" w:rsidR="002A7E1F" w:rsidRPr="0022129D" w:rsidRDefault="002A7E1F" w:rsidP="002A7E1F">
      <w:r w:rsidRPr="0022129D">
        <w:rPr>
          <w:rStyle w:val="Style13ptBold"/>
        </w:rPr>
        <w:t>Reid-Brinkley</w:t>
      </w:r>
      <w:r w:rsidRPr="0022129D">
        <w:t>, Shanara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7566F774" w14:textId="77777777" w:rsidR="002A7E1F" w:rsidRDefault="002A7E1F" w:rsidP="002A7E1F">
      <w:pPr>
        <w:rPr>
          <w:sz w:val="16"/>
          <w:szCs w:val="16"/>
        </w:rPr>
      </w:pPr>
      <w:r w:rsidRPr="0022129D">
        <w:rPr>
          <w:sz w:val="16"/>
        </w:rPr>
        <w:t xml:space="preserve">The process of signifyin’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to maintain the dominance of normative knowledgemaking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0A301973" w14:textId="77777777" w:rsidR="002A7E1F" w:rsidRDefault="002A7E1F" w:rsidP="002A7E1F">
      <w:pPr>
        <w:pStyle w:val="Heading4"/>
      </w:pPr>
      <w:r>
        <w:lastRenderedPageBreak/>
        <w:t xml:space="preserve">Violation – </w:t>
      </w:r>
      <w:r w:rsidRPr="00803220">
        <w:rPr>
          <w:highlight w:val="green"/>
        </w:rPr>
        <w:t>[Extempt]</w:t>
      </w:r>
    </w:p>
    <w:p w14:paraId="724D1170" w14:textId="77777777" w:rsidR="002A7E1F" w:rsidRDefault="002A7E1F" w:rsidP="002A7E1F">
      <w:pPr>
        <w:pStyle w:val="Heading4"/>
      </w:pPr>
      <w:r>
        <w:t>Prefer</w:t>
      </w:r>
    </w:p>
    <w:p w14:paraId="11A2EC87" w14:textId="77777777" w:rsidR="002A7E1F" w:rsidRDefault="002A7E1F" w:rsidP="002A7E1F">
      <w:pPr>
        <w:pStyle w:val="Heading4"/>
      </w:pPr>
      <w:r>
        <w:t>1</w:t>
      </w:r>
      <w:r w:rsidRPr="0022129D">
        <w:t xml:space="preserve">] </w:t>
      </w:r>
      <w:r>
        <w:t xml:space="preserve">Pornotroping: The 1AC narrates forms of violence for ballots commodifying experience and degrading them to high school debate rounds and </w:t>
      </w:r>
      <w:r w:rsidRPr="00CE3839">
        <w:t xml:space="preserve">detaching </w:t>
      </w:r>
      <w:r>
        <w:t xml:space="preserve">ourselves from the violence. This turns the aff because none of your impacts are achieved only recreating cruel optimism. </w:t>
      </w:r>
    </w:p>
    <w:p w14:paraId="3258ADD1" w14:textId="77777777" w:rsidR="002A7E1F" w:rsidRDefault="002A7E1F" w:rsidP="002A7E1F">
      <w:pPr>
        <w:pStyle w:val="Heading4"/>
      </w:pPr>
      <w:r>
        <w:t>2</w:t>
      </w:r>
      <w:r w:rsidRPr="0022084D">
        <w:t xml:space="preserve">] </w:t>
      </w:r>
      <w:r>
        <w:t xml:space="preserve">Embodiment – </w:t>
      </w:r>
      <w:r w:rsidRPr="0022084D">
        <w:t xml:space="preserve">Without embodiment the aff does nothing. </w:t>
      </w:r>
      <w:r>
        <w:t>Their method</w:t>
      </w:r>
      <w:r w:rsidRPr="0022084D">
        <w:t xml:space="preserve"> illusory so voting aff doesn’t do the benefits it discusses. It only matters if you have a connection with the advocacy, means vote neg on presumption.</w:t>
      </w:r>
      <w:r>
        <w:t xml:space="preserve"> Also turns their method since it filters out whiteness.</w:t>
      </w:r>
    </w:p>
    <w:p w14:paraId="0F10FC4D" w14:textId="77777777" w:rsidR="002A7E1F" w:rsidRPr="00BC5FE7" w:rsidRDefault="002A7E1F" w:rsidP="002A7E1F">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19ABD37E" w14:textId="77777777" w:rsidR="002A7E1F" w:rsidRPr="00ED56D2" w:rsidRDefault="002A7E1F" w:rsidP="002A7E1F">
      <w:pPr>
        <w:spacing w:after="0" w:line="240" w:lineRule="auto"/>
        <w:rPr>
          <w:rFonts w:eastAsia="Times New Roman"/>
          <w:b/>
          <w:bCs/>
          <w:u w:val="single"/>
        </w:rPr>
      </w:pPr>
      <w:r w:rsidRPr="0022084D">
        <w:rPr>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22084D">
        <w:rPr>
          <w:b/>
          <w:bCs/>
          <w:color w:val="222222"/>
          <w:u w:val="single"/>
          <w:shd w:val="clear" w:color="auto" w:fill="FFFFFF"/>
        </w:rPr>
        <w:t>. Furthermo</w:t>
      </w:r>
      <w:r w:rsidRPr="0022084D">
        <w:rPr>
          <w:b/>
          <w:bCs/>
          <w:color w:val="000000" w:themeColor="text1"/>
          <w:u w:val="single"/>
          <w:shd w:val="clear" w:color="auto" w:fill="FFFFFF"/>
        </w:rPr>
        <w:t>re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Refusing to declare one‟s speaking position,</w:t>
      </w:r>
      <w:r w:rsidRPr="0022084D">
        <w:rPr>
          <w:b/>
          <w:bCs/>
          <w:color w:val="222222"/>
          <w:u w:val="single"/>
          <w:shd w:val="clear" w:color="auto" w:fill="FFFFFF"/>
        </w:rPr>
        <w:t xml:space="preserve"> I argue constitutes not only a flagrant denial of the privileging effect of speech, but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I speak tonight from what I would term, a privileged speaking position. As 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‗disability‘</w:t>
      </w:r>
      <w:r w:rsidRPr="0022084D">
        <w:rPr>
          <w:color w:val="222222"/>
          <w:shd w:val="clear" w:color="auto" w:fill="FFFFFF"/>
        </w:rPr>
        <w:t>. </w:t>
      </w:r>
      <w:r w:rsidRPr="0022084D">
        <w:rPr>
          <w:b/>
          <w:bCs/>
          <w:color w:val="222222"/>
          <w:u w:val="single"/>
          <w:shd w:val="clear" w:color="auto" w:fill="FFFFFF"/>
        </w:rPr>
        <w:t>Before I speak I am required to undertake a process of self-examination, to scrutinise my representational politics, to immerse myself in a self-reflexive </w:t>
      </w:r>
      <w:r w:rsidRPr="0022084D">
        <w:rPr>
          <w:b/>
          <w:bCs/>
          <w:color w:val="000000"/>
          <w:u w:val="single"/>
          <w:shd w:val="clear" w:color="auto" w:fill="FFFFFF"/>
        </w:rPr>
        <w:t>interrogation and discern “what [my] representational politics authorises</w:t>
      </w:r>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―(Howe 1994: 217). Do I speak for myself or others? Am I making gross generalisations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r w:rsidRPr="00BC5FE7">
        <w:rPr>
          <w:b/>
          <w:bCs/>
          <w:color w:val="222222"/>
          <w:u w:val="single"/>
          <w:shd w:val="clear" w:color="auto" w:fill="FFFFFF"/>
        </w:rPr>
        <w:t xml:space="preserve">in order </w:t>
      </w:r>
      <w:r w:rsidRPr="00803220">
        <w:rPr>
          <w:b/>
          <w:bCs/>
          <w:color w:val="222222"/>
          <w:highlight w:val="green"/>
          <w:u w:val="single"/>
          <w:shd w:val="clear" w:color="auto" w:fill="FFFFFF"/>
        </w:rPr>
        <w:t xml:space="preserve">to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6FDD411E" w14:textId="77777777" w:rsidR="002A7E1F" w:rsidRDefault="002A7E1F" w:rsidP="002A7E1F">
      <w:pPr>
        <w:pStyle w:val="Heading4"/>
      </w:pPr>
      <w:r w:rsidRPr="008E0A9B">
        <w:lastRenderedPageBreak/>
        <w:t>3] Accessibility</w:t>
      </w:r>
      <w:r>
        <w:t xml:space="preserve"> – models of debate that don’t meet the three tiered process are uniquely inaccessible for oppressed bodies because they’re forced to invest in a system that is terminally juxtaposed in opposition to their very identity. </w:t>
      </w:r>
    </w:p>
    <w:p w14:paraId="22B6DF6A" w14:textId="22092AD2" w:rsidR="002A7E1F" w:rsidRPr="002A7E1F" w:rsidRDefault="002A7E1F" w:rsidP="002A7E1F">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t xml:space="preserve">. No RVIs or impact turns – you should not win for proving you’re accessible, and their model </w:t>
      </w:r>
      <w:r w:rsidRPr="00FA7756">
        <w:rPr>
          <w:u w:val="single"/>
        </w:rPr>
        <w:t>deters</w:t>
      </w:r>
      <w:r>
        <w:t xml:space="preserve"> debaters from indicting oppressive practices.</w:t>
      </w:r>
    </w:p>
    <w:p w14:paraId="5B93951B" w14:textId="7334004D" w:rsidR="002A7E1F" w:rsidRDefault="00D845B1" w:rsidP="002A7E1F">
      <w:pPr>
        <w:pStyle w:val="Heading3"/>
      </w:pPr>
      <w:r>
        <w:lastRenderedPageBreak/>
        <w:t>NC – KANT</w:t>
      </w:r>
    </w:p>
    <w:p w14:paraId="47CC035A" w14:textId="77777777" w:rsidR="002A7E1F" w:rsidRDefault="002A7E1F" w:rsidP="002A7E1F">
      <w:pPr>
        <w:pStyle w:val="Heading4"/>
      </w:pPr>
      <w:r>
        <w:t>Ethics must begin a priori and the meta-ethic is reason.</w:t>
      </w:r>
    </w:p>
    <w:p w14:paraId="78A965AA" w14:textId="77777777" w:rsidR="002A7E1F" w:rsidRPr="00B4068A" w:rsidRDefault="002A7E1F" w:rsidP="002A7E1F">
      <w:pPr>
        <w:pStyle w:val="Heading4"/>
      </w:pPr>
      <w:r w:rsidRPr="00B4068A">
        <w:t>1]</w:t>
      </w:r>
      <w:r>
        <w:rPr>
          <w:u w:val="single"/>
        </w:rPr>
        <w:t xml:space="preserve"> </w:t>
      </w:r>
      <w:r w:rsidRPr="00A30317">
        <w:rPr>
          <w:u w:val="single"/>
        </w:rPr>
        <w:t>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5AE2006" w14:textId="77777777" w:rsidR="002A7E1F" w:rsidRDefault="002A7E1F" w:rsidP="002A7E1F">
      <w:pPr>
        <w:pStyle w:val="Heading4"/>
      </w:pPr>
      <w:r>
        <w:t>2</w:t>
      </w:r>
      <w:r w:rsidRPr="00521884">
        <w:t xml:space="preserve">] </w:t>
      </w:r>
      <w:r w:rsidRPr="00317657">
        <w:rPr>
          <w:u w:val="single"/>
        </w:rPr>
        <w:t>Action theory</w:t>
      </w:r>
      <w:r>
        <w:t xml:space="preserve"> – individual actions are infinitely divisible we don’t know at which point the step had the intent of going to X space which means individual actions are infinitely divisible and we can’t look at individual actions but instead intents of the overarching idea.</w:t>
      </w:r>
    </w:p>
    <w:p w14:paraId="540F43FF" w14:textId="77777777" w:rsidR="002A7E1F" w:rsidRDefault="002A7E1F" w:rsidP="002A7E1F">
      <w:pPr>
        <w:pStyle w:val="Heading4"/>
        <w:rPr>
          <w:rFonts w:cs="Calibri"/>
        </w:rPr>
      </w:pPr>
      <w:r>
        <w:rPr>
          <w:rFonts w:cs="Calibri"/>
        </w:rPr>
        <w:t>3</w:t>
      </w:r>
      <w:r w:rsidRPr="005B0098">
        <w:rPr>
          <w:rFonts w:cs="Calibri"/>
        </w:rPr>
        <w:t>] Externalism fails</w:t>
      </w:r>
      <w:r>
        <w:rPr>
          <w:rFonts w:cs="Calibri"/>
        </w:rPr>
        <w:t xml:space="preserve"> – </w:t>
      </w:r>
      <w:r w:rsidRPr="005B0098">
        <w:rPr>
          <w:rFonts w:cs="Calibri"/>
        </w:rPr>
        <w:t xml:space="preserve">no reason why we ought to care about higher order which takes out consequences </w:t>
      </w:r>
      <w:r>
        <w:rPr>
          <w:rFonts w:cs="Calibri"/>
        </w:rPr>
        <w:t xml:space="preserve">and Ks </w:t>
      </w:r>
      <w:r w:rsidRPr="005B0098">
        <w:rPr>
          <w:rFonts w:cs="Calibri"/>
        </w:rPr>
        <w:t>because we don’t care about them.</w:t>
      </w:r>
    </w:p>
    <w:p w14:paraId="68B061DB" w14:textId="77777777" w:rsidR="002A7E1F" w:rsidRDefault="002A7E1F" w:rsidP="002A7E1F">
      <w:pPr>
        <w:pStyle w:val="Heading4"/>
      </w:pPr>
      <w:r>
        <w:t xml:space="preserve">4] </w:t>
      </w:r>
      <w:r w:rsidRPr="00A20754">
        <w:t>There’s an act/omission distinction – otherwise we’d be held infinitely culpable for every omission which kills any conception of moralit</w:t>
      </w:r>
      <w:r>
        <w:t>y. Negate on presumption – even if they win the round your not obligated to vote for them.</w:t>
      </w:r>
    </w:p>
    <w:p w14:paraId="51A6EEB1" w14:textId="77777777" w:rsidR="002A7E1F" w:rsidRDefault="002A7E1F" w:rsidP="002A7E1F">
      <w:pPr>
        <w:pStyle w:val="Heading4"/>
      </w:pPr>
      <w:r>
        <w:t xml:space="preserve">5] </w:t>
      </w:r>
      <w:r w:rsidRPr="005B0098">
        <w:t>Consequences Fail</w:t>
      </w:r>
      <w:r>
        <w:t xml:space="preserve"> –</w:t>
      </w:r>
      <w:r w:rsidRPr="005B0098">
        <w:t xml:space="preserve"> </w:t>
      </w:r>
      <w:r>
        <w:t>a</w:t>
      </w:r>
      <w:r w:rsidRPr="005B0098">
        <w:t>] Every action has infinite stemming consequence</w:t>
      </w:r>
      <w:r>
        <w:t>s</w:t>
      </w:r>
      <w:r w:rsidRPr="005B0098">
        <w:t xml:space="preserve"> </w:t>
      </w:r>
      <w:r>
        <w:t>b</w:t>
      </w:r>
      <w:r w:rsidRPr="005B0098">
        <w:t xml:space="preserve">] Induction is circular because </w:t>
      </w:r>
      <w:r>
        <w:rPr>
          <w:rFonts w:hint="eastAsia"/>
          <w:lang w:eastAsia="zh-CN"/>
        </w:rPr>
        <w:t>i</w:t>
      </w:r>
      <w:r w:rsidRPr="005B0098">
        <w:t xml:space="preserve">t relies on the assumption that nature will hold uniform and we could only reach that conclusion through inductive reasoning based on observation of past events. </w:t>
      </w:r>
      <w:r>
        <w:t>c</w:t>
      </w:r>
      <w:r w:rsidRPr="005B0098">
        <w:t>] Aggregation</w:t>
      </w:r>
      <w:r>
        <w:t xml:space="preserve"> fa</w:t>
      </w:r>
      <w:r w:rsidRPr="005B0098">
        <w:t xml:space="preserve">ils </w:t>
      </w:r>
      <w:r>
        <w:t>–</w:t>
      </w:r>
      <w:r w:rsidRPr="005B0098">
        <w:t xml:space="preserve"> suffering is not additive can’t compare between one migraine and 10 head aches</w:t>
      </w:r>
    </w:p>
    <w:p w14:paraId="0C1FD7DE" w14:textId="77777777" w:rsidR="002A7E1F" w:rsidRPr="009738B6" w:rsidRDefault="002A7E1F" w:rsidP="002A7E1F">
      <w:pPr>
        <w:pStyle w:val="Heading4"/>
      </w:pPr>
      <w:r w:rsidRPr="009738B6">
        <w:t>6]</w:t>
      </w:r>
      <w:r>
        <w:rPr>
          <w:u w:val="single"/>
        </w:rPr>
        <w:t xml:space="preserve"> </w:t>
      </w:r>
      <w:r w:rsidRPr="00A30317">
        <w:rPr>
          <w:u w:val="single"/>
        </w:rPr>
        <w:t>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3CA911C7" w14:textId="77777777" w:rsidR="002A7E1F" w:rsidRDefault="002A7E1F" w:rsidP="002A7E1F">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3D1BC6A0" w14:textId="77777777" w:rsidR="002A7E1F" w:rsidRDefault="002A7E1F" w:rsidP="002A7E1F">
      <w:pPr>
        <w:pStyle w:val="Heading4"/>
      </w:pPr>
      <w:r w:rsidRPr="00925D23">
        <w:rPr>
          <w:rFonts w:cs="Calibri"/>
        </w:rPr>
        <w:lastRenderedPageBreak/>
        <w:t xml:space="preserve">Thus, the standard is consistency with </w:t>
      </w:r>
      <w:r>
        <w:rPr>
          <w:rFonts w:cs="Calibri"/>
        </w:rPr>
        <w:t xml:space="preserve">the categorical imperative – </w:t>
      </w:r>
      <w:r>
        <w:t>all other</w:t>
      </w:r>
      <w:r w:rsidRPr="000A5608">
        <w:t xml:space="preserve"> theories source obligations in extrinsically good objects, but that presupposes the goodness of the rational will.</w:t>
      </w:r>
    </w:p>
    <w:p w14:paraId="6D9FBEF7" w14:textId="77777777" w:rsidR="002A7E1F" w:rsidRDefault="002A7E1F" w:rsidP="002A7E1F"/>
    <w:p w14:paraId="246DF794" w14:textId="77777777" w:rsidR="002A7E1F" w:rsidRDefault="002A7E1F" w:rsidP="002A7E1F">
      <w:pPr>
        <w:pStyle w:val="Heading4"/>
      </w:pPr>
      <w:r>
        <w:t xml:space="preserve">Offense – </w:t>
      </w:r>
    </w:p>
    <w:p w14:paraId="29BFA755" w14:textId="77777777" w:rsidR="002A7E1F" w:rsidRPr="00DF08D4" w:rsidRDefault="002A7E1F" w:rsidP="002A7E1F">
      <w:pPr>
        <w:pStyle w:val="Heading4"/>
      </w:pPr>
      <w:r>
        <w:t>1] If states can appropriate space then private companies should also be able to since they have to recognize agency</w:t>
      </w:r>
    </w:p>
    <w:p w14:paraId="3883350E" w14:textId="77777777" w:rsidR="002A7E1F" w:rsidRDefault="002A7E1F" w:rsidP="002A7E1F">
      <w:pPr>
        <w:pStyle w:val="Heading4"/>
        <w:rPr>
          <w:b w:val="0"/>
          <w:bCs w:val="0"/>
        </w:rPr>
      </w:pPr>
      <w:r>
        <w:t>2] A model of freedom mandates a market-oriented approach to space—that negates</w:t>
      </w:r>
    </w:p>
    <w:p w14:paraId="1C973760" w14:textId="77777777" w:rsidR="002A7E1F" w:rsidRPr="006C5A71" w:rsidRDefault="002A7E1F" w:rsidP="002A7E1F">
      <w:r w:rsidRPr="005C7A43">
        <w:rPr>
          <w:rStyle w:val="Style13ptBold"/>
        </w:rPr>
        <w:t>Broker 20</w:t>
      </w:r>
      <w:r>
        <w:t xml:space="preserve"> </w:t>
      </w:r>
      <w:r w:rsidRPr="006C5A71">
        <w:t xml:space="preserve">[(Tyler, work has been published in the Gonzaga Law Review, the Albany Law Review and the University of Memphis Law Review.) “Space Law Can Only Be Libertarian Minded,” Above the Law, 1-14-20, </w:t>
      </w:r>
      <w:hyperlink r:id="rId11" w:history="1">
        <w:r w:rsidRPr="006C5A71">
          <w:rPr>
            <w:rStyle w:val="Hyperlink"/>
          </w:rPr>
          <w:t>https://abovethelaw.com/2020/01/space-law-can-only-be-libertarian-minded/</w:t>
        </w:r>
      </w:hyperlink>
      <w:r w:rsidRPr="006C5A71">
        <w:t>] TDI</w:t>
      </w:r>
    </w:p>
    <w:p w14:paraId="703416D1" w14:textId="77777777" w:rsidR="002A7E1F" w:rsidRPr="00A93110" w:rsidRDefault="002A7E1F" w:rsidP="002A7E1F">
      <w:pPr>
        <w:rPr>
          <w:rStyle w:val="Emphasis"/>
        </w:rPr>
      </w:pPr>
      <w:r w:rsidRPr="00A93110">
        <w:rPr>
          <w:sz w:val="16"/>
        </w:rPr>
        <w:t xml:space="preserve">The </w:t>
      </w:r>
      <w:r w:rsidRPr="008D6638">
        <w:rPr>
          <w:rStyle w:val="Emphasis"/>
        </w:rPr>
        <w:t>impact on human daily life from a transition to the virtually unlimited resource reality of space cannot be overstated.</w:t>
      </w:r>
      <w:r w:rsidRPr="008D6638">
        <w:rPr>
          <w:sz w:val="16"/>
        </w:rPr>
        <w:t xml:space="preserve"> However, </w:t>
      </w:r>
      <w:r w:rsidRPr="008D6638">
        <w:rPr>
          <w:rStyle w:val="Emphasis"/>
        </w:rPr>
        <w:t>when it comes to the law, a minimalist, dare I say libertarian, approach appears as the only applicable system.</w:t>
      </w:r>
      <w:r w:rsidRPr="008D6638">
        <w:rPr>
          <w:sz w:val="16"/>
        </w:rPr>
        <w:t xml:space="preserve"> In the words of NASA, “2020 promises to be a big year for space exploration.” Yet, </w:t>
      </w:r>
      <w:r w:rsidRPr="008D6638">
        <w:rPr>
          <w:rStyle w:val="Emphasis"/>
        </w:rPr>
        <w:t>as Rand Simberg points out in Reason</w:t>
      </w:r>
      <w:r w:rsidRPr="00A93110">
        <w:rPr>
          <w:rStyle w:val="Emphasis"/>
        </w:rPr>
        <w:t xml:space="preserve">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 xml:space="preserve">moving space </w:t>
      </w:r>
      <w:r w:rsidRPr="008D6638">
        <w:rPr>
          <w:rStyle w:val="Emphasis"/>
        </w:rPr>
        <w:t>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reality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amount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w:t>
      </w:r>
      <w:r w:rsidRPr="00A93110">
        <w:rPr>
          <w:rStyle w:val="Emphasis"/>
        </w:rPr>
        <w:lastRenderedPageBreak/>
        <w:t xml:space="preserve">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8D6638">
        <w:rPr>
          <w:rStyle w:val="Emphasis"/>
        </w:rPr>
        <w:t>replace anything “taken” from them instantly</w:t>
      </w:r>
      <w:r w:rsidRPr="008D6638">
        <w:rPr>
          <w:sz w:val="16"/>
        </w:rPr>
        <w:t xml:space="preserve">, what would be the point of theft laws? If you had </w:t>
      </w:r>
      <w:r w:rsidRPr="008D6638">
        <w:rPr>
          <w:rStyle w:val="Emphasis"/>
        </w:rPr>
        <w:t xml:space="preserve">virtually </w:t>
      </w:r>
      <w:r w:rsidRPr="00944C2A">
        <w:rPr>
          <w:rStyle w:val="Emphasis"/>
          <w:highlight w:val="green"/>
        </w:rPr>
        <w:t>infinite space</w:t>
      </w:r>
      <w:r w:rsidRPr="008D6638">
        <w:rPr>
          <w:rStyle w:val="Emphasis"/>
        </w:rPr>
        <w:t xml:space="preserve"> in which you can build what we would now call luxurious livable quarters, all </w:t>
      </w:r>
      <w:r w:rsidRPr="00944C2A">
        <w:rPr>
          <w:rStyle w:val="Emphasis"/>
          <w:highlight w:val="green"/>
        </w:rPr>
        <w:t>without exploiting</w:t>
      </w:r>
      <w:r w:rsidRPr="008D6638">
        <w:rPr>
          <w:rStyle w:val="Emphasis"/>
        </w:rPr>
        <w:t xml:space="preserve"> human </w:t>
      </w:r>
      <w:r w:rsidRPr="00944C2A">
        <w:rPr>
          <w:rStyle w:val="Emphasis"/>
          <w:highlight w:val="green"/>
        </w:rPr>
        <w:t xml:space="preserve">labor or </w:t>
      </w:r>
      <w:r w:rsidRPr="00944C2A">
        <w:rPr>
          <w:rStyle w:val="Emphasis"/>
        </w:rPr>
        <w:t>fragile</w:t>
      </w:r>
      <w:r w:rsidRPr="008D6638">
        <w:rPr>
          <w:rStyle w:val="Emphasis"/>
        </w:rPr>
        <w:t xml:space="preserve"> Earth </w:t>
      </w:r>
      <w:r w:rsidRPr="00944C2A">
        <w:rPr>
          <w:rStyle w:val="Emphasis"/>
          <w:highlight w:val="green"/>
        </w:rPr>
        <w:t>ecosystems</w:t>
      </w:r>
      <w:r w:rsidRPr="008D6638">
        <w:rPr>
          <w:sz w:val="16"/>
        </w:rPr>
        <w:t xml:space="preserve"> when you do it, what sense would most property, employment, or commercial law make? Again, this is not a pipe</w:t>
      </w:r>
      <w:r w:rsidRPr="00A93110">
        <w:rPr>
          <w:sz w:val="16"/>
        </w:rPr>
        <w:t xml:space="preserve"> dream, </w:t>
      </w:r>
      <w:r w:rsidRPr="00A93110">
        <w:rPr>
          <w:rStyle w:val="Emphasis"/>
        </w:rPr>
        <w:t xml:space="preserve">no matter how much our population grows for the next several millennia, the amount of </w:t>
      </w:r>
      <w:r w:rsidRPr="00944C2A">
        <w:rPr>
          <w:rStyle w:val="Emphasis"/>
          <w:highlight w:val="green"/>
        </w:rPr>
        <w:t>resources</w:t>
      </w:r>
      <w:r w:rsidRPr="00A93110">
        <w:rPr>
          <w:rStyle w:val="Emphasis"/>
        </w:rPr>
        <w:t xml:space="preserve"> within our solar system can </w:t>
      </w:r>
      <w:r w:rsidRPr="00944C2A">
        <w:rPr>
          <w:rStyle w:val="Emphasis"/>
          <w:highlight w:val="green"/>
        </w:rPr>
        <w:t>sustain</w:t>
      </w:r>
      <w:r w:rsidRPr="00A93110">
        <w:rPr>
          <w:rStyle w:val="Emphasis"/>
        </w:rPr>
        <w:t xml:space="preserve"> such an existence for </w:t>
      </w:r>
      <w:r w:rsidRPr="00944C2A">
        <w:rPr>
          <w:rStyle w:val="Emphasis"/>
          <w:highlight w:val="green"/>
        </w:rPr>
        <w:t>every human being</w:t>
      </w:r>
      <w:r w:rsidRPr="00A93110">
        <w:rPr>
          <w:rStyle w:val="Emphasis"/>
        </w:rPr>
        <w:t xml:space="preserve">.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944C2A">
        <w:rPr>
          <w:rStyle w:val="Emphasis"/>
        </w:rPr>
        <w:t>Regardless of whether governments allow it, however, private citizens are currently obtaining the ability to travel there, and if human history is any indicator, private homesteading will follow, flag or no flag.</w:t>
      </w:r>
      <w:r w:rsidRPr="00944C2A">
        <w:rPr>
          <w:sz w:val="16"/>
        </w:rPr>
        <w:t xml:space="preserve"> We Americ</w:t>
      </w:r>
      <w:r w:rsidRPr="00A93110">
        <w:rPr>
          <w:sz w:val="16"/>
        </w:rPr>
        <w:t xml:space="preserve">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things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572B78E2" w14:textId="56E0E8C6" w:rsidR="004A1856" w:rsidRDefault="004A1856" w:rsidP="004A1856">
      <w:pPr>
        <w:pStyle w:val="Heading3"/>
      </w:pPr>
      <w:r>
        <w:lastRenderedPageBreak/>
        <w:t xml:space="preserve">K – </w:t>
      </w:r>
      <w:r w:rsidR="008A2241">
        <w:t>LEGAL OR</w:t>
      </w:r>
    </w:p>
    <w:p w14:paraId="2643CD31" w14:textId="77777777" w:rsidR="008A2241" w:rsidRPr="00143D13" w:rsidRDefault="008A2241" w:rsidP="008A2241">
      <w:pPr>
        <w:pStyle w:val="Heading4"/>
      </w:pPr>
      <w:r w:rsidRPr="00143D13">
        <w:t>International Law is rooted in the expansion of orientalism – an international legal standard that stems from hegemonic European culture</w:t>
      </w:r>
    </w:p>
    <w:p w14:paraId="1223A5EC" w14:textId="77777777" w:rsidR="008A2241" w:rsidRPr="00143D13" w:rsidRDefault="008A2241" w:rsidP="008A2241">
      <w:pPr>
        <w:rPr>
          <w:sz w:val="22"/>
          <w:szCs w:val="22"/>
        </w:rPr>
      </w:pPr>
      <w:r w:rsidRPr="00143D13">
        <w:rPr>
          <w:rStyle w:val="Style13ptBold"/>
        </w:rPr>
        <w:t>Chimni 18</w:t>
      </w:r>
      <w:r w:rsidRPr="00143D13">
        <w:rPr>
          <w:sz w:val="22"/>
          <w:szCs w:val="22"/>
        </w:rPr>
        <w:t xml:space="preserve"> [B. S. Chimni* Affiliation, 3-16-2018, "Customary International Law: A Third World Perspective," Cambridge Core, </w:t>
      </w:r>
      <w:hyperlink r:id="rId12" w:history="1">
        <w:r w:rsidRPr="00143D13">
          <w:rPr>
            <w:rStyle w:val="Hyperlink"/>
            <w:sz w:val="22"/>
            <w:szCs w:val="22"/>
          </w:rPr>
          <w:t>https://www.cambridge.org/core/journals/american-journal-of-international-law/article/customary-international-law-a-third-world-perspective/DEDB6DB43A3B5A613B68FDBE56E20A20</w:t>
        </w:r>
      </w:hyperlink>
      <w:r w:rsidRPr="00143D13">
        <w:rPr>
          <w:sz w:val="22"/>
          <w:szCs w:val="22"/>
        </w:rPr>
        <w:t xml:space="preserve"> [accessed 12-8-21] lydia</w:t>
      </w:r>
    </w:p>
    <w:p w14:paraId="7CA10F65" w14:textId="77777777" w:rsidR="008A2241" w:rsidRPr="00143D13" w:rsidRDefault="008A2241" w:rsidP="008A2241"/>
    <w:p w14:paraId="0CC35989" w14:textId="069A0C2A" w:rsidR="008A2241" w:rsidRDefault="008A2241" w:rsidP="008A2241">
      <w:pPr>
        <w:rPr>
          <w:sz w:val="16"/>
          <w:szCs w:val="16"/>
        </w:rPr>
      </w:pPr>
      <w:r w:rsidRPr="00143D13">
        <w:rPr>
          <w:sz w:val="16"/>
          <w:szCs w:val="16"/>
        </w:rPr>
        <w:t xml:space="preserve">st, as Milos Vec points out, it is in the nineteenth century that </w:t>
      </w:r>
      <w:r w:rsidRPr="00143D13">
        <w:rPr>
          <w:rStyle w:val="StyleUnderline"/>
        </w:rPr>
        <w:t xml:space="preserve">the idea of </w:t>
      </w:r>
      <w:r w:rsidRPr="00143D13">
        <w:rPr>
          <w:rStyle w:val="StyleUnderline"/>
          <w:highlight w:val="green"/>
        </w:rPr>
        <w:t>European states forming a legal community</w:t>
      </w:r>
      <w:r w:rsidRPr="00143D13">
        <w:rPr>
          <w:rStyle w:val="StyleUnderline"/>
        </w:rPr>
        <w:t xml:space="preserve"> was advanced:</w:t>
      </w:r>
      <w:r w:rsidRPr="00143D13">
        <w:rPr>
          <w:sz w:val="16"/>
          <w:szCs w:val="16"/>
        </w:rPr>
        <w:t xml:space="preserve"> “Lawyers frequently mentioned </w:t>
      </w:r>
      <w:r w:rsidRPr="00143D13">
        <w:rPr>
          <w:rStyle w:val="StyleUnderline"/>
          <w:highlight w:val="green"/>
        </w:rPr>
        <w:t>the common history and Christian religion</w:t>
      </w:r>
      <w:r w:rsidRPr="00143D13">
        <w:rPr>
          <w:rStyle w:val="StyleUnderline"/>
        </w:rPr>
        <w:t xml:space="preserve"> of the continent, the existing foundations of treaties and </w:t>
      </w:r>
      <w:r w:rsidRPr="00143D13">
        <w:rPr>
          <w:rStyle w:val="StyleUnderline"/>
          <w:rFonts w:eastAsiaTheme="majorEastAsia"/>
        </w:rPr>
        <w:t xml:space="preserve">the </w:t>
      </w:r>
      <w:r w:rsidRPr="00143D13">
        <w:rPr>
          <w:rStyle w:val="StyleUnderline"/>
          <w:rFonts w:eastAsiaTheme="majorEastAsia"/>
          <w:highlight w:val="green"/>
        </w:rPr>
        <w:t>shared idea of legal consciousness</w:t>
      </w:r>
      <w:r w:rsidRPr="00143D13">
        <w:rPr>
          <w:rStyle w:val="StyleUnderline"/>
        </w:rPr>
        <w:t xml:space="preserve"> and mutual recognition as common basis of these countries to form ‘the international society</w:t>
      </w:r>
      <w:r w:rsidRPr="00143D13">
        <w:rPr>
          <w:sz w:val="16"/>
          <w:szCs w:val="16"/>
        </w:rPr>
        <w:t>.’”</w:t>
      </w:r>
      <w:hyperlink r:id="rId13" w:anchor="fn82" w:history="1">
        <w:r w:rsidRPr="00143D13">
          <w:rPr>
            <w:rStyle w:val="Hyperlink"/>
            <w:sz w:val="16"/>
            <w:szCs w:val="16"/>
          </w:rPr>
          <w:t>Footnote</w:t>
        </w:r>
        <w:r w:rsidRPr="00143D13">
          <w:rPr>
            <w:rStyle w:val="Hyperlink"/>
            <w:rFonts w:eastAsiaTheme="majorEastAsia"/>
            <w:sz w:val="16"/>
            <w:szCs w:val="16"/>
          </w:rPr>
          <w:t xml:space="preserve"> 82 </w:t>
        </w:r>
      </w:hyperlink>
      <w:r w:rsidRPr="00143D13">
        <w:rPr>
          <w:sz w:val="16"/>
          <w:szCs w:val="16"/>
        </w:rPr>
        <w:t xml:space="preserve">It is pertinent to recall here that the historical school of law, </w:t>
      </w:r>
      <w:r w:rsidRPr="00143D13">
        <w:rPr>
          <w:rStyle w:val="StyleUnderline"/>
        </w:rPr>
        <w:t xml:space="preserve">which </w:t>
      </w:r>
      <w:r w:rsidRPr="00143D13">
        <w:rPr>
          <w:rStyle w:val="StyleUnderline"/>
          <w:highlight w:val="green"/>
        </w:rPr>
        <w:t>influenced the development of</w:t>
      </w:r>
      <w:r w:rsidRPr="00143D13">
        <w:rPr>
          <w:rStyle w:val="StyleUnderline"/>
        </w:rPr>
        <w:t xml:space="preserve"> the doctrine of </w:t>
      </w:r>
      <w:r w:rsidRPr="00143D13">
        <w:rPr>
          <w:rStyle w:val="StyleUnderline"/>
          <w:highlight w:val="green"/>
        </w:rPr>
        <w:t>CIL</w:t>
      </w:r>
      <w:r w:rsidRPr="00143D13">
        <w:rPr>
          <w:sz w:val="16"/>
          <w:szCs w:val="16"/>
          <w:highlight w:val="green"/>
        </w:rPr>
        <w:t>,</w:t>
      </w:r>
      <w:r w:rsidRPr="00143D13">
        <w:rPr>
          <w:sz w:val="16"/>
          <w:szCs w:val="16"/>
        </w:rPr>
        <w:t xml:space="preserve"> had in the domestic context “rejected any idea that a standard of conduct could be imposed from without. It had to flow organically from within a national culture.”</w:t>
      </w:r>
      <w:hyperlink r:id="rId14" w:anchor="fn83" w:history="1">
        <w:r w:rsidRPr="00143D13">
          <w:rPr>
            <w:rStyle w:val="Hyperlink"/>
            <w:sz w:val="16"/>
            <w:szCs w:val="16"/>
          </w:rPr>
          <w:t>Footnote</w:t>
        </w:r>
        <w:r w:rsidRPr="00143D13">
          <w:rPr>
            <w:rStyle w:val="Hyperlink"/>
            <w:rFonts w:eastAsiaTheme="majorEastAsia"/>
            <w:sz w:val="16"/>
            <w:szCs w:val="16"/>
          </w:rPr>
          <w:t xml:space="preserve"> 83 </w:t>
        </w:r>
      </w:hyperlink>
      <w:r w:rsidRPr="00143D13">
        <w:rPr>
          <w:rStyle w:val="StyleUnderline"/>
          <w:highlight w:val="green"/>
        </w:rPr>
        <w:t>In</w:t>
      </w:r>
      <w:r w:rsidRPr="00143D13">
        <w:rPr>
          <w:rStyle w:val="StyleUnderline"/>
        </w:rPr>
        <w:t xml:space="preserve"> the instance of </w:t>
      </w:r>
      <w:r w:rsidRPr="00143D13">
        <w:rPr>
          <w:rStyle w:val="StyleUnderline"/>
          <w:highlight w:val="green"/>
        </w:rPr>
        <w:t>international law, it meant that the standard of conduct</w:t>
      </w:r>
      <w:r w:rsidRPr="00143D13">
        <w:rPr>
          <w:rStyle w:val="StyleUnderline"/>
        </w:rPr>
        <w:t xml:space="preserve"> which counted as practice </w:t>
      </w:r>
      <w:r w:rsidRPr="00143D13">
        <w:rPr>
          <w:rStyle w:val="StyleUnderline"/>
          <w:highlight w:val="green"/>
        </w:rPr>
        <w:t>had to spring from</w:t>
      </w:r>
      <w:r w:rsidRPr="00143D13">
        <w:rPr>
          <w:rStyle w:val="StyleUnderline"/>
        </w:rPr>
        <w:t xml:space="preserve"> organic </w:t>
      </w:r>
      <w:r w:rsidRPr="00143D13">
        <w:rPr>
          <w:rStyle w:val="StyleUnderline"/>
          <w:highlight w:val="green"/>
        </w:rPr>
        <w:t>European culture</w:t>
      </w:r>
      <w:r w:rsidRPr="00143D13">
        <w:rPr>
          <w:sz w:val="16"/>
          <w:szCs w:val="16"/>
        </w:rPr>
        <w:t xml:space="preserve">. To be sure, there was and is no monolithic European “culture.” But one may legitimately speak of </w:t>
      </w:r>
      <w:r w:rsidRPr="00143D13">
        <w:rPr>
          <w:rStyle w:val="StyleUnderline"/>
        </w:rPr>
        <w:t xml:space="preserve">a hegemonic culture (in the past or the present) and “of legal categories and techniques as </w:t>
      </w:r>
      <w:r w:rsidRPr="00143D13">
        <w:rPr>
          <w:rStyle w:val="StyleUnderline"/>
          <w:rFonts w:eastAsiaTheme="majorEastAsia"/>
        </w:rPr>
        <w:t>generative</w:t>
      </w:r>
      <w:r w:rsidRPr="00143D13">
        <w:rPr>
          <w:rStyle w:val="StyleUnderline"/>
        </w:rPr>
        <w:t xml:space="preserve"> of certain kinds of social, political, and epistemological realities</w:t>
      </w:r>
      <w:r w:rsidRPr="00143D13">
        <w:rPr>
          <w:sz w:val="16"/>
          <w:szCs w:val="16"/>
        </w:rPr>
        <w:t>.”</w:t>
      </w:r>
      <w:hyperlink r:id="rId15" w:anchor="fn84" w:history="1">
        <w:r w:rsidRPr="00143D13">
          <w:rPr>
            <w:rStyle w:val="Hyperlink"/>
            <w:sz w:val="16"/>
            <w:szCs w:val="16"/>
          </w:rPr>
          <w:t>Footnote</w:t>
        </w:r>
        <w:r w:rsidRPr="00143D13">
          <w:rPr>
            <w:rStyle w:val="Hyperlink"/>
            <w:rFonts w:eastAsiaTheme="majorEastAsia"/>
            <w:sz w:val="16"/>
            <w:szCs w:val="16"/>
          </w:rPr>
          <w:t xml:space="preserve"> 84 </w:t>
        </w:r>
      </w:hyperlink>
      <w:r w:rsidRPr="00143D13">
        <w:rPr>
          <w:rStyle w:val="StyleUnderline"/>
          <w:highlight w:val="green"/>
        </w:rPr>
        <w:t>At the core of</w:t>
      </w:r>
      <w:r w:rsidRPr="00143D13">
        <w:rPr>
          <w:rStyle w:val="StyleUnderline"/>
        </w:rPr>
        <w:t xml:space="preserve"> organic </w:t>
      </w:r>
      <w:r w:rsidRPr="00143D13">
        <w:rPr>
          <w:rStyle w:val="StyleUnderline"/>
          <w:highlight w:val="green"/>
        </w:rPr>
        <w:t>European culture</w:t>
      </w:r>
      <w:r w:rsidRPr="00143D13">
        <w:rPr>
          <w:rStyle w:val="StyleUnderline"/>
        </w:rPr>
        <w:t xml:space="preserve"> in the colonial era </w:t>
      </w:r>
      <w:r w:rsidRPr="00143D13">
        <w:rPr>
          <w:rStyle w:val="StyleUnderline"/>
          <w:highlight w:val="green"/>
        </w:rPr>
        <w:t>was the belief in the civilizing mission.</w:t>
      </w:r>
      <w:r w:rsidRPr="00143D13">
        <w:rPr>
          <w:rStyle w:val="StyleUnderline"/>
        </w:rPr>
        <w:t xml:space="preserve"> It involved the </w:t>
      </w:r>
      <w:r w:rsidRPr="00143D13">
        <w:rPr>
          <w:rStyle w:val="StyleUnderline"/>
          <w:highlight w:val="green"/>
        </w:rPr>
        <w:t>marriage of expanding capitalism with orientalism</w:t>
      </w:r>
      <w:r w:rsidRPr="00143D13">
        <w:rPr>
          <w:sz w:val="16"/>
          <w:szCs w:val="16"/>
        </w:rPr>
        <w:t xml:space="preserve">. To put it differently, imperialism entered a new phase in the nineteenth century that both strengthened European legal consciousness and spurred </w:t>
      </w:r>
      <w:r w:rsidRPr="00143D13">
        <w:rPr>
          <w:rStyle w:val="StyleUnderline"/>
          <w:highlight w:val="green"/>
        </w:rPr>
        <w:t>the development of CIL to facilitate “new” imperialism</w:t>
      </w:r>
      <w:r w:rsidRPr="00143D13">
        <w:rPr>
          <w:sz w:val="16"/>
          <w:szCs w:val="16"/>
        </w:rPr>
        <w:t>.</w:t>
      </w:r>
      <w:hyperlink r:id="rId16" w:anchor="fn85" w:history="1">
        <w:r w:rsidRPr="00143D13">
          <w:rPr>
            <w:rStyle w:val="Hyperlink"/>
            <w:sz w:val="16"/>
            <w:szCs w:val="16"/>
          </w:rPr>
          <w:t>Footnote</w:t>
        </w:r>
        <w:r w:rsidRPr="00143D13">
          <w:rPr>
            <w:rStyle w:val="Hyperlink"/>
            <w:rFonts w:eastAsiaTheme="majorEastAsia"/>
            <w:sz w:val="16"/>
            <w:szCs w:val="16"/>
          </w:rPr>
          <w:t xml:space="preserve"> 85</w:t>
        </w:r>
      </w:hyperlink>
      <w:r w:rsidRPr="00143D13">
        <w:rPr>
          <w:sz w:val="16"/>
          <w:szCs w:val="16"/>
        </w:rPr>
        <w:t xml:space="preserve"> Second, it was believed at this time that “Europe with its customs and political and cultural relations were at the theoretical centre of the emergence of international law.”</w:t>
      </w:r>
      <w:hyperlink r:id="rId17" w:anchor="fn86" w:history="1">
        <w:r w:rsidRPr="00143D13">
          <w:rPr>
            <w:rStyle w:val="Hyperlink"/>
            <w:sz w:val="16"/>
            <w:szCs w:val="16"/>
          </w:rPr>
          <w:t>Footnote</w:t>
        </w:r>
        <w:r w:rsidRPr="00143D13">
          <w:rPr>
            <w:rStyle w:val="Hyperlink"/>
            <w:rFonts w:eastAsiaTheme="majorEastAsia"/>
            <w:sz w:val="16"/>
            <w:szCs w:val="16"/>
          </w:rPr>
          <w:t xml:space="preserve"> 86 </w:t>
        </w:r>
      </w:hyperlink>
      <w:r w:rsidRPr="00143D13">
        <w:rPr>
          <w:sz w:val="16"/>
          <w:szCs w:val="16"/>
        </w:rPr>
        <w:t>A key question that came to be considered was which nations were to be counted as being part of this international legal community.</w:t>
      </w:r>
      <w:hyperlink r:id="rId18" w:anchor="fn87" w:history="1">
        <w:r w:rsidRPr="00143D13">
          <w:rPr>
            <w:rStyle w:val="Hyperlink"/>
            <w:sz w:val="16"/>
            <w:szCs w:val="16"/>
          </w:rPr>
          <w:t>Footnote</w:t>
        </w:r>
        <w:r w:rsidRPr="00143D13">
          <w:rPr>
            <w:rStyle w:val="Hyperlink"/>
            <w:rFonts w:eastAsiaTheme="majorEastAsia"/>
            <w:sz w:val="16"/>
            <w:szCs w:val="16"/>
          </w:rPr>
          <w:t xml:space="preserve"> 87 </w:t>
        </w:r>
      </w:hyperlink>
      <w:r w:rsidRPr="00143D13">
        <w:rPr>
          <w:sz w:val="16"/>
          <w:szCs w:val="16"/>
        </w:rPr>
        <w:t>The Treaty of Paris 1856 “shifted the criteria of inclusion from ‘European’ to ‘civilized,’”</w:t>
      </w:r>
      <w:hyperlink r:id="rId19" w:anchor="fn88" w:history="1">
        <w:r w:rsidRPr="00143D13">
          <w:rPr>
            <w:rStyle w:val="Hyperlink"/>
            <w:sz w:val="16"/>
            <w:szCs w:val="16"/>
          </w:rPr>
          <w:t>Footnote</w:t>
        </w:r>
        <w:r w:rsidRPr="00143D13">
          <w:rPr>
            <w:rStyle w:val="Hyperlink"/>
            <w:rFonts w:eastAsiaTheme="majorEastAsia"/>
            <w:sz w:val="16"/>
            <w:szCs w:val="16"/>
          </w:rPr>
          <w:t xml:space="preserve"> 88 </w:t>
        </w:r>
      </w:hyperlink>
      <w:r w:rsidRPr="00143D13">
        <w:rPr>
          <w:sz w:val="16"/>
          <w:szCs w:val="16"/>
        </w:rPr>
        <w:t>a distinction that also came to inform the doctrine of CIL.</w:t>
      </w:r>
      <w:hyperlink r:id="rId20" w:anchor="fn89" w:history="1">
        <w:r w:rsidRPr="00143D13">
          <w:rPr>
            <w:rStyle w:val="Hyperlink"/>
            <w:sz w:val="16"/>
            <w:szCs w:val="16"/>
          </w:rPr>
          <w:t>Footnote</w:t>
        </w:r>
        <w:r w:rsidRPr="00143D13">
          <w:rPr>
            <w:rStyle w:val="Hyperlink"/>
            <w:rFonts w:eastAsiaTheme="majorEastAsia"/>
            <w:sz w:val="16"/>
            <w:szCs w:val="16"/>
          </w:rPr>
          <w:t xml:space="preserve"> 89 </w:t>
        </w:r>
      </w:hyperlink>
      <w:r w:rsidRPr="00143D13">
        <w:rPr>
          <w:sz w:val="16"/>
          <w:szCs w:val="16"/>
        </w:rPr>
        <w:t>Thus, the positivist method, and a particular understanding of CIL, was given life in a particular cultural and political milieu that excluded reference to the practice of non-European states which were classified as “uncivilized.” To put it differently, the doctrine of CIL came to be embedded in a regional legal consciousness anchored in the distinction between civilized and uncivilized states. The argument that the “formal” and “material” sources of CIL cannot be separated can also be substantiated by reference to the intellectual resources that contributed to its conceptualization</w:t>
      </w:r>
      <w:r w:rsidRPr="00143D13">
        <w:rPr>
          <w:rStyle w:val="StyleUnderline"/>
        </w:rPr>
        <w:t>. The doctrine of CIL has its basis in Roman law and European legal philosophy, legal sociology, and legal psychology</w:t>
      </w:r>
      <w:r w:rsidRPr="00143D13">
        <w:rPr>
          <w:sz w:val="16"/>
          <w:szCs w:val="16"/>
        </w:rPr>
        <w:t xml:space="preserve"> of the late nineteenth and early twentieth century.</w:t>
      </w:r>
      <w:hyperlink r:id="rId21" w:anchor="fn90" w:history="1">
        <w:r w:rsidRPr="00143D13">
          <w:rPr>
            <w:rStyle w:val="Hyperlink"/>
            <w:sz w:val="16"/>
            <w:szCs w:val="16"/>
          </w:rPr>
          <w:t>Footnote</w:t>
        </w:r>
        <w:r w:rsidRPr="00143D13">
          <w:rPr>
            <w:rStyle w:val="Hyperlink"/>
            <w:rFonts w:eastAsiaTheme="majorEastAsia"/>
            <w:sz w:val="16"/>
            <w:szCs w:val="16"/>
          </w:rPr>
          <w:t xml:space="preserve"> 90 </w:t>
        </w:r>
      </w:hyperlink>
      <w:r w:rsidRPr="00143D13">
        <w:rPr>
          <w:sz w:val="16"/>
          <w:szCs w:val="16"/>
        </w:rPr>
        <w:t>Despite their influence, these sources have not been seriously explored, forget any “serious attempt…to identify the ambiguities and contradictions in these theories.”</w:t>
      </w:r>
      <w:hyperlink r:id="rId22" w:anchor="fn91" w:history="1">
        <w:r w:rsidRPr="00143D13">
          <w:rPr>
            <w:rStyle w:val="Hyperlink"/>
            <w:sz w:val="16"/>
            <w:szCs w:val="16"/>
          </w:rPr>
          <w:t>Footnote</w:t>
        </w:r>
        <w:r w:rsidRPr="00143D13">
          <w:rPr>
            <w:rStyle w:val="Hyperlink"/>
            <w:rFonts w:eastAsiaTheme="majorEastAsia"/>
            <w:sz w:val="16"/>
            <w:szCs w:val="16"/>
          </w:rPr>
          <w:t xml:space="preserve"> 91 </w:t>
        </w:r>
      </w:hyperlink>
      <w:r w:rsidRPr="00143D13">
        <w:rPr>
          <w:sz w:val="16"/>
          <w:szCs w:val="16"/>
        </w:rPr>
        <w:t xml:space="preserve">When these do come to be referred, it is only “in support of the </w:t>
      </w:r>
      <w:r w:rsidRPr="00143D13">
        <w:rPr>
          <w:rFonts w:eastAsiaTheme="majorEastAsia"/>
          <w:sz w:val="16"/>
          <w:szCs w:val="16"/>
        </w:rPr>
        <w:t>status quo</w:t>
      </w:r>
      <w:r w:rsidRPr="00143D13">
        <w:rPr>
          <w:sz w:val="16"/>
          <w:szCs w:val="16"/>
        </w:rPr>
        <w:t>.”</w:t>
      </w:r>
      <w:hyperlink r:id="rId23" w:anchor="fn92" w:history="1">
        <w:r w:rsidRPr="00143D13">
          <w:rPr>
            <w:rStyle w:val="Hyperlink"/>
            <w:sz w:val="16"/>
            <w:szCs w:val="16"/>
          </w:rPr>
          <w:t>Footnote</w:t>
        </w:r>
        <w:r w:rsidRPr="00143D13">
          <w:rPr>
            <w:rStyle w:val="Hyperlink"/>
            <w:rFonts w:eastAsiaTheme="majorEastAsia"/>
            <w:sz w:val="16"/>
            <w:szCs w:val="16"/>
          </w:rPr>
          <w:t xml:space="preserve"> 92 </w:t>
        </w:r>
      </w:hyperlink>
      <w:r w:rsidRPr="00143D13">
        <w:rPr>
          <w:sz w:val="16"/>
          <w:szCs w:val="16"/>
        </w:rPr>
        <w:t xml:space="preserve">Of particular significance in the conceptualization of the traditional doctrine of CIL was Francois Gény's work, which is said to have identified state practice and </w:t>
      </w:r>
      <w:r w:rsidRPr="00143D13">
        <w:rPr>
          <w:rFonts w:eastAsiaTheme="majorEastAsia"/>
          <w:sz w:val="16"/>
          <w:szCs w:val="16"/>
        </w:rPr>
        <w:t>opinio juris</w:t>
      </w:r>
      <w:r w:rsidRPr="00143D13">
        <w:rPr>
          <w:sz w:val="16"/>
          <w:szCs w:val="16"/>
        </w:rPr>
        <w:t xml:space="preserve"> as the constituent elements of a custom.</w:t>
      </w:r>
      <w:hyperlink r:id="rId24" w:anchor="fn93" w:history="1">
        <w:r w:rsidRPr="00143D13">
          <w:rPr>
            <w:rStyle w:val="Hyperlink"/>
            <w:sz w:val="16"/>
            <w:szCs w:val="16"/>
          </w:rPr>
          <w:t>Footnote</w:t>
        </w:r>
        <w:r w:rsidRPr="00143D13">
          <w:rPr>
            <w:rStyle w:val="Hyperlink"/>
            <w:rFonts w:eastAsiaTheme="majorEastAsia"/>
            <w:sz w:val="16"/>
            <w:szCs w:val="16"/>
          </w:rPr>
          <w:t xml:space="preserve"> 93 </w:t>
        </w:r>
      </w:hyperlink>
      <w:r w:rsidRPr="00143D13">
        <w:rPr>
          <w:sz w:val="16"/>
          <w:szCs w:val="16"/>
        </w:rPr>
        <w:t xml:space="preserve">His work was entrenched in natural law with positive law treated “as merely a body of rules adapted to the exigencies of time and place for the purpose of achieving in actual operation the balance of conflicting interests which is the essence </w:t>
      </w:r>
      <w:r w:rsidRPr="00143D13">
        <w:rPr>
          <w:sz w:val="16"/>
          <w:szCs w:val="16"/>
        </w:rPr>
        <w:lastRenderedPageBreak/>
        <w:t>of justice.”</w:t>
      </w:r>
      <w:hyperlink r:id="rId25" w:anchor="fn94" w:history="1">
        <w:r w:rsidRPr="00143D13">
          <w:rPr>
            <w:rStyle w:val="Hyperlink"/>
            <w:sz w:val="16"/>
            <w:szCs w:val="16"/>
          </w:rPr>
          <w:t>Footnote</w:t>
        </w:r>
        <w:r w:rsidRPr="00143D13">
          <w:rPr>
            <w:rStyle w:val="Hyperlink"/>
            <w:rFonts w:eastAsiaTheme="majorEastAsia"/>
            <w:sz w:val="16"/>
            <w:szCs w:val="16"/>
          </w:rPr>
          <w:t xml:space="preserve"> 94 </w:t>
        </w:r>
      </w:hyperlink>
      <w:r w:rsidRPr="00143D13">
        <w:rPr>
          <w:sz w:val="16"/>
          <w:szCs w:val="16"/>
        </w:rPr>
        <w:t>According to Gény, “[o]nly natural law … furnishes the indispensable basis for a truly scientific elaboration of positive law.”</w:t>
      </w:r>
      <w:hyperlink r:id="rId26" w:anchor="fn95" w:history="1">
        <w:r w:rsidRPr="00143D13">
          <w:rPr>
            <w:rStyle w:val="Hyperlink"/>
            <w:sz w:val="16"/>
            <w:szCs w:val="16"/>
          </w:rPr>
          <w:t>Footnote</w:t>
        </w:r>
        <w:r w:rsidRPr="00143D13">
          <w:rPr>
            <w:rStyle w:val="Hyperlink"/>
            <w:rFonts w:eastAsiaTheme="majorEastAsia"/>
            <w:sz w:val="16"/>
            <w:szCs w:val="16"/>
          </w:rPr>
          <w:t xml:space="preserve"> 95 </w:t>
        </w:r>
      </w:hyperlink>
      <w:r w:rsidRPr="00143D13">
        <w:rPr>
          <w:sz w:val="16"/>
          <w:szCs w:val="16"/>
        </w:rPr>
        <w:t>It was of course European culture that informed the meaning of natural law and was the backdrop in which CIL was approached.</w:t>
      </w:r>
      <w:hyperlink r:id="rId27" w:anchor="fn96" w:history="1">
        <w:r w:rsidRPr="00143D13">
          <w:rPr>
            <w:rStyle w:val="Hyperlink"/>
            <w:sz w:val="16"/>
            <w:szCs w:val="16"/>
          </w:rPr>
          <w:t>Footnote</w:t>
        </w:r>
        <w:r w:rsidRPr="00143D13">
          <w:rPr>
            <w:rStyle w:val="Hyperlink"/>
            <w:rFonts w:eastAsiaTheme="majorEastAsia"/>
            <w:sz w:val="16"/>
            <w:szCs w:val="16"/>
          </w:rPr>
          <w:t xml:space="preserve"> 96 </w:t>
        </w:r>
      </w:hyperlink>
      <w:r w:rsidRPr="00143D13">
        <w:rPr>
          <w:sz w:val="16"/>
          <w:szCs w:val="16"/>
        </w:rPr>
        <w:t>The French legal sociologist Leon Duguit reinforced this understanding as he derived the obligatory nature of international law “from an international legal consciousness that certain rules are indispensable for the continued existence of the international community.”</w:t>
      </w:r>
      <w:hyperlink r:id="rId28" w:anchor="fn97" w:history="1">
        <w:r w:rsidRPr="00143D13">
          <w:rPr>
            <w:rStyle w:val="Hyperlink"/>
            <w:sz w:val="16"/>
            <w:szCs w:val="16"/>
          </w:rPr>
          <w:t>Footnote</w:t>
        </w:r>
        <w:r w:rsidRPr="00143D13">
          <w:rPr>
            <w:rStyle w:val="Hyperlink"/>
            <w:rFonts w:eastAsiaTheme="majorEastAsia"/>
            <w:sz w:val="16"/>
            <w:szCs w:val="16"/>
          </w:rPr>
          <w:t xml:space="preserve"> 97 </w:t>
        </w:r>
      </w:hyperlink>
      <w:r w:rsidRPr="00143D13">
        <w:rPr>
          <w:sz w:val="16"/>
          <w:szCs w:val="16"/>
        </w:rPr>
        <w:t>It is true that whereas Duguit relied “on the fact of ‘social solidarity’ in order to build a system of natural law upon that single concept,” Gény vigorously asserted that “a single principle, general and abstract, cannot contain the rich variety of rules necessary adequately to direct social life …”</w:t>
      </w:r>
      <w:hyperlink r:id="rId29" w:anchor="fn98" w:history="1">
        <w:r w:rsidRPr="00143D13">
          <w:rPr>
            <w:rStyle w:val="Hyperlink"/>
            <w:sz w:val="16"/>
            <w:szCs w:val="16"/>
          </w:rPr>
          <w:t>Footnote</w:t>
        </w:r>
        <w:r w:rsidRPr="00143D13">
          <w:rPr>
            <w:rStyle w:val="Hyperlink"/>
            <w:rFonts w:eastAsiaTheme="majorEastAsia"/>
            <w:sz w:val="16"/>
            <w:szCs w:val="16"/>
          </w:rPr>
          <w:t xml:space="preserve"> 98 </w:t>
        </w:r>
      </w:hyperlink>
      <w:r w:rsidRPr="00143D13">
        <w:rPr>
          <w:sz w:val="16"/>
          <w:szCs w:val="16"/>
        </w:rPr>
        <w:t xml:space="preserve">But both invoked the importance of natural law that carried background assumptions that helped determine relevant state practice and </w:t>
      </w:r>
      <w:r w:rsidRPr="00143D13">
        <w:rPr>
          <w:rFonts w:eastAsiaTheme="majorEastAsia"/>
          <w:sz w:val="16"/>
          <w:szCs w:val="16"/>
        </w:rPr>
        <w:t>opinio juris</w:t>
      </w:r>
      <w:r w:rsidRPr="00143D13">
        <w:rPr>
          <w:sz w:val="16"/>
          <w:szCs w:val="16"/>
        </w:rPr>
        <w:t xml:space="preserve">, or more specifically what is meant by state practice and </w:t>
      </w:r>
      <w:r w:rsidRPr="00143D13">
        <w:rPr>
          <w:rFonts w:eastAsiaTheme="majorEastAsia"/>
          <w:sz w:val="16"/>
          <w:szCs w:val="16"/>
        </w:rPr>
        <w:t>opinio juris</w:t>
      </w:r>
      <w:r w:rsidRPr="00143D13">
        <w:rPr>
          <w:sz w:val="16"/>
          <w:szCs w:val="16"/>
        </w:rPr>
        <w:t>. These were assigned meaning in a Eurocentric world.</w:t>
      </w:r>
    </w:p>
    <w:p w14:paraId="23642F83" w14:textId="77777777" w:rsidR="008A2241" w:rsidRDefault="008A2241" w:rsidP="008A2241">
      <w:pPr>
        <w:pStyle w:val="Heading4"/>
        <w:rPr>
          <w:shd w:val="clear" w:color="auto" w:fill="FFFFFF"/>
        </w:rPr>
      </w:pPr>
      <w:r>
        <w:rPr>
          <w:shd w:val="clear" w:color="auto" w:fill="FFFFFF"/>
        </w:rPr>
        <w:t>The 1AC notion that the absence of law is bad and the foreign countries need regulations of space is a site of legal orientalism that is fueled by Sinocentric ideology.</w:t>
      </w:r>
    </w:p>
    <w:p w14:paraId="557F690A" w14:textId="77777777" w:rsidR="008A2241" w:rsidRPr="00DF10F6" w:rsidRDefault="008A2241" w:rsidP="008A2241">
      <w:pPr>
        <w:rPr>
          <w:rFonts w:asciiTheme="majorHAnsi" w:hAnsiTheme="majorHAnsi" w:cstheme="majorHAnsi"/>
        </w:rPr>
      </w:pPr>
      <w:r w:rsidRPr="00DF10F6">
        <w:rPr>
          <w:rFonts w:asciiTheme="majorHAnsi" w:hAnsiTheme="majorHAnsi" w:cstheme="majorHAnsi"/>
          <w:b/>
          <w:bCs/>
          <w:shd w:val="clear" w:color="auto" w:fill="FFFFFF"/>
        </w:rPr>
        <w:t xml:space="preserve">Ruskola </w:t>
      </w:r>
      <w:r>
        <w:rPr>
          <w:rFonts w:asciiTheme="majorHAnsi" w:hAnsiTheme="majorHAnsi" w:cstheme="majorHAnsi"/>
          <w:b/>
          <w:bCs/>
          <w:shd w:val="clear" w:color="auto" w:fill="FFFFFF"/>
        </w:rPr>
        <w:t>1</w:t>
      </w:r>
      <w:r w:rsidRPr="00DF10F6">
        <w:rPr>
          <w:rFonts w:asciiTheme="majorHAnsi" w:hAnsiTheme="majorHAnsi" w:cstheme="majorHAnsi"/>
          <w:shd w:val="clear" w:color="auto" w:fill="FFFFFF"/>
        </w:rPr>
        <w:t xml:space="preserve"> Teemu Ruskola, </w:t>
      </w:r>
      <w:r w:rsidRPr="00DF10F6">
        <w:rPr>
          <w:rFonts w:asciiTheme="majorHAnsi" w:hAnsiTheme="majorHAnsi" w:cstheme="majorHAnsi"/>
          <w:i/>
          <w:iCs/>
          <w:bdr w:val="none" w:sz="0" w:space="0" w:color="auto" w:frame="1"/>
          <w:shd w:val="clear" w:color="auto" w:fill="FFFFFF"/>
        </w:rPr>
        <w:t>Legal Orientalism</w:t>
      </w:r>
      <w:r w:rsidRPr="00DF10F6">
        <w:rPr>
          <w:rFonts w:asciiTheme="majorHAnsi" w:hAnsiTheme="majorHAnsi" w:cstheme="majorHAnsi"/>
          <w:shd w:val="clear" w:color="auto" w:fill="FFFFFF"/>
        </w:rPr>
        <w:t>, 101 M</w:t>
      </w:r>
      <w:r w:rsidRPr="00DF10F6">
        <w:rPr>
          <w:rFonts w:asciiTheme="majorHAnsi" w:hAnsiTheme="majorHAnsi" w:cstheme="majorHAnsi"/>
          <w:smallCaps/>
          <w:bdr w:val="none" w:sz="0" w:space="0" w:color="auto" w:frame="1"/>
          <w:shd w:val="clear" w:color="auto" w:fill="FFFFFF"/>
        </w:rPr>
        <w:t>ich.</w:t>
      </w:r>
      <w:r w:rsidRPr="00DF10F6">
        <w:rPr>
          <w:rFonts w:asciiTheme="majorHAnsi" w:hAnsiTheme="majorHAnsi" w:cstheme="majorHAnsi"/>
          <w:shd w:val="clear" w:color="auto" w:fill="FFFFFF"/>
        </w:rPr>
        <w:t> L. R</w:t>
      </w:r>
      <w:r w:rsidRPr="00DF10F6">
        <w:rPr>
          <w:rFonts w:asciiTheme="majorHAnsi" w:hAnsiTheme="majorHAnsi" w:cstheme="majorHAnsi"/>
          <w:smallCaps/>
          <w:bdr w:val="none" w:sz="0" w:space="0" w:color="auto" w:frame="1"/>
          <w:shd w:val="clear" w:color="auto" w:fill="FFFFFF"/>
        </w:rPr>
        <w:t>ev.</w:t>
      </w:r>
      <w:r w:rsidRPr="00DF10F6">
        <w:rPr>
          <w:rFonts w:asciiTheme="majorHAnsi" w:hAnsiTheme="majorHAnsi" w:cstheme="majorHAnsi"/>
          <w:shd w:val="clear" w:color="auto" w:fill="FFFFFF"/>
        </w:rPr>
        <w:t> 179 (2002).</w:t>
      </w:r>
      <w:r w:rsidRPr="00DF10F6">
        <w:rPr>
          <w:rFonts w:asciiTheme="majorHAnsi" w:hAnsiTheme="majorHAnsi" w:cstheme="majorHAnsi"/>
        </w:rPr>
        <w:br/>
      </w:r>
      <w:r w:rsidRPr="00DF10F6">
        <w:rPr>
          <w:rFonts w:asciiTheme="majorHAnsi" w:hAnsiTheme="majorHAnsi" w:cstheme="majorHAnsi"/>
          <w:shd w:val="clear" w:color="auto" w:fill="FFFFFF"/>
        </w:rPr>
        <w:t xml:space="preserve">Available at: </w:t>
      </w:r>
      <w:hyperlink r:id="rId30" w:history="1">
        <w:r w:rsidRPr="00DF10F6">
          <w:rPr>
            <w:rStyle w:val="Hyperlink"/>
            <w:rFonts w:asciiTheme="majorHAnsi" w:hAnsiTheme="majorHAnsi" w:cstheme="majorHAnsi"/>
            <w:shd w:val="clear" w:color="auto" w:fill="FFFFFF"/>
          </w:rPr>
          <w:t>https://repository.law.umich.edu/mlr/vol101/iss1/4</w:t>
        </w:r>
      </w:hyperlink>
      <w:r w:rsidRPr="00DF10F6">
        <w:rPr>
          <w:rFonts w:asciiTheme="majorHAnsi" w:hAnsiTheme="majorHAnsi" w:cstheme="majorHAnsi"/>
          <w:shd w:val="clear" w:color="auto" w:fill="FFFFFF"/>
        </w:rPr>
        <w:t xml:space="preserve"> //Nato</w:t>
      </w:r>
    </w:p>
    <w:p w14:paraId="5ED16D8A" w14:textId="47DA9E91" w:rsidR="008A2241" w:rsidRDefault="008A2241" w:rsidP="008A2241">
      <w:pPr>
        <w:rPr>
          <w:rFonts w:asciiTheme="majorHAnsi" w:hAnsiTheme="majorHAnsi" w:cstheme="majorHAnsi"/>
          <w:sz w:val="16"/>
        </w:rPr>
      </w:pPr>
      <w:r w:rsidRPr="00DF10F6">
        <w:rPr>
          <w:rFonts w:asciiTheme="majorHAnsi" w:hAnsiTheme="majorHAnsi" w:cstheme="majorHAnsi"/>
          <w:sz w:val="16"/>
        </w:rPr>
        <w:t xml:space="preserve">Below, I analyze the processes by which </w:t>
      </w:r>
      <w:r w:rsidRPr="00DF10F6">
        <w:rPr>
          <w:rStyle w:val="StyleUnderline"/>
          <w:rFonts w:asciiTheme="majorHAnsi" w:hAnsiTheme="majorHAnsi" w:cstheme="majorHAnsi"/>
        </w:rPr>
        <w:t xml:space="preserve">claims of the putative </w:t>
      </w:r>
      <w:r w:rsidRPr="00DF10F6">
        <w:rPr>
          <w:rStyle w:val="StyleUnderline"/>
          <w:rFonts w:asciiTheme="majorHAnsi" w:hAnsiTheme="majorHAnsi" w:cstheme="majorHAnsi"/>
          <w:highlight w:val="green"/>
        </w:rPr>
        <w:t xml:space="preserve">absence of law </w:t>
      </w:r>
      <w:r w:rsidRPr="00C058BD">
        <w:rPr>
          <w:rStyle w:val="StyleUnderline"/>
          <w:rFonts w:asciiTheme="majorHAnsi" w:hAnsiTheme="majorHAnsi" w:cstheme="majorHAnsi"/>
        </w:rPr>
        <w:t>in China</w:t>
      </w:r>
      <w:r w:rsidRPr="00DF10F6">
        <w:rPr>
          <w:rStyle w:val="StyleUnderline"/>
          <w:rFonts w:asciiTheme="majorHAnsi" w:hAnsiTheme="majorHAnsi" w:cstheme="majorHAnsi"/>
        </w:rPr>
        <w:t xml:space="preserve"> have </w:t>
      </w:r>
      <w:r w:rsidRPr="00C058BD">
        <w:rPr>
          <w:rStyle w:val="StyleUnderline"/>
          <w:rFonts w:asciiTheme="majorHAnsi" w:hAnsiTheme="majorHAnsi" w:cstheme="majorHAnsi"/>
          <w:highlight w:val="green"/>
        </w:rPr>
        <w:t xml:space="preserve">become part </w:t>
      </w:r>
      <w:r w:rsidRPr="00DF10F6">
        <w:rPr>
          <w:rStyle w:val="StyleUnderline"/>
          <w:rFonts w:asciiTheme="majorHAnsi" w:hAnsiTheme="majorHAnsi" w:cstheme="majorHAnsi"/>
          <w:highlight w:val="green"/>
        </w:rPr>
        <w:t>of</w:t>
      </w:r>
      <w:r w:rsidRPr="00DF10F6">
        <w:rPr>
          <w:rStyle w:val="StyleUnderline"/>
          <w:rFonts w:asciiTheme="majorHAnsi" w:hAnsiTheme="majorHAnsi" w:cstheme="majorHAnsi"/>
        </w:rPr>
        <w:t xml:space="preserve"> the observers' cultural </w:t>
      </w:r>
      <w:r w:rsidRPr="00DF10F6">
        <w:rPr>
          <w:rStyle w:val="StyleUnderline"/>
          <w:rFonts w:asciiTheme="majorHAnsi" w:hAnsiTheme="majorHAnsi" w:cstheme="majorHAnsi"/>
          <w:highlight w:val="green"/>
        </w:rPr>
        <w:t>identity</w:t>
      </w:r>
      <w:r w:rsidRPr="00DF10F6">
        <w:rPr>
          <w:rStyle w:val="StyleUnderline"/>
          <w:rFonts w:asciiTheme="majorHAnsi" w:hAnsiTheme="majorHAnsi" w:cstheme="majorHAnsi"/>
        </w:rPr>
        <w:t xml:space="preserve"> and</w:t>
      </w:r>
      <w:r w:rsidRPr="00DF10F6">
        <w:rPr>
          <w:rFonts w:asciiTheme="majorHAnsi" w:hAnsiTheme="majorHAnsi" w:cstheme="majorHAnsi"/>
          <w:sz w:val="16"/>
        </w:rPr>
        <w:t xml:space="preserve">, in tum, </w:t>
      </w:r>
      <w:r w:rsidRPr="00DF10F6">
        <w:rPr>
          <w:rStyle w:val="StyleUnderline"/>
          <w:rFonts w:asciiTheme="majorHAnsi" w:hAnsiTheme="majorHAnsi" w:cstheme="majorHAnsi"/>
        </w:rPr>
        <w:t>contribute to the contents of the observations themselve</w:t>
      </w:r>
      <w:r w:rsidRPr="00DF10F6">
        <w:rPr>
          <w:rFonts w:asciiTheme="majorHAnsi" w:hAnsiTheme="majorHAnsi" w:cstheme="majorHAnsi"/>
          <w:sz w:val="16"/>
        </w:rPr>
        <w:t xml:space="preserve">s. In the final analysis, the object of my inquiry is certain </w:t>
      </w:r>
      <w:r w:rsidRPr="00DF10F6">
        <w:rPr>
          <w:rStyle w:val="StyleUnderline"/>
          <w:rFonts w:asciiTheme="majorHAnsi" w:hAnsiTheme="majorHAnsi" w:cstheme="majorHAnsi"/>
          <w:highlight w:val="green"/>
        </w:rPr>
        <w:t>Western representations of</w:t>
      </w:r>
      <w:r w:rsidRPr="00DF10F6">
        <w:rPr>
          <w:rFonts w:asciiTheme="majorHAnsi" w:hAnsiTheme="majorHAnsi" w:cstheme="majorHAnsi"/>
          <w:sz w:val="16"/>
          <w:highlight w:val="green"/>
        </w:rPr>
        <w:t xml:space="preserve"> </w:t>
      </w:r>
      <w:r w:rsidRPr="00C058BD">
        <w:rPr>
          <w:rStyle w:val="StyleUnderline"/>
          <w:rFonts w:asciiTheme="majorHAnsi" w:hAnsiTheme="majorHAnsi" w:cstheme="majorHAnsi"/>
        </w:rPr>
        <w:t>Chinese</w:t>
      </w:r>
      <w:r w:rsidRPr="00DF10F6">
        <w:rPr>
          <w:rStyle w:val="StyleUnderline"/>
          <w:rFonts w:asciiTheme="majorHAnsi" w:hAnsiTheme="majorHAnsi" w:cstheme="majorHAnsi"/>
        </w:rPr>
        <w:t xml:space="preserve"> </w:t>
      </w:r>
      <w:r w:rsidRPr="00C058BD">
        <w:rPr>
          <w:rStyle w:val="StyleUnderline"/>
          <w:rFonts w:asciiTheme="majorHAnsi" w:hAnsiTheme="majorHAnsi" w:cstheme="majorHAnsi"/>
          <w:highlight w:val="green"/>
        </w:rPr>
        <w:t>law</w:t>
      </w:r>
      <w:r w:rsidRPr="00DF10F6">
        <w:rPr>
          <w:rStyle w:val="StyleUnderline"/>
          <w:rFonts w:asciiTheme="majorHAnsi" w:hAnsiTheme="majorHAnsi" w:cstheme="majorHAnsi"/>
        </w:rPr>
        <w:t xml:space="preserve"> and</w:t>
      </w:r>
      <w:r w:rsidRPr="00DF10F6">
        <w:rPr>
          <w:rFonts w:asciiTheme="majorHAnsi" w:hAnsiTheme="majorHAnsi" w:cstheme="majorHAnsi"/>
          <w:sz w:val="16"/>
        </w:rPr>
        <w:t xml:space="preserve"> the </w:t>
      </w:r>
      <w:r w:rsidRPr="00DF10F6">
        <w:rPr>
          <w:rStyle w:val="StyleUnderline"/>
          <w:rFonts w:asciiTheme="majorHAnsi" w:hAnsiTheme="majorHAnsi" w:cstheme="majorHAnsi"/>
        </w:rPr>
        <w:t xml:space="preserve">notions of </w:t>
      </w:r>
      <w:r w:rsidRPr="00DF10F6">
        <w:rPr>
          <w:rStyle w:val="StyleUnderline"/>
          <w:rFonts w:asciiTheme="majorHAnsi" w:hAnsiTheme="majorHAnsi" w:cstheme="majorHAnsi"/>
          <w:highlight w:val="green"/>
        </w:rPr>
        <w:t>legality</w:t>
      </w:r>
      <w:r w:rsidRPr="00DF10F6">
        <w:rPr>
          <w:rFonts w:asciiTheme="majorHAnsi" w:hAnsiTheme="majorHAnsi" w:cstheme="majorHAnsi"/>
          <w:sz w:val="16"/>
        </w:rPr>
        <w:t xml:space="preserve"> and legal subjectivity that they imply. The project is ultimately hermeneutical in Gadamer's sense: its goal is "not to develop a procedure" for understanding Chinese law "but to clarify the conditions in which [such] understanding takes place."28 </w:t>
      </w:r>
      <w:r w:rsidRPr="00DF10F6">
        <w:rPr>
          <w:rStyle w:val="StyleUnderline"/>
          <w:rFonts w:asciiTheme="majorHAnsi" w:hAnsiTheme="majorHAnsi" w:cstheme="majorHAnsi"/>
        </w:rPr>
        <w:t xml:space="preserve">Whether we like it or not, </w:t>
      </w:r>
      <w:r w:rsidRPr="00DF10F6">
        <w:rPr>
          <w:rStyle w:val="StyleUnderline"/>
          <w:rFonts w:asciiTheme="majorHAnsi" w:hAnsiTheme="majorHAnsi" w:cstheme="majorHAnsi"/>
          <w:highlight w:val="green"/>
        </w:rPr>
        <w:t>legal Orientalism</w:t>
      </w:r>
      <w:r w:rsidRPr="00DF10F6">
        <w:rPr>
          <w:rStyle w:val="StyleUnderline"/>
          <w:rFonts w:asciiTheme="majorHAnsi" w:hAnsiTheme="majorHAnsi" w:cstheme="majorHAnsi"/>
        </w:rPr>
        <w:t xml:space="preserve"> is one </w:t>
      </w:r>
      <w:r w:rsidRPr="00DF10F6">
        <w:rPr>
          <w:rStyle w:val="StyleUnderline"/>
          <w:rFonts w:asciiTheme="majorHAnsi" w:hAnsiTheme="majorHAnsi" w:cstheme="majorHAnsi"/>
          <w:highlight w:val="green"/>
        </w:rPr>
        <w:t>condition of Western knowledge</w:t>
      </w:r>
      <w:r w:rsidRPr="00DF10F6">
        <w:rPr>
          <w:rStyle w:val="StyleUnderline"/>
          <w:rFonts w:asciiTheme="majorHAnsi" w:hAnsiTheme="majorHAnsi" w:cstheme="majorHAnsi"/>
        </w:rPr>
        <w:t xml:space="preserve"> of Chinese law.</w:t>
      </w:r>
      <w:r w:rsidRPr="00DF10F6">
        <w:rPr>
          <w:rFonts w:asciiTheme="majorHAnsi" w:hAnsiTheme="majorHAnsi" w:cstheme="majorHAnsi"/>
          <w:sz w:val="16"/>
        </w:rPr>
        <w:t xml:space="preserve"> However, while we in the </w:t>
      </w:r>
      <w:r w:rsidRPr="00DF10F6">
        <w:rPr>
          <w:rStyle w:val="StyleUnderline"/>
          <w:rFonts w:asciiTheme="majorHAnsi" w:hAnsiTheme="majorHAnsi" w:cstheme="majorHAnsi"/>
        </w:rPr>
        <w:t>West</w:t>
      </w:r>
      <w:r w:rsidRPr="00DF10F6">
        <w:rPr>
          <w:rFonts w:asciiTheme="majorHAnsi" w:hAnsiTheme="majorHAnsi" w:cstheme="majorHAnsi"/>
          <w:sz w:val="16"/>
        </w:rPr>
        <w:t xml:space="preserve"> are perhaps bemused to </w:t>
      </w:r>
      <w:r w:rsidRPr="00DF10F6">
        <w:rPr>
          <w:rStyle w:val="StyleUnderline"/>
          <w:rFonts w:asciiTheme="majorHAnsi" w:hAnsiTheme="majorHAnsi" w:cstheme="majorHAnsi"/>
          <w:highlight w:val="green"/>
        </w:rPr>
        <w:t>learn</w:t>
      </w:r>
      <w:r w:rsidRPr="00DF10F6">
        <w:rPr>
          <w:rStyle w:val="StyleUnderline"/>
          <w:rFonts w:asciiTheme="majorHAnsi" w:hAnsiTheme="majorHAnsi" w:cstheme="majorHAnsi"/>
        </w:rPr>
        <w:t xml:space="preserve"> of the traditional </w:t>
      </w:r>
      <w:r w:rsidRPr="00DF10F6">
        <w:rPr>
          <w:rStyle w:val="StyleUnderline"/>
          <w:rFonts w:asciiTheme="majorHAnsi" w:hAnsiTheme="majorHAnsi" w:cstheme="majorHAnsi"/>
          <w:highlight w:val="green"/>
        </w:rPr>
        <w:t>Sinocentric worldview</w:t>
      </w:r>
      <w:r w:rsidRPr="00DF10F6">
        <w:rPr>
          <w:rFonts w:asciiTheme="majorHAnsi" w:hAnsiTheme="majorHAnsi" w:cstheme="majorHAnsi"/>
          <w:sz w:val="16"/>
        </w:rPr>
        <w:t xml:space="preserve"> - the Chinese word for "China" means "Middle Kingdom" - </w:t>
      </w:r>
      <w:r w:rsidRPr="00DF10F6">
        <w:rPr>
          <w:rStyle w:val="StyleUnderline"/>
          <w:rFonts w:asciiTheme="majorHAnsi" w:hAnsiTheme="majorHAnsi" w:cstheme="majorHAnsi"/>
          <w:highlight w:val="green"/>
        </w:rPr>
        <w:t>we</w:t>
      </w:r>
      <w:r w:rsidRPr="00DF10F6">
        <w:rPr>
          <w:rFonts w:asciiTheme="majorHAnsi" w:hAnsiTheme="majorHAnsi" w:cstheme="majorHAnsi"/>
          <w:sz w:val="16"/>
        </w:rPr>
        <w:t xml:space="preserve"> nevertheless </w:t>
      </w:r>
      <w:r w:rsidRPr="00DF10F6">
        <w:rPr>
          <w:rStyle w:val="StyleUnderline"/>
          <w:rFonts w:asciiTheme="majorHAnsi" w:hAnsiTheme="majorHAnsi" w:cstheme="majorHAnsi"/>
          <w:highlight w:val="green"/>
        </w:rPr>
        <w:t>accept</w:t>
      </w:r>
      <w:r w:rsidRPr="00DF10F6">
        <w:rPr>
          <w:rFonts w:asciiTheme="majorHAnsi" w:hAnsiTheme="majorHAnsi" w:cstheme="majorHAnsi"/>
          <w:sz w:val="16"/>
        </w:rPr>
        <w:t xml:space="preserve"> with utmost unselfconsciousness </w:t>
      </w:r>
      <w:r w:rsidRPr="00DF10F6">
        <w:rPr>
          <w:rStyle w:val="StyleUnderline"/>
          <w:rFonts w:asciiTheme="majorHAnsi" w:hAnsiTheme="majorHAnsi" w:cstheme="majorHAnsi"/>
        </w:rPr>
        <w:t xml:space="preserve">the </w:t>
      </w:r>
      <w:r w:rsidRPr="00DF10F6">
        <w:rPr>
          <w:rStyle w:val="StyleUnderline"/>
          <w:rFonts w:asciiTheme="majorHAnsi" w:hAnsiTheme="majorHAnsi" w:cstheme="majorHAnsi"/>
          <w:highlight w:val="green"/>
        </w:rPr>
        <w:t>notion</w:t>
      </w:r>
      <w:r w:rsidRPr="00DF10F6">
        <w:rPr>
          <w:rStyle w:val="StyleUnderline"/>
          <w:rFonts w:asciiTheme="majorHAnsi" w:hAnsiTheme="majorHAnsi" w:cstheme="majorHAnsi"/>
        </w:rPr>
        <w:t xml:space="preserve"> that </w:t>
      </w:r>
      <w:r w:rsidRPr="00DF10F6">
        <w:rPr>
          <w:rStyle w:val="StyleUnderline"/>
          <w:rFonts w:asciiTheme="majorHAnsi" w:hAnsiTheme="majorHAnsi" w:cstheme="majorHAnsi"/>
          <w:highlight w:val="green"/>
        </w:rPr>
        <w:t>we are the First World</w:t>
      </w:r>
      <w:r w:rsidRPr="00DF10F6">
        <w:rPr>
          <w:rStyle w:val="StyleUnderline"/>
          <w:rFonts w:asciiTheme="majorHAnsi" w:hAnsiTheme="majorHAnsi" w:cstheme="majorHAnsi"/>
        </w:rPr>
        <w:t xml:space="preserve">, twiceremoved from the soi-disant Third World. </w:t>
      </w:r>
      <w:r w:rsidRPr="00DF10F6">
        <w:rPr>
          <w:rFonts w:asciiTheme="majorHAnsi" w:hAnsiTheme="majorHAnsi" w:cstheme="majorHAnsi"/>
          <w:sz w:val="16"/>
        </w:rPr>
        <w:t xml:space="preserve">To be sure, the distance is shrinking, as the Second World has essentially disappeared. Yet our occidental solipsism aside, cultures do not come labeled with ordinal numbers. Given the traditional Eurocentrism of legal scholarship,29 perhaps the category of "law" obscures more than it illuminates; might we not be better off with the study of, say, "comparative social control," rather than comparative law?30 </w:t>
      </w:r>
    </w:p>
    <w:p w14:paraId="29020B60" w14:textId="77777777" w:rsidR="008A2241" w:rsidRPr="008A2241" w:rsidRDefault="008A2241" w:rsidP="008A2241">
      <w:pPr>
        <w:rPr>
          <w:rFonts w:asciiTheme="majorHAnsi" w:hAnsiTheme="majorHAnsi" w:cstheme="majorHAnsi"/>
          <w:sz w:val="16"/>
        </w:rPr>
      </w:pPr>
    </w:p>
    <w:p w14:paraId="649C3A29" w14:textId="3363DCBE" w:rsidR="008A2241" w:rsidRDefault="008A2241" w:rsidP="008A2241">
      <w:pPr>
        <w:pStyle w:val="Heading4"/>
      </w:pPr>
      <w:r>
        <w:t xml:space="preserve">We got lines – </w:t>
      </w:r>
    </w:p>
    <w:p w14:paraId="5B4EB7FD" w14:textId="55AED00E" w:rsidR="008A2241" w:rsidRDefault="008A2241" w:rsidP="008A2241">
      <w:pPr>
        <w:rPr>
          <w:rStyle w:val="Emphasis"/>
          <w:u w:val="none"/>
        </w:rPr>
      </w:pPr>
      <w:r>
        <w:t>“</w:t>
      </w:r>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Pr>
          <w:rStyle w:val="Emphasis"/>
        </w:rPr>
        <w:t>”</w:t>
      </w:r>
      <w:r>
        <w:rPr>
          <w:rStyle w:val="Emphasis"/>
          <w:b w:val="0"/>
          <w:bCs/>
          <w:u w:val="none"/>
        </w:rPr>
        <w:t xml:space="preserve"> – </w:t>
      </w:r>
      <w:r>
        <w:rPr>
          <w:rStyle w:val="Emphasis"/>
          <w:u w:val="none"/>
        </w:rPr>
        <w:t>1AC Solvency Advocate Pershing 19</w:t>
      </w:r>
    </w:p>
    <w:p w14:paraId="2E708D57" w14:textId="432C2BCC" w:rsidR="008A2241" w:rsidRDefault="008A2241" w:rsidP="008A2241">
      <w:pPr>
        <w:rPr>
          <w:rStyle w:val="Emphasis"/>
          <w:u w:val="none"/>
        </w:rPr>
      </w:pPr>
      <w:r>
        <w:rPr>
          <w:rStyle w:val="Emphasis"/>
          <w:u w:val="none"/>
        </w:rPr>
        <w:lastRenderedPageBreak/>
        <w:t>“</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Pr>
          <w:rStyle w:val="Emphasis"/>
        </w:rPr>
        <w:t xml:space="preserve">” </w:t>
      </w:r>
      <w:r>
        <w:rPr>
          <w:rStyle w:val="Emphasis"/>
          <w:b w:val="0"/>
          <w:bCs/>
          <w:u w:val="none"/>
        </w:rPr>
        <w:t xml:space="preserve">– </w:t>
      </w:r>
      <w:r>
        <w:rPr>
          <w:rStyle w:val="Emphasis"/>
          <w:u w:val="none"/>
        </w:rPr>
        <w:t>1AC Solvency Advocate Pershing 19</w:t>
      </w:r>
    </w:p>
    <w:p w14:paraId="1098F72C" w14:textId="0659CEA8" w:rsidR="008A2241" w:rsidRPr="008A2241" w:rsidRDefault="008A2241" w:rsidP="008A2241">
      <w:pPr>
        <w:rPr>
          <w:rStyle w:val="Emphasis"/>
          <w:u w:val="none"/>
        </w:rPr>
      </w:pPr>
      <w:r>
        <w:rPr>
          <w:b/>
          <w:iCs/>
        </w:rPr>
        <w:t>“</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Pr>
          <w:rStyle w:val="Emphasis"/>
        </w:rPr>
        <w:t xml:space="preserve">” </w:t>
      </w:r>
      <w:r>
        <w:rPr>
          <w:rStyle w:val="Emphasis"/>
          <w:b w:val="0"/>
          <w:bCs/>
          <w:u w:val="none"/>
        </w:rPr>
        <w:t xml:space="preserve">– </w:t>
      </w:r>
      <w:r>
        <w:rPr>
          <w:rStyle w:val="Emphasis"/>
          <w:u w:val="none"/>
        </w:rPr>
        <w:t>1AC Solvency Advocate Pershing 19</w:t>
      </w:r>
    </w:p>
    <w:p w14:paraId="3AC6F462" w14:textId="77777777" w:rsidR="008A2241" w:rsidRPr="008A2241" w:rsidRDefault="008A2241" w:rsidP="008A2241">
      <w:pPr>
        <w:rPr>
          <w:b/>
          <w:iCs/>
        </w:rPr>
      </w:pPr>
    </w:p>
    <w:p w14:paraId="7FA548EF" w14:textId="77777777" w:rsidR="008A2241" w:rsidRPr="00143D13" w:rsidRDefault="008A2241" w:rsidP="008A2241">
      <w:pPr>
        <w:pStyle w:val="Heading4"/>
        <w:rPr>
          <w:rFonts w:asciiTheme="majorHAnsi" w:hAnsiTheme="majorHAnsi" w:cstheme="majorHAnsi"/>
        </w:rPr>
      </w:pPr>
      <w:r w:rsidRPr="00143D13">
        <w:rPr>
          <w:rFonts w:asciiTheme="majorHAnsi" w:hAnsiTheme="majorHAnsi" w:cstheme="majorHAnsi"/>
        </w:rPr>
        <w:t>The Impact is Oriental Despotism – Asian subjectivity becomes no longer individualized by concentrated by the state and becomes an anti-model through negative semantics. That leads to legal erasure and anti asian violence.</w:t>
      </w:r>
    </w:p>
    <w:p w14:paraId="02EBE972" w14:textId="77777777" w:rsidR="008A2241" w:rsidRPr="00143D13" w:rsidRDefault="008A2241" w:rsidP="008A2241">
      <w:pPr>
        <w:rPr>
          <w:rFonts w:asciiTheme="majorHAnsi" w:hAnsiTheme="majorHAnsi" w:cstheme="majorHAnsi"/>
          <w:szCs w:val="28"/>
        </w:rPr>
      </w:pPr>
      <w:r w:rsidRPr="00143D13">
        <w:rPr>
          <w:rFonts w:asciiTheme="majorHAnsi" w:hAnsiTheme="majorHAnsi" w:cstheme="majorHAnsi"/>
          <w:b/>
          <w:bCs/>
          <w:szCs w:val="28"/>
        </w:rPr>
        <w:t>Ruskola 2</w:t>
      </w:r>
      <w:r w:rsidRPr="00143D13">
        <w:rPr>
          <w:rFonts w:asciiTheme="majorHAnsi" w:hAnsiTheme="majorHAnsi" w:cstheme="majorHAnsi"/>
          <w:szCs w:val="28"/>
        </w:rPr>
        <w:t xml:space="preserve"> Teemu Ruskola, Legal Orientalism, 101 Mich. L. Rev. 179 (2002).</w:t>
      </w:r>
      <w:r w:rsidRPr="00143D13">
        <w:rPr>
          <w:rFonts w:asciiTheme="majorHAnsi" w:hAnsiTheme="majorHAnsi" w:cstheme="majorHAnsi"/>
          <w:szCs w:val="28"/>
        </w:rPr>
        <w:br/>
        <w:t xml:space="preserve">Available at: </w:t>
      </w:r>
      <w:hyperlink r:id="rId31" w:history="1">
        <w:r w:rsidRPr="00143D13">
          <w:rPr>
            <w:rStyle w:val="Hyperlink"/>
            <w:rFonts w:asciiTheme="majorHAnsi" w:hAnsiTheme="majorHAnsi" w:cstheme="majorHAnsi"/>
            <w:szCs w:val="28"/>
          </w:rPr>
          <w:t>https://repository.law.umich.edu/mlr/vol101/iss1/4</w:t>
        </w:r>
      </w:hyperlink>
      <w:r w:rsidRPr="00143D13">
        <w:rPr>
          <w:rFonts w:asciiTheme="majorHAnsi" w:hAnsiTheme="majorHAnsi" w:cstheme="majorHAnsi"/>
          <w:szCs w:val="28"/>
        </w:rPr>
        <w:t xml:space="preserve"> //Nato</w:t>
      </w:r>
    </w:p>
    <w:p w14:paraId="722988C4" w14:textId="513DB8C6" w:rsidR="004A1856" w:rsidRPr="004A1856" w:rsidRDefault="008A2241" w:rsidP="004A1856">
      <w:r w:rsidRPr="00143D13">
        <w:rPr>
          <w:rFonts w:asciiTheme="majorHAnsi" w:hAnsiTheme="majorHAnsi" w:cstheme="majorHAnsi"/>
          <w:sz w:val="16"/>
          <w:szCs w:val="28"/>
        </w:rPr>
        <w:t xml:space="preserve">I begin the account of Chinese legal subjectivity, or its absence, by outlining Hegel's vision of China in his Philosophy of History. I do so without any implication that Hegel "invented" Orientalism or is somehow singularly responsible for it. Uninterested in either accusing or excusing its author,139 I use the Philosophy of History simply as a textual case study, for it happens to provide a truly classic statement of many Orientalist ideas that continue to structure the perception of Chinese law even today. </w:t>
      </w:r>
      <w:r w:rsidRPr="00143D13">
        <w:rPr>
          <w:rStyle w:val="StyleUnderline"/>
        </w:rPr>
        <w:t>According to Hegel, "The history of the world travels from East to West, for Europe is absolutely the end of History, Asia the beginning."</w:t>
      </w:r>
      <w:r w:rsidRPr="00143D13">
        <w:rPr>
          <w:rFonts w:asciiTheme="majorHAnsi" w:hAnsiTheme="majorHAnsi" w:cstheme="majorHAnsi"/>
          <w:sz w:val="16"/>
          <w:szCs w:val="28"/>
        </w:rPr>
        <w:t xml:space="preserve">140 </w:t>
      </w:r>
      <w:r w:rsidRPr="00143D13">
        <w:rPr>
          <w:rStyle w:val="StyleUnderline"/>
        </w:rPr>
        <w:t>In Hegel's dual ontology, Oriental states "belong to mere space," or "un-Historical History," while the West exists in the "Form of time."</w:t>
      </w:r>
      <w:r w:rsidRPr="00143D13">
        <w:rPr>
          <w:rFonts w:asciiTheme="majorHAnsi" w:hAnsiTheme="majorHAnsi" w:cstheme="majorHAnsi"/>
          <w:sz w:val="16"/>
          <w:szCs w:val="28"/>
        </w:rPr>
        <w:t xml:space="preserve">141 According to Hegel, With the Empire of China History has to begin, for it is the oldest, as far as history gives us any information, and its principle has such substantiality, that for the empire in question it is at once the oldest and the newest. </w:t>
      </w:r>
      <w:r w:rsidRPr="00143D13">
        <w:rPr>
          <w:rStyle w:val="StyleUnderline"/>
        </w:rPr>
        <w:t>Early do we see China advancing to the condition in which it is found at this day, for as the contrast between objective existence and subjective freedom of movement within it, is still wanting, every change is excluded, and the fixedness of character which recurs perpetually takes the place of what we should call the truly historical.</w:t>
      </w:r>
      <w:r w:rsidRPr="00143D13">
        <w:rPr>
          <w:rFonts w:asciiTheme="majorHAnsi" w:hAnsiTheme="majorHAnsi" w:cstheme="majorHAnsi"/>
          <w:sz w:val="16"/>
          <w:szCs w:val="28"/>
        </w:rPr>
        <w:t xml:space="preserve">142 Hegel's statement of China's extraordinary stability is no doubt extreme, yet it has many historical variations.143 </w:t>
      </w:r>
      <w:r w:rsidRPr="00143D13">
        <w:rPr>
          <w:rStyle w:val="StyleUnderline"/>
        </w:rPr>
        <w:t>In Marx's scathing metaphor, China "vegetates in the teeth of time</w:t>
      </w:r>
      <w:r w:rsidRPr="00143D13">
        <w:rPr>
          <w:rFonts w:asciiTheme="majorHAnsi" w:hAnsiTheme="majorHAnsi" w:cstheme="majorHAnsi"/>
          <w:sz w:val="16"/>
          <w:szCs w:val="28"/>
        </w:rPr>
        <w:t xml:space="preserve">,"144 </w:t>
      </w:r>
      <w:r w:rsidRPr="00143D13">
        <w:rPr>
          <w:rStyle w:val="StyleUnderline"/>
        </w:rPr>
        <w:t>while Weber saw in Confucianism a religion that worshipped the status quo and thus radically impeded China's passage into modernity.</w:t>
      </w:r>
      <w:r w:rsidRPr="00143D13">
        <w:rPr>
          <w:rFonts w:asciiTheme="majorHAnsi" w:hAnsiTheme="majorHAnsi" w:cstheme="majorHAnsi"/>
          <w:sz w:val="16"/>
          <w:szCs w:val="28"/>
        </w:rPr>
        <w:t xml:space="preserve">145 In Hegel's particular teleological view, History's end goal is the accomplishment of freedom, which coincidentally culminates in the political system of Prussia. In contrast, China, standing at the threshold of History, </w:t>
      </w:r>
      <w:r w:rsidRPr="00143D13">
        <w:rPr>
          <w:rStyle w:val="StyleUnderline"/>
          <w:highlight w:val="green"/>
        </w:rPr>
        <w:t>is</w:t>
      </w:r>
      <w:r w:rsidRPr="00143D13">
        <w:rPr>
          <w:rStyle w:val="StyleUnderline"/>
        </w:rPr>
        <w:t xml:space="preserve"> the paradigmatic example of "</w:t>
      </w:r>
      <w:r w:rsidRPr="00143D13">
        <w:rPr>
          <w:rStyle w:val="StyleUnderline"/>
          <w:highlight w:val="green"/>
        </w:rPr>
        <w:t>Oriental Despotism</w:t>
      </w:r>
      <w:r w:rsidRPr="00143D13">
        <w:rPr>
          <w:rStyle w:val="StyleUnderline"/>
        </w:rPr>
        <w:t>."</w:t>
      </w:r>
      <w:r w:rsidRPr="00143D13">
        <w:rPr>
          <w:rFonts w:asciiTheme="majorHAnsi" w:hAnsiTheme="majorHAnsi" w:cstheme="majorHAnsi"/>
          <w:sz w:val="16"/>
          <w:szCs w:val="28"/>
        </w:rPr>
        <w:t xml:space="preserve"> Despotism is in fact the natural form of government for the </w:t>
      </w:r>
      <w:r w:rsidRPr="00143D13">
        <w:rPr>
          <w:rStyle w:val="StyleUnderline"/>
          <w:highlight w:val="green"/>
        </w:rPr>
        <w:t>Chinese</w:t>
      </w:r>
      <w:r w:rsidRPr="00143D13">
        <w:rPr>
          <w:rFonts w:asciiTheme="majorHAnsi" w:hAnsiTheme="majorHAnsi" w:cstheme="majorHAnsi"/>
          <w:sz w:val="16"/>
          <w:szCs w:val="28"/>
        </w:rPr>
        <w:t xml:space="preserve">, for the simple reason that </w:t>
      </w:r>
      <w:r w:rsidRPr="00143D13">
        <w:rPr>
          <w:rStyle w:val="StyleUnderline"/>
        </w:rPr>
        <w:t xml:space="preserve">they </w:t>
      </w:r>
      <w:r w:rsidRPr="00143D13">
        <w:rPr>
          <w:rStyle w:val="StyleUnderline"/>
          <w:highlight w:val="green"/>
        </w:rPr>
        <w:t>do not exist as individual subjects</w:t>
      </w:r>
      <w:r w:rsidRPr="00143D13">
        <w:rPr>
          <w:rFonts w:asciiTheme="majorHAnsi" w:hAnsiTheme="majorHAnsi" w:cstheme="majorHAnsi"/>
          <w:sz w:val="16"/>
          <w:szCs w:val="28"/>
        </w:rPr>
        <w:t xml:space="preserve">. In Hegel's words, </w:t>
      </w:r>
      <w:r w:rsidRPr="00143D13">
        <w:rPr>
          <w:rStyle w:val="StyleUnderline"/>
        </w:rPr>
        <w:t xml:space="preserve">in China "all that we call </w:t>
      </w:r>
      <w:r w:rsidRPr="00143D13">
        <w:rPr>
          <w:rStyle w:val="StyleUnderline"/>
          <w:highlight w:val="green"/>
        </w:rPr>
        <w:t>subjectivity is concentrated in</w:t>
      </w:r>
      <w:r w:rsidRPr="00143D13">
        <w:rPr>
          <w:rStyle w:val="StyleUnderline"/>
        </w:rPr>
        <w:t xml:space="preserve"> the supreme </w:t>
      </w:r>
      <w:r w:rsidRPr="00143D13">
        <w:rPr>
          <w:rStyle w:val="StyleUnderline"/>
          <w:highlight w:val="green"/>
        </w:rPr>
        <w:t>Head of the State</w:t>
      </w:r>
      <w:r w:rsidRPr="00143D13">
        <w:rPr>
          <w:rFonts w:asciiTheme="majorHAnsi" w:hAnsiTheme="majorHAnsi" w:cstheme="majorHAnsi"/>
          <w:sz w:val="16"/>
          <w:szCs w:val="28"/>
        </w:rPr>
        <w:t>,"146 while "</w:t>
      </w:r>
      <w:r w:rsidRPr="00143D13">
        <w:rPr>
          <w:rStyle w:val="StyleUnderline"/>
        </w:rPr>
        <w:t>individuals remain mere accidents."</w:t>
      </w:r>
      <w:r w:rsidRPr="00143D13">
        <w:rPr>
          <w:rFonts w:asciiTheme="majorHAnsi" w:hAnsiTheme="majorHAnsi" w:cstheme="majorHAnsi"/>
          <w:sz w:val="16"/>
          <w:szCs w:val="28"/>
        </w:rPr>
        <w:t xml:space="preserve">147 This despotism results in part from a confusion between family and state: "The Chinese regard themselves as belonging to the family, and at the same as children of the state."148 By implication, </w:t>
      </w:r>
      <w:r w:rsidRPr="00143D13">
        <w:rPr>
          <w:rFonts w:asciiTheme="majorHAnsi" w:hAnsiTheme="majorHAnsi" w:cstheme="majorHAnsi"/>
          <w:sz w:val="16"/>
          <w:szCs w:val="28"/>
        </w:rPr>
        <w:lastRenderedPageBreak/>
        <w:t xml:space="preserve">the Chinese also lack a proper distinction between law and morality: moral dicta are expressed in the form of laws, but lacking subjectivity, the Chinese obey these laws merely as external forces, like children who fear parental punishment.149 Analyzed as an Orientalist discourse, Hegel's account accomplishes several things. </w:t>
      </w:r>
      <w:r w:rsidRPr="00143D13">
        <w:rPr>
          <w:rStyle w:val="StyleUnderline"/>
        </w:rPr>
        <w:t xml:space="preserve">First, the purported fact that </w:t>
      </w:r>
      <w:r w:rsidRPr="00143D13">
        <w:rPr>
          <w:rStyle w:val="StyleUnderline"/>
          <w:highlight w:val="green"/>
        </w:rPr>
        <w:t>China is</w:t>
      </w:r>
      <w:r w:rsidRPr="00143D13">
        <w:rPr>
          <w:rStyle w:val="StyleUnderline"/>
        </w:rPr>
        <w:t xml:space="preserve"> timeless and </w:t>
      </w:r>
      <w:r w:rsidRPr="00143D13">
        <w:rPr>
          <w:rStyle w:val="StyleUnderline"/>
          <w:highlight w:val="green"/>
        </w:rPr>
        <w:t>static implies</w:t>
      </w:r>
      <w:r w:rsidRPr="00143D13">
        <w:rPr>
          <w:rStyle w:val="StyleUnderline"/>
        </w:rPr>
        <w:t xml:space="preserve"> that the </w:t>
      </w:r>
      <w:r w:rsidRPr="00143D13">
        <w:rPr>
          <w:rStyle w:val="StyleUnderline"/>
          <w:highlight w:val="green"/>
        </w:rPr>
        <w:t>West is not</w:t>
      </w:r>
      <w:r w:rsidRPr="00143D13">
        <w:rPr>
          <w:rStyle w:val="StyleUnderline"/>
        </w:rPr>
        <w:t xml:space="preserve">.150 Second, imputing to the Chinese a lack of subjectivity and moral character suggests that Westerners do not lack those progressive qualities. Third, observing that the Chinese are confused about the real nature of "law" </w:t>
      </w:r>
      <w:r w:rsidRPr="00143D13">
        <w:rPr>
          <w:rStyle w:val="StyleUnderline"/>
          <w:highlight w:val="green"/>
        </w:rPr>
        <w:t>establishes</w:t>
      </w:r>
      <w:r w:rsidRPr="00143D13">
        <w:rPr>
          <w:rStyle w:val="StyleUnderline"/>
        </w:rPr>
        <w:t xml:space="preserve"> the </w:t>
      </w:r>
      <w:r w:rsidRPr="00143D13">
        <w:rPr>
          <w:rStyle w:val="StyleUnderline"/>
          <w:highlight w:val="green"/>
        </w:rPr>
        <w:t>European legal ordering as proper</w:t>
      </w:r>
      <w:r w:rsidRPr="00143D13">
        <w:rPr>
          <w:rStyle w:val="StyleUnderline"/>
        </w:rPr>
        <w:t xml:space="preserve">. </w:t>
      </w:r>
      <w:r w:rsidRPr="00143D13">
        <w:rPr>
          <w:rFonts w:asciiTheme="majorHAnsi" w:hAnsiTheme="majorHAnsi" w:cstheme="majorHAnsi"/>
          <w:sz w:val="16"/>
          <w:szCs w:val="28"/>
        </w:rPr>
        <w:t xml:space="preserve">The Orientalist implications are not difficult to grasp: </w:t>
      </w:r>
      <w:r w:rsidRPr="00143D13">
        <w:rPr>
          <w:rStyle w:val="StyleUnderline"/>
          <w:highlight w:val="green"/>
        </w:rPr>
        <w:t>China is an anti-model and stands for everything that we would not wish to be</w:t>
      </w:r>
      <w:r w:rsidRPr="00143D13">
        <w:rPr>
          <w:rStyle w:val="StyleUnderline"/>
        </w:rPr>
        <w:t xml:space="preserve"> - or admit to being. </w:t>
      </w:r>
      <w:r w:rsidRPr="00143D13">
        <w:rPr>
          <w:rStyle w:val="StyleUnderline"/>
          <w:highlight w:val="green"/>
        </w:rPr>
        <w:t>This is an entirely negative definition</w:t>
      </w:r>
      <w:r w:rsidRPr="00143D13">
        <w:rPr>
          <w:rStyle w:val="StyleUnderline"/>
        </w:rPr>
        <w:t>: China is basically just a "glimpse of what it itself is not," viz., we, the Occident</w:t>
      </w:r>
      <w:r w:rsidRPr="00143D13">
        <w:rPr>
          <w:rFonts w:asciiTheme="majorHAnsi" w:hAnsiTheme="majorHAnsi" w:cstheme="majorHAnsi"/>
          <w:sz w:val="16"/>
          <w:szCs w:val="28"/>
        </w:rPr>
        <w:t xml:space="preserve">.151 Hegel, Marx, and Weber are classical European Orientalists whose work ultimately affirms the superiority of Western civilization and law.152 However, they do not exhaust the universe of legal Orientalisms, which vary by historical and cultural context. </w:t>
      </w:r>
      <w:r w:rsidRPr="00143D13">
        <w:rPr>
          <w:rStyle w:val="StyleUnderline"/>
        </w:rPr>
        <w:t>The anti immigrant Orientalism of nineteenth-century United States provides an example of a peculiarly American form of Orientalism.</w:t>
      </w:r>
      <w:r w:rsidRPr="00143D13">
        <w:rPr>
          <w:rFonts w:asciiTheme="majorHAnsi" w:hAnsiTheme="majorHAnsi" w:cstheme="majorHAnsi"/>
          <w:sz w:val="16"/>
          <w:szCs w:val="28"/>
        </w:rPr>
        <w:t xml:space="preserve">153 As one historian of Chinese immigration observes, nineteenth-century </w:t>
      </w:r>
      <w:r w:rsidRPr="00143D13">
        <w:rPr>
          <w:rStyle w:val="StyleUnderline"/>
          <w:highlight w:val="green"/>
        </w:rPr>
        <w:t>Americans viewed</w:t>
      </w:r>
      <w:r w:rsidRPr="00143D13">
        <w:rPr>
          <w:rStyle w:val="StyleUnderline"/>
        </w:rPr>
        <w:t xml:space="preserve"> almost every </w:t>
      </w:r>
      <w:r w:rsidRPr="00143D13">
        <w:rPr>
          <w:rStyle w:val="StyleUnderline"/>
          <w:highlight w:val="green"/>
        </w:rPr>
        <w:t>aspect of Chinese</w:t>
      </w:r>
      <w:r w:rsidRPr="00143D13">
        <w:rPr>
          <w:rStyle w:val="StyleUnderline"/>
        </w:rPr>
        <w:t xml:space="preserve"> life </w:t>
      </w:r>
      <w:r w:rsidRPr="00143D13">
        <w:rPr>
          <w:rStyle w:val="StyleUnderline"/>
          <w:highlight w:val="green"/>
        </w:rPr>
        <w:t>as</w:t>
      </w:r>
      <w:r w:rsidRPr="00143D13">
        <w:rPr>
          <w:rStyle w:val="StyleUnderline"/>
        </w:rPr>
        <w:t xml:space="preserve"> an illustration of their </w:t>
      </w:r>
      <w:r w:rsidRPr="00143D13">
        <w:rPr>
          <w:rStyle w:val="StyleUnderline"/>
          <w:highlight w:val="green"/>
        </w:rPr>
        <w:t>backwardness</w:t>
      </w:r>
      <w:r w:rsidRPr="00143D13">
        <w:rPr>
          <w:rStyle w:val="StyleUnderline"/>
        </w:rPr>
        <w:t>: "wearing white for mourning,</w:t>
      </w:r>
      <w:r w:rsidRPr="00143D13">
        <w:rPr>
          <w:rFonts w:asciiTheme="majorHAnsi" w:hAnsiTheme="majorHAnsi" w:cstheme="majorHAnsi"/>
          <w:sz w:val="16"/>
          <w:szCs w:val="28"/>
        </w:rPr>
        <w:t xml:space="preserve"> purchasing a coffin while still alive, dressing women in pants and men in skirts, </w:t>
      </w:r>
      <w:r w:rsidRPr="00143D13">
        <w:rPr>
          <w:rStyle w:val="StyleUnderline"/>
        </w:rPr>
        <w:t>shaking hands with oneself in greeting a friend, writing up and down the page</w:t>
      </w:r>
      <w:r w:rsidRPr="00143D13">
        <w:rPr>
          <w:rFonts w:asciiTheme="majorHAnsi" w:hAnsiTheme="majorHAnsi" w:cstheme="majorHAnsi"/>
          <w:sz w:val="16"/>
          <w:szCs w:val="28"/>
        </w:rPr>
        <w:t xml:space="preserve">, eating sweets first and soup last, etc."154 </w:t>
      </w:r>
      <w:r w:rsidRPr="00143D13">
        <w:rPr>
          <w:rStyle w:val="StyleUnderline"/>
        </w:rPr>
        <w:t xml:space="preserve">The usefulness of this particular Orientalist discourse lay in its role in </w:t>
      </w:r>
      <w:r w:rsidRPr="00143D13">
        <w:rPr>
          <w:rStyle w:val="StyleUnderline"/>
          <w:highlight w:val="green"/>
        </w:rPr>
        <w:t>justifying the legal exclusion</w:t>
      </w:r>
      <w:r w:rsidRPr="00143D13">
        <w:rPr>
          <w:rStyle w:val="StyleUnderline"/>
        </w:rPr>
        <w:t xml:space="preserve"> of Chinese immigrants at that historical moment. </w:t>
      </w:r>
      <w:r w:rsidRPr="00143D13">
        <w:rPr>
          <w:rFonts w:asciiTheme="majorHAnsi" w:hAnsiTheme="majorHAnsi" w:cstheme="majorHAnsi"/>
          <w:sz w:val="16"/>
          <w:szCs w:val="28"/>
        </w:rPr>
        <w:t>Indeed</w:t>
      </w:r>
      <w:r w:rsidRPr="00143D13">
        <w:rPr>
          <w:rStyle w:val="StyleUnderline"/>
        </w:rPr>
        <w:t>, the text of a 1878 report by the California State Senate Committee on Chinese Immigration</w:t>
      </w:r>
      <w:r w:rsidRPr="00143D13">
        <w:rPr>
          <w:rFonts w:asciiTheme="majorHAnsi" w:hAnsiTheme="majorHAnsi" w:cstheme="majorHAnsi"/>
          <w:sz w:val="16"/>
          <w:szCs w:val="28"/>
        </w:rPr>
        <w:t xml:space="preserve"> sounds as though it had been excerpted directly from Hegel's Philosophy of History: </w:t>
      </w:r>
      <w:r w:rsidRPr="00143D13">
        <w:rPr>
          <w:rStyle w:val="StyleUnderline"/>
        </w:rPr>
        <w:t>The Chinese are ... able to underbid the whites in every kind of labor. They can be hired in masses; they can be managed and controlled like unthinking slaves.</w:t>
      </w:r>
      <w:r w:rsidRPr="00143D13">
        <w:rPr>
          <w:rFonts w:asciiTheme="majorHAnsi" w:hAnsiTheme="majorHAnsi" w:cstheme="majorHAnsi"/>
          <w:sz w:val="16"/>
          <w:szCs w:val="28"/>
        </w:rPr>
        <w:t xml:space="preserve"> But </w:t>
      </w:r>
      <w:r w:rsidRPr="00143D13">
        <w:rPr>
          <w:rStyle w:val="StyleUnderline"/>
        </w:rPr>
        <w:t>our laborer has an individual life, cannot be controlled as a slave by brutal masters, and this individuality has been required by the genius of our institutions, and upon these elements of character the State depends for defense and growth.</w:t>
      </w:r>
      <w:r w:rsidRPr="00143D13">
        <w:rPr>
          <w:rFonts w:asciiTheme="majorHAnsi" w:hAnsiTheme="majorHAnsi" w:cstheme="majorHAnsi"/>
          <w:sz w:val="16"/>
          <w:szCs w:val="28"/>
        </w:rPr>
        <w:t xml:space="preserve">155 Such sentiments may have very much a nineteenth-century flavor, but consider also the following analysis of the Chinese immigration exclusion, made by a federal judge in the 1920s: </w:t>
      </w:r>
      <w:r w:rsidRPr="00143D13">
        <w:rPr>
          <w:rStyle w:val="StyleUnderline"/>
        </w:rPr>
        <w:t>The yellow or brown racial color is the hall-mark of Oriental despotisms,</w:t>
      </w:r>
      <w:r w:rsidRPr="00143D13">
        <w:rPr>
          <w:rFonts w:asciiTheme="majorHAnsi" w:hAnsiTheme="majorHAnsi" w:cstheme="majorHAnsi"/>
          <w:sz w:val="16"/>
          <w:szCs w:val="28"/>
        </w:rPr>
        <w:t xml:space="preserve"> or was at the time the original naturalization law was enacted. </w:t>
      </w:r>
      <w:r w:rsidRPr="00143D13">
        <w:rPr>
          <w:rStyle w:val="StyleUnderline"/>
        </w:rPr>
        <w:t>It was deemed that the subjects of these despotisms</w:t>
      </w:r>
      <w:r w:rsidRPr="00143D13">
        <w:rPr>
          <w:rFonts w:asciiTheme="majorHAnsi" w:hAnsiTheme="majorHAnsi" w:cstheme="majorHAnsi"/>
          <w:sz w:val="16"/>
          <w:szCs w:val="28"/>
        </w:rPr>
        <w:t xml:space="preserve">, with their fixed and ingrained pride in the type of their civilization, which works for its welfare by subordinating the individual to the personal authority of the sovereign, as the embodiment of the state, </w:t>
      </w:r>
      <w:r w:rsidRPr="00143D13">
        <w:rPr>
          <w:rStyle w:val="StyleUnderline"/>
        </w:rPr>
        <w:t>were not fitted and suited to make for the success of a republican form of Government. Hence they were denied citizenship</w:t>
      </w:r>
      <w:r w:rsidRPr="00143D13">
        <w:rPr>
          <w:rFonts w:asciiTheme="majorHAnsi" w:hAnsiTheme="majorHAnsi" w:cstheme="majorHAnsi"/>
          <w:sz w:val="16"/>
          <w:szCs w:val="28"/>
        </w:rPr>
        <w:t xml:space="preserve">.156 To the judge, it was thus self-evident that the Congress's exclusion of the </w:t>
      </w:r>
      <w:r w:rsidRPr="00143D13">
        <w:rPr>
          <w:rStyle w:val="StyleUnderline"/>
        </w:rPr>
        <w:t xml:space="preserve">Chinese from immigration was </w:t>
      </w:r>
      <w:r w:rsidRPr="00143D13">
        <w:rPr>
          <w:rStyle w:val="StyleUnderline"/>
          <w:highlight w:val="green"/>
        </w:rPr>
        <w:t xml:space="preserve">not </w:t>
      </w:r>
      <w:r w:rsidRPr="00143D13">
        <w:rPr>
          <w:rStyle w:val="StyleUnderline"/>
          <w:highlight w:val="green"/>
        </w:rPr>
        <w:lastRenderedPageBreak/>
        <w:t>based on "color" but cultural disqualification</w:t>
      </w:r>
      <w:r w:rsidRPr="00143D13">
        <w:rPr>
          <w:rStyle w:val="StyleUnderline"/>
        </w:rPr>
        <w:t xml:space="preserve"> for citizenship.</w:t>
      </w:r>
      <w:r w:rsidRPr="00143D13">
        <w:rPr>
          <w:rFonts w:asciiTheme="majorHAnsi" w:hAnsiTheme="majorHAnsi" w:cstheme="majorHAnsi"/>
          <w:sz w:val="16"/>
          <w:szCs w:val="28"/>
        </w:rPr>
        <w:t xml:space="preserve">157 That is, the </w:t>
      </w:r>
      <w:r w:rsidRPr="00143D13">
        <w:rPr>
          <w:rStyle w:val="StyleUnderline"/>
        </w:rPr>
        <w:t xml:space="preserve">Chinese were so radically "un-legal" that they were simply not capable of the kind of selfgovernance that was required by America's "republican form of Government." </w:t>
      </w:r>
    </w:p>
    <w:sectPr w:rsidR="004A1856" w:rsidRPr="004A18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4E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E1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09B"/>
    <w:rsid w:val="00446567"/>
    <w:rsid w:val="00447B10"/>
    <w:rsid w:val="00452EE4"/>
    <w:rsid w:val="00452F0B"/>
    <w:rsid w:val="004536D6"/>
    <w:rsid w:val="00457224"/>
    <w:rsid w:val="0047482C"/>
    <w:rsid w:val="00475436"/>
    <w:rsid w:val="0048047E"/>
    <w:rsid w:val="00482AF9"/>
    <w:rsid w:val="00484C15"/>
    <w:rsid w:val="00496BB2"/>
    <w:rsid w:val="004A1856"/>
    <w:rsid w:val="004B37B4"/>
    <w:rsid w:val="004B72B4"/>
    <w:rsid w:val="004C0314"/>
    <w:rsid w:val="004C0D3D"/>
    <w:rsid w:val="004C213E"/>
    <w:rsid w:val="004C376C"/>
    <w:rsid w:val="004C657F"/>
    <w:rsid w:val="004D17D8"/>
    <w:rsid w:val="004D1E1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A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11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241"/>
    <w:rsid w:val="008A4633"/>
    <w:rsid w:val="008B032E"/>
    <w:rsid w:val="008C0FA2"/>
    <w:rsid w:val="008C2342"/>
    <w:rsid w:val="008C77B6"/>
    <w:rsid w:val="008D14DA"/>
    <w:rsid w:val="008D1B91"/>
    <w:rsid w:val="008D724A"/>
    <w:rsid w:val="008E7A3E"/>
    <w:rsid w:val="008F41FD"/>
    <w:rsid w:val="008F4479"/>
    <w:rsid w:val="008F4BA0"/>
    <w:rsid w:val="00901726"/>
    <w:rsid w:val="00920E6A"/>
    <w:rsid w:val="00931816"/>
    <w:rsid w:val="00932C71"/>
    <w:rsid w:val="009509D5"/>
    <w:rsid w:val="009538F5"/>
    <w:rsid w:val="00954ED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5B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A3FB1"/>
  <w14:defaultImageDpi w14:val="300"/>
  <w15:docId w15:val="{91BB0A53-2018-7544-8EE0-69AADB6D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09B"/>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4420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0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20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Read stuff,tags,TAG, Ch,No Spacing1121,CD - Cite"/>
    <w:basedOn w:val="Normal"/>
    <w:next w:val="Normal"/>
    <w:link w:val="Heading4Char"/>
    <w:uiPriority w:val="9"/>
    <w:unhideWhenUsed/>
    <w:qFormat/>
    <w:rsid w:val="0044209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420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09B"/>
  </w:style>
  <w:style w:type="character" w:customStyle="1" w:styleId="Heading1Char">
    <w:name w:val="Heading 1 Char"/>
    <w:aliases w:val="Pocket Char"/>
    <w:basedOn w:val="DefaultParagraphFont"/>
    <w:link w:val="Heading1"/>
    <w:uiPriority w:val="9"/>
    <w:rsid w:val="004420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0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209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4209B"/>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209B"/>
    <w:rPr>
      <w:b/>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44209B"/>
    <w:rPr>
      <w:b w:val="0"/>
      <w:sz w:val="28"/>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44209B"/>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44209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TAG ,cite,C"/>
    <w:basedOn w:val="DefaultParagraphFont"/>
    <w:link w:val="Card"/>
    <w:uiPriority w:val="99"/>
    <w:unhideWhenUsed/>
    <w:rsid w:val="0044209B"/>
    <w:rPr>
      <w:color w:val="auto"/>
      <w:u w:val="none"/>
    </w:rPr>
  </w:style>
  <w:style w:type="paragraph" w:styleId="DocumentMap">
    <w:name w:val="Document Map"/>
    <w:basedOn w:val="Normal"/>
    <w:link w:val="DocumentMapChar"/>
    <w:uiPriority w:val="99"/>
    <w:semiHidden/>
    <w:unhideWhenUsed/>
    <w:rsid w:val="004420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09B"/>
    <w:rPr>
      <w:rFonts w:ascii="Lucida Grande" w:hAnsi="Lucida Grande" w:cs="Lucida Grande"/>
    </w:rPr>
  </w:style>
  <w:style w:type="paragraph" w:customStyle="1" w:styleId="textbold">
    <w:name w:val="text bold"/>
    <w:basedOn w:val="Normal"/>
    <w:link w:val="Emphasis"/>
    <w:uiPriority w:val="20"/>
    <w:qFormat/>
    <w:rsid w:val="002A7E1F"/>
    <w:pPr>
      <w:ind w:left="720"/>
      <w:jc w:val="both"/>
    </w:pPr>
    <w:rPr>
      <w:b/>
      <w:iCs/>
      <w:u w:val="single"/>
    </w:rPr>
  </w:style>
  <w:style w:type="paragraph" w:customStyle="1" w:styleId="Card">
    <w:name w:val="Card"/>
    <w:aliases w:val="card,No Spacing31,No Spacing22,No Spacing3,Dont use,No Spacing41,No Spacing111112,Note Level 2,No Spacing23,nonunderlined,No Spacing11211,Tag and Ci,Small Text,No Spacing6,No Spacing111,No Spacing7,No Spacing8,Debate Text,No Spacing11,No Spacing2"/>
    <w:basedOn w:val="Heading1"/>
    <w:link w:val="Hyperlink"/>
    <w:autoRedefine/>
    <w:uiPriority w:val="99"/>
    <w:qFormat/>
    <w:rsid w:val="002A7E1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 tnr,ClearFormatting,Hidden Block Title,No Spacing311,No Spacing51,Dont u,No Spacing1111111,Note Level 21,Clear,No Spacing13"/>
    <w:basedOn w:val="Heading1"/>
    <w:autoRedefine/>
    <w:uiPriority w:val="99"/>
    <w:qFormat/>
    <w:rsid w:val="008A22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mbridge.org/core/journals/american-journal-of-international-law/article/customary-international-law-a-third-world-perspective/DEDB6DB43A3B5A613B68FDBE56E20A20" TargetMode="External"/><Relationship Id="rId18" Type="http://schemas.openxmlformats.org/officeDocument/2006/relationships/hyperlink" Target="https://www.cambridge.org/core/journals/american-journal-of-international-law/article/customary-international-law-a-third-world-perspective/DEDB6DB43A3B5A613B68FDBE56E20A20" TargetMode="External"/><Relationship Id="rId26" Type="http://schemas.openxmlformats.org/officeDocument/2006/relationships/hyperlink" Target="https://www.cambridge.org/core/journals/american-journal-of-international-law/article/customary-international-law-a-third-world-perspective/DEDB6DB43A3B5A613B68FDBE56E20A20" TargetMode="External"/><Relationship Id="rId3" Type="http://schemas.openxmlformats.org/officeDocument/2006/relationships/customXml" Target="../customXml/item3.xml"/><Relationship Id="rId21" Type="http://schemas.openxmlformats.org/officeDocument/2006/relationships/hyperlink" Target="https://www.cambridge.org/core/journals/american-journal-of-international-law/article/customary-international-law-a-third-world-perspective/DEDB6DB43A3B5A613B68FDBE56E20A20" TargetMode="External"/><Relationship Id="rId7" Type="http://schemas.openxmlformats.org/officeDocument/2006/relationships/settings" Target="settings.xml"/><Relationship Id="rId12" Type="http://schemas.openxmlformats.org/officeDocument/2006/relationships/hyperlink" Target="https://www.cambridge.org/core/journals/american-journal-of-international-law/article/customary-international-law-a-third-world-perspective/DEDB6DB43A3B5A613B68FDBE56E20A20" TargetMode="External"/><Relationship Id="rId17" Type="http://schemas.openxmlformats.org/officeDocument/2006/relationships/hyperlink" Target="https://www.cambridge.org/core/journals/american-journal-of-international-law/article/customary-international-law-a-third-world-perspective/DEDB6DB43A3B5A613B68FDBE56E20A20" TargetMode="External"/><Relationship Id="rId25" Type="http://schemas.openxmlformats.org/officeDocument/2006/relationships/hyperlink" Target="https://www.cambridge.org/core/journals/american-journal-of-international-law/article/customary-international-law-a-third-world-perspective/DEDB6DB43A3B5A613B68FDBE56E20A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ambridge.org/core/journals/american-journal-of-international-law/article/customary-international-law-a-third-world-perspective/DEDB6DB43A3B5A613B68FDBE56E20A20" TargetMode="External"/><Relationship Id="rId20" Type="http://schemas.openxmlformats.org/officeDocument/2006/relationships/hyperlink" Target="https://www.cambridge.org/core/journals/american-journal-of-international-law/article/customary-international-law-a-third-world-perspective/DEDB6DB43A3B5A613B68FDBE56E20A20" TargetMode="External"/><Relationship Id="rId29" Type="http://schemas.openxmlformats.org/officeDocument/2006/relationships/hyperlink" Target="https://www.cambridge.org/core/journals/american-journal-of-international-law/article/customary-international-law-a-third-world-perspective/DEDB6DB43A3B5A613B68FDBE56E20A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24" Type="http://schemas.openxmlformats.org/officeDocument/2006/relationships/hyperlink" Target="https://www.cambridge.org/core/journals/american-journal-of-international-law/article/customary-international-law-a-third-world-perspective/DEDB6DB43A3B5A613B68FDBE56E20A2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mbridge.org/core/journals/american-journal-of-international-law/article/customary-international-law-a-third-world-perspective/DEDB6DB43A3B5A613B68FDBE56E20A20" TargetMode="External"/><Relationship Id="rId23" Type="http://schemas.openxmlformats.org/officeDocument/2006/relationships/hyperlink" Target="https://www.cambridge.org/core/journals/american-journal-of-international-law/article/customary-international-law-a-third-world-perspective/DEDB6DB43A3B5A613B68FDBE56E20A20" TargetMode="External"/><Relationship Id="rId28" Type="http://schemas.openxmlformats.org/officeDocument/2006/relationships/hyperlink" Target="https://www.cambridge.org/core/journals/american-journal-of-international-law/article/customary-international-law-a-third-world-perspective/DEDB6DB43A3B5A613B68FDBE56E20A20" TargetMode="External"/><Relationship Id="rId10" Type="http://schemas.openxmlformats.org/officeDocument/2006/relationships/hyperlink" Target="http://members.tripod.com/FionaCampbell/speech_acts_on_problematising_empowerment.htm" TargetMode="External"/><Relationship Id="rId19" Type="http://schemas.openxmlformats.org/officeDocument/2006/relationships/hyperlink" Target="https://www.cambridge.org/core/journals/american-journal-of-international-law/article/customary-international-law-a-third-world-perspective/DEDB6DB43A3B5A613B68FDBE56E20A20" TargetMode="External"/><Relationship Id="rId31" Type="http://schemas.openxmlformats.org/officeDocument/2006/relationships/hyperlink" Target="https://repository.law.umich.edu/mlr/vol101/iss1/4"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 Id="rId14" Type="http://schemas.openxmlformats.org/officeDocument/2006/relationships/hyperlink" Target="https://www.cambridge.org/core/journals/american-journal-of-international-law/article/customary-international-law-a-third-world-perspective/DEDB6DB43A3B5A613B68FDBE56E20A20" TargetMode="External"/><Relationship Id="rId22" Type="http://schemas.openxmlformats.org/officeDocument/2006/relationships/hyperlink" Target="https://www.cambridge.org/core/journals/american-journal-of-international-law/article/customary-international-law-a-third-world-perspective/DEDB6DB43A3B5A613B68FDBE56E20A20" TargetMode="External"/><Relationship Id="rId27" Type="http://schemas.openxmlformats.org/officeDocument/2006/relationships/hyperlink" Target="https://www.cambridge.org/core/journals/american-journal-of-international-law/article/customary-international-law-a-third-world-perspective/DEDB6DB43A3B5A613B68FDBE56E20A20" TargetMode="External"/><Relationship Id="rId30" Type="http://schemas.openxmlformats.org/officeDocument/2006/relationships/hyperlink" Target="https://repository.law.umich.edu/mlr/vol101/iss1/4"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ow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4613</Words>
  <Characters>25696</Characters>
  <Application>Microsoft Office Word</Application>
  <DocSecurity>0</DocSecurity>
  <Lines>270</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Naaman Wei 魏弘维</cp:lastModifiedBy>
  <cp:revision>7</cp:revision>
  <dcterms:created xsi:type="dcterms:W3CDTF">2022-02-12T20:59:00Z</dcterms:created>
  <dcterms:modified xsi:type="dcterms:W3CDTF">2022-02-12T22:25:00Z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