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9672E" w14:textId="25D3F92A" w:rsidR="00734650" w:rsidRDefault="00734650" w:rsidP="00734650">
      <w:pPr>
        <w:pStyle w:val="Heading2"/>
      </w:pPr>
      <w:r>
        <w:t>1</w:t>
      </w:r>
    </w:p>
    <w:p w14:paraId="778086E5" w14:textId="3BF2E1E5" w:rsidR="00734650" w:rsidRDefault="00734650" w:rsidP="00734650">
      <w:pPr>
        <w:pStyle w:val="Heading4"/>
      </w:pPr>
      <w:r>
        <w:t xml:space="preserve">Interpretation: Interpretation: If the affirmative delineates specific functions of its advocacy as normal means </w:t>
      </w:r>
      <w:proofErr w:type="gramStart"/>
      <w:r>
        <w:t>i.e.</w:t>
      </w:r>
      <w:proofErr w:type="gramEnd"/>
      <w:r>
        <w:t xml:space="preserve"> enforcement, actor, implementation, </w:t>
      </w:r>
      <w:proofErr w:type="spellStart"/>
      <w:r>
        <w:t>etc</w:t>
      </w:r>
      <w:proofErr w:type="spellEnd"/>
      <w:r>
        <w:t>, then it must have a unified solvency advocate that agrees with all those specifications.</w:t>
      </w:r>
    </w:p>
    <w:p w14:paraId="16A67A28" w14:textId="0BA91565" w:rsidR="00606BC0" w:rsidRPr="00606BC0" w:rsidRDefault="00734650" w:rsidP="00606BC0">
      <w:pPr>
        <w:pStyle w:val="Heading4"/>
      </w:pPr>
      <w:r>
        <w:t>Violation: They don’t – 1AC Feldman advocates for the plan passing through FDA approval</w:t>
      </w:r>
      <w:r w:rsidR="00606BC0">
        <w:t>; Feldman also talks about data exclusivity which is not only about patents</w:t>
      </w:r>
    </w:p>
    <w:p w14:paraId="21E60B28" w14:textId="2F52450E" w:rsidR="00734650" w:rsidRDefault="00734650" w:rsidP="00734650">
      <w:pPr>
        <w:pStyle w:val="Heading4"/>
      </w:pPr>
      <w:r>
        <w:t>1]</w:t>
      </w:r>
      <w:r w:rsidRPr="00246C3B">
        <w:t xml:space="preserve"> </w:t>
      </w:r>
      <w:r>
        <w:rPr>
          <w:u w:val="single"/>
        </w:rPr>
        <w:t>Limits</w:t>
      </w:r>
      <w:r w:rsidRPr="00734650">
        <w:t xml:space="preserve"> </w:t>
      </w:r>
      <w:r>
        <w:t>–</w:t>
      </w:r>
      <w:r w:rsidRPr="00A7279F">
        <w:t xml:space="preserve"> </w:t>
      </w:r>
      <w:r>
        <w:t xml:space="preserve">Not having a </w:t>
      </w:r>
      <w:r w:rsidRPr="00AA0424">
        <w:rPr>
          <w:u w:val="single"/>
        </w:rPr>
        <w:t>unified</w:t>
      </w:r>
      <w:r>
        <w:t xml:space="preserve"> solvency advocate that agrees with all your “normal means” specifications allow you to choose any permutation of specifications which explodes neg prep burden. Not having a solvency advocate for it passing through the WTO at all should frame the limits debate. Unified solvency advocates grant sufficient aff flexibility while still ensuring a reasonable case list since specification all comes from one source.</w:t>
      </w:r>
    </w:p>
    <w:p w14:paraId="7017AB4B" w14:textId="73ABEDF0" w:rsidR="00734650" w:rsidRPr="003001CC" w:rsidRDefault="00734650" w:rsidP="00734650">
      <w:pPr>
        <w:pStyle w:val="Heading4"/>
      </w:pPr>
      <w:r>
        <w:t xml:space="preserve">2] </w:t>
      </w:r>
      <w:r>
        <w:rPr>
          <w:u w:val="single"/>
        </w:rPr>
        <w:t>Ground</w:t>
      </w:r>
      <w:r w:rsidRPr="00734650">
        <w:t xml:space="preserve"> </w:t>
      </w:r>
      <w:r>
        <w:t xml:space="preserve">– They can choose any permutation of </w:t>
      </w:r>
      <w:r w:rsidRPr="00AA0424">
        <w:rPr>
          <w:u w:val="single"/>
        </w:rPr>
        <w:t>best definition</w:t>
      </w:r>
      <w:r>
        <w:t xml:space="preserve"> for “reduce” that suits them, </w:t>
      </w:r>
      <w:r w:rsidRPr="00AA0424">
        <w:rPr>
          <w:u w:val="single"/>
        </w:rPr>
        <w:t xml:space="preserve">the best enforcement </w:t>
      </w:r>
      <w:r>
        <w:t xml:space="preserve">mechanism, the best agent, all with </w:t>
      </w:r>
      <w:r w:rsidRPr="00AA0424">
        <w:rPr>
          <w:u w:val="single"/>
        </w:rPr>
        <w:t>any exceptions</w:t>
      </w:r>
      <w:r>
        <w:t xml:space="preserve"> they want in conjunction with each other. Frame this standard through norm setting – best specifications make it extremely easy to delink out of core neg generics especially when it’s the fifth round on the topic. It also causes shiftiness since no 1AC solvency advocate for the WTO means that the 1ar can redefine normal means through their solvency advocate and delink out of all neg positions that don’t link to FDA approval </w:t>
      </w:r>
    </w:p>
    <w:p w14:paraId="1065BEDF" w14:textId="2298EDA3" w:rsidR="00734650" w:rsidRDefault="00734650" w:rsidP="00734650">
      <w:pPr>
        <w:pStyle w:val="Heading2"/>
      </w:pPr>
      <w:r>
        <w:lastRenderedPageBreak/>
        <w:t>2</w:t>
      </w:r>
    </w:p>
    <w:p w14:paraId="5F35640C" w14:textId="77777777" w:rsidR="00606BC0" w:rsidRDefault="00606BC0" w:rsidP="00606BC0">
      <w:pPr>
        <w:pStyle w:val="Heading4"/>
        <w:rPr>
          <w:rFonts w:cs="Calibri"/>
        </w:rPr>
      </w:pPr>
      <w:r w:rsidRPr="00714CF4">
        <w:rPr>
          <w:rFonts w:cs="Calibri"/>
        </w:rPr>
        <w:t>Interpretation</w:t>
      </w:r>
      <w:r>
        <w:rPr>
          <w:rFonts w:cs="Calibri"/>
        </w:rPr>
        <w:t>: Affirmatives must defend a reduction in intellectual property for medicines.</w:t>
      </w:r>
    </w:p>
    <w:p w14:paraId="1E4C104E" w14:textId="77777777" w:rsidR="00606BC0" w:rsidRPr="003D5952" w:rsidRDefault="00606BC0" w:rsidP="00606BC0">
      <w:pPr>
        <w:pStyle w:val="Heading4"/>
        <w:rPr>
          <w:rFonts w:eastAsia="MS Gothic"/>
        </w:rPr>
      </w:pP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671A420C" w14:textId="77777777" w:rsidR="00606BC0" w:rsidRPr="003D5952" w:rsidRDefault="00606BC0" w:rsidP="00606BC0">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7564ABA9" w14:textId="77777777" w:rsidR="00606BC0" w:rsidRPr="003D5952" w:rsidRDefault="00606BC0" w:rsidP="00606BC0">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321A626A" w14:textId="77777777" w:rsidR="00606BC0" w:rsidRPr="003D5952" w:rsidRDefault="00606BC0" w:rsidP="00606BC0">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393E4544" w14:textId="77777777" w:rsidR="00606BC0" w:rsidRPr="00CB0CA2" w:rsidRDefault="00606BC0" w:rsidP="00606BC0">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24F4037E" w14:textId="77777777" w:rsidR="00606BC0" w:rsidRPr="00311F58" w:rsidRDefault="00606BC0" w:rsidP="00606BC0">
      <w:pPr>
        <w:pStyle w:val="Heading4"/>
        <w:rPr>
          <w:rFonts w:cs="Calibri"/>
          <w:b w:val="0"/>
          <w:iCs/>
          <w:sz w:val="22"/>
          <w:u w:val="single"/>
        </w:rPr>
      </w:pPr>
      <w:r>
        <w:t xml:space="preserve">Violation: </w:t>
      </w:r>
    </w:p>
    <w:p w14:paraId="4036BEAF" w14:textId="77777777" w:rsidR="00606BC0" w:rsidRDefault="00606BC0" w:rsidP="00606BC0"/>
    <w:p w14:paraId="0F3E051C" w14:textId="77777777" w:rsidR="00606BC0" w:rsidRPr="000F0F15" w:rsidRDefault="00606BC0" w:rsidP="00606BC0">
      <w:pPr>
        <w:pStyle w:val="Heading4"/>
        <w:rPr>
          <w:rFonts w:cs="Calibri"/>
        </w:rPr>
      </w:pPr>
      <w:r w:rsidRPr="000F0F15">
        <w:rPr>
          <w:rFonts w:cs="Calibri"/>
        </w:rPr>
        <w:lastRenderedPageBreak/>
        <w:t>Vote neg:</w:t>
      </w:r>
    </w:p>
    <w:p w14:paraId="5956CC3A" w14:textId="77777777" w:rsidR="00606BC0" w:rsidRDefault="00606BC0" w:rsidP="00606BC0">
      <w:pPr>
        <w:pStyle w:val="Heading4"/>
      </w:pPr>
      <w:r>
        <w:t xml:space="preserve">1] </w:t>
      </w:r>
      <w:r w:rsidRPr="005F3BCD">
        <w:t>Limits</w:t>
      </w:r>
      <w:r>
        <w:t xml:space="preserve"> and ground</w:t>
      </w:r>
      <w:r w:rsidRPr="005F3BCD">
        <w:t xml:space="preserve">– </w:t>
      </w:r>
      <w:r w:rsidRPr="00CB0CA2">
        <w:t xml:space="preserve">they can read infinite </w:t>
      </w:r>
      <w:proofErr w:type="spellStart"/>
      <w:r w:rsidRPr="00CB0CA2">
        <w:t>affs</w:t>
      </w:r>
      <w:proofErr w:type="spellEnd"/>
      <w:r w:rsidRPr="00CB0CA2">
        <w:t xml:space="preserve"> precluding future increases that is unpredictable and we can’t have offense </w:t>
      </w:r>
      <w:proofErr w:type="gramStart"/>
      <w:r w:rsidRPr="00CB0CA2">
        <w:t>i.e.</w:t>
      </w:r>
      <w:proofErr w:type="gramEnd"/>
      <w:r w:rsidRPr="00CB0CA2">
        <w:t xml:space="preserve"> not getting a patent 100 years in the future or </w:t>
      </w:r>
      <w:r>
        <w:t>something</w:t>
      </w:r>
      <w:r w:rsidRPr="00CB0CA2">
        <w:t xml:space="preserve"> so they will always win on specificity</w:t>
      </w:r>
    </w:p>
    <w:p w14:paraId="71E5AABA" w14:textId="77777777" w:rsidR="00606BC0" w:rsidRPr="00DB5A61" w:rsidRDefault="00606BC0" w:rsidP="00606BC0">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12D3A3B9" w14:textId="77777777" w:rsidR="00606BC0" w:rsidRPr="002F7767" w:rsidRDefault="00606BC0" w:rsidP="00606BC0">
      <w:pPr>
        <w:pStyle w:val="Heading4"/>
        <w:rPr>
          <w:rFonts w:cs="Calibri"/>
        </w:rPr>
      </w:pPr>
      <w:r>
        <w:rPr>
          <w:rFonts w:cs="Calibri"/>
        </w:rPr>
        <w:t>3</w:t>
      </w:r>
      <w:r w:rsidRPr="00FF172F">
        <w:rPr>
          <w:rFonts w:cs="Calibri"/>
        </w:rPr>
        <w:t>] TVA –</w:t>
      </w:r>
      <w:r>
        <w:rPr>
          <w:rFonts w:cs="Calibri"/>
        </w:rPr>
        <w:t xml:space="preserve"> defend the advantage to with the whole rez</w:t>
      </w:r>
      <w:r w:rsidRPr="00FF172F">
        <w:rPr>
          <w:rFonts w:cs="Calibri"/>
        </w:rPr>
        <w:t xml:space="preserve">. </w:t>
      </w:r>
      <w:r w:rsidRPr="006C434D">
        <w:rPr>
          <w:rFonts w:cs="Calibri"/>
        </w:rPr>
        <w:t xml:space="preserve">We don’t prevent new FWs, mechanisms, or advantages. </w:t>
      </w:r>
      <w:r>
        <w:rPr>
          <w:rFonts w:cs="Calibri"/>
        </w:rPr>
        <w:t xml:space="preserve">Evergreening already answers core neg ground like innovation – no reason why you need to delink out of it.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5C3CB750" w14:textId="77777777" w:rsidR="00606BC0" w:rsidRDefault="00606BC0" w:rsidP="00606BC0">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051605D" w14:textId="77777777" w:rsidR="00606BC0" w:rsidRDefault="00606BC0" w:rsidP="00606BC0">
      <w:pPr>
        <w:pStyle w:val="Heading4"/>
      </w:pPr>
      <w:r>
        <w:t>Drop the debater – a] deter future abuse and b] set better norms for debate.</w:t>
      </w:r>
    </w:p>
    <w:p w14:paraId="6CEAA3A1" w14:textId="77777777" w:rsidR="00606BC0" w:rsidRDefault="00606BC0" w:rsidP="00606BC0">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0943B26" w14:textId="77777777" w:rsidR="00606BC0" w:rsidRPr="00B91164" w:rsidRDefault="00606BC0" w:rsidP="00606BC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1ADC465" w14:textId="77777777" w:rsidR="00606BC0" w:rsidRDefault="00606BC0" w:rsidP="00606BC0"/>
    <w:p w14:paraId="1D242AC2" w14:textId="77777777" w:rsidR="00734650" w:rsidRPr="00E85BA2" w:rsidRDefault="00734650" w:rsidP="00734650"/>
    <w:p w14:paraId="6268F896" w14:textId="3EFCEE56" w:rsidR="00734650" w:rsidRDefault="00734650" w:rsidP="00734650">
      <w:pPr>
        <w:pStyle w:val="Heading2"/>
      </w:pPr>
      <w:r>
        <w:lastRenderedPageBreak/>
        <w:t>3</w:t>
      </w:r>
    </w:p>
    <w:p w14:paraId="25D25F20" w14:textId="77777777" w:rsidR="00734650" w:rsidRDefault="00734650" w:rsidP="00734650">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1298289E" w14:textId="77777777" w:rsidR="00734650" w:rsidRPr="00FB3283" w:rsidRDefault="00734650" w:rsidP="00734650">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9" w:history="1">
        <w:r w:rsidRPr="00297C2F">
          <w:rPr>
            <w:rStyle w:val="Hyperlink"/>
          </w:rPr>
          <w:t>https://www.law360.com/competition/articles/1418789/interest-groups-back-big-tech-antitrust-bills-in-house</w:t>
        </w:r>
      </w:hyperlink>
      <w:r>
        <w:t>] Justin</w:t>
      </w:r>
    </w:p>
    <w:p w14:paraId="725AEEA4" w14:textId="77777777" w:rsidR="00734650" w:rsidRPr="00FB3283" w:rsidRDefault="00734650" w:rsidP="00734650">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w:t>
      </w:r>
      <w:proofErr w:type="spellStart"/>
      <w:r w:rsidRPr="00FB3283">
        <w:rPr>
          <w:sz w:val="16"/>
        </w:rPr>
        <w:t>Slaiman</w:t>
      </w:r>
      <w:proofErr w:type="spellEnd"/>
      <w:r w:rsidRPr="00FB3283">
        <w:rPr>
          <w:sz w:val="16"/>
        </w:rPr>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w:t>
      </w:r>
      <w:proofErr w:type="spellStart"/>
      <w:r w:rsidRPr="00FB3283">
        <w:rPr>
          <w:sz w:val="16"/>
        </w:rPr>
        <w:t>Slaiman</w:t>
      </w:r>
      <w:proofErr w:type="spellEnd"/>
      <w:r w:rsidRPr="00FB3283">
        <w:rPr>
          <w:sz w:val="16"/>
        </w:rPr>
        <w:t xml:space="preserve"> said. The letter contends that </w:t>
      </w:r>
      <w:r w:rsidRPr="00FB3283">
        <w:rPr>
          <w:u w:val="single"/>
        </w:rPr>
        <w:t xml:space="preserve">America has a </w:t>
      </w:r>
      <w:r w:rsidRPr="00FB3283">
        <w:rPr>
          <w:rStyle w:val="Emphasis"/>
        </w:rPr>
        <w:t xml:space="preserve">monopoly problem that is resulting in lower wages, reduced </w:t>
      </w:r>
      <w:proofErr w:type="gramStart"/>
      <w:r w:rsidRPr="00FB3283">
        <w:rPr>
          <w:rStyle w:val="Emphasis"/>
        </w:rPr>
        <w:t>innovation</w:t>
      </w:r>
      <w:proofErr w:type="gramEnd"/>
      <w:r w:rsidRPr="00FB3283">
        <w:rPr>
          <w:rStyle w:val="Emphasis"/>
        </w:rPr>
        <w:t xml:space="preserve">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w:t>
      </w:r>
      <w:proofErr w:type="gramStart"/>
      <w:r w:rsidRPr="00FB3283">
        <w:rPr>
          <w:rStyle w:val="Emphasis"/>
        </w:rPr>
        <w:t>Facebook</w:t>
      </w:r>
      <w:proofErr w:type="gramEnd"/>
      <w:r w:rsidRPr="00FB3283">
        <w:rPr>
          <w:rStyle w:val="Emphasis"/>
        </w:rPr>
        <w:t xml:space="preserve">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w:t>
      </w:r>
      <w:r w:rsidRPr="00FB3283">
        <w:rPr>
          <w:sz w:val="16"/>
        </w:rPr>
        <w:lastRenderedPageBreak/>
        <w:t xml:space="preserve">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w:t>
      </w:r>
      <w:proofErr w:type="gramStart"/>
      <w:r w:rsidRPr="00FB3283">
        <w:rPr>
          <w:sz w:val="16"/>
        </w:rPr>
        <w:t>actually result</w:t>
      </w:r>
      <w:proofErr w:type="gramEnd"/>
      <w:r w:rsidRPr="00FB3283">
        <w:rPr>
          <w:sz w:val="16"/>
        </w:rPr>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rPr>
          <w:sz w:val="16"/>
        </w:rPr>
        <w:t>The</w:t>
      </w:r>
      <w:proofErr w:type="gramEnd"/>
      <w:r w:rsidRPr="00FB3283">
        <w:rPr>
          <w:sz w:val="16"/>
        </w:rPr>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rPr>
          <w:sz w:val="16"/>
        </w:rPr>
        <w:t>The</w:t>
      </w:r>
      <w:proofErr w:type="gramEnd"/>
      <w:r w:rsidRPr="00FB3283">
        <w:rPr>
          <w:sz w:val="16"/>
        </w:rPr>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FB3283">
        <w:rPr>
          <w:sz w:val="16"/>
        </w:rPr>
        <w:t>Instagram</w:t>
      </w:r>
      <w:proofErr w:type="gramEnd"/>
      <w:r w:rsidRPr="00FB3283">
        <w:rPr>
          <w:sz w:val="16"/>
        </w:rPr>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rPr>
          <w:sz w:val="16"/>
        </w:rPr>
        <w:t>key way</w:t>
      </w:r>
      <w:proofErr w:type="gramEnd"/>
      <w:r w:rsidRPr="00FB3283">
        <w:rPr>
          <w:sz w:val="16"/>
        </w:rPr>
        <w:t xml:space="preserve"> for founders to benefit from their success. An American Enterprise Institute blog post from June argues that "opportunities for acquisition have been important drivers of innovation in tech" </w:t>
      </w:r>
      <w:proofErr w:type="gramStart"/>
      <w:r w:rsidRPr="00FB3283">
        <w:rPr>
          <w:sz w:val="16"/>
        </w:rPr>
        <w:t>and also</w:t>
      </w:r>
      <w:proofErr w:type="gramEnd"/>
      <w:r w:rsidRPr="00FB3283">
        <w:rPr>
          <w:sz w:val="16"/>
        </w:rPr>
        <w:t xml:space="preserve"> said the bill would prevent the tech companies from entering new areas of business to compete with each other. ACCESS Act </w:t>
      </w:r>
      <w:proofErr w:type="gramStart"/>
      <w:r w:rsidRPr="00FB3283">
        <w:rPr>
          <w:sz w:val="16"/>
        </w:rPr>
        <w:t>The</w:t>
      </w:r>
      <w:proofErr w:type="gramEnd"/>
      <w:r w:rsidRPr="00FB3283">
        <w:rPr>
          <w:sz w:val="16"/>
        </w:rPr>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w:t>
      </w:r>
      <w:proofErr w:type="gramStart"/>
      <w:r w:rsidRPr="00FB3283">
        <w:rPr>
          <w:sz w:val="16"/>
        </w:rPr>
        <w:t>actually make</w:t>
      </w:r>
      <w:proofErr w:type="gramEnd"/>
      <w:r w:rsidRPr="00FB3283">
        <w:rPr>
          <w:sz w:val="16"/>
        </w:rPr>
        <w:t xml:space="preserve"> rivals even more dependent on the incumbent platforms. Filing fees and state enforcement </w:t>
      </w:r>
      <w:proofErr w:type="gramStart"/>
      <w:r w:rsidRPr="00FB3283">
        <w:rPr>
          <w:sz w:val="16"/>
        </w:rPr>
        <w:t>Of</w:t>
      </w:r>
      <w:proofErr w:type="gramEnd"/>
      <w:r w:rsidRPr="00FB3283">
        <w:rPr>
          <w:sz w:val="16"/>
        </w:rPr>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FB3283">
        <w:rPr>
          <w:sz w:val="16"/>
        </w:rPr>
        <w:t>in order to</w:t>
      </w:r>
      <w:proofErr w:type="gramEnd"/>
      <w:r w:rsidRPr="00FB3283">
        <w:rPr>
          <w:sz w:val="16"/>
        </w:rPr>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rPr>
          <w:sz w:val="16"/>
        </w:rPr>
        <w:t>similar to</w:t>
      </w:r>
      <w:proofErr w:type="gramEnd"/>
      <w:r w:rsidRPr="00FB3283">
        <w:rPr>
          <w:sz w:val="16"/>
        </w:rPr>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rPr>
          <w:sz w:val="16"/>
        </w:rPr>
        <w:t>enforcers, but</w:t>
      </w:r>
      <w:proofErr w:type="gramEnd"/>
      <w:r w:rsidRPr="00FB3283">
        <w:rPr>
          <w:sz w:val="16"/>
        </w:rPr>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w:t>
      </w:r>
      <w:r w:rsidRPr="00FB3283">
        <w:rPr>
          <w:u w:val="single"/>
        </w:rPr>
        <w:lastRenderedPageBreak/>
        <w:t xml:space="preserve">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25820117" w14:textId="77777777" w:rsidR="00734650" w:rsidRDefault="00734650" w:rsidP="00734650"/>
    <w:p w14:paraId="07709E69" w14:textId="77777777" w:rsidR="00734650" w:rsidRDefault="00734650" w:rsidP="00734650">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679C776" w14:textId="77777777" w:rsidR="00734650" w:rsidRDefault="00734650" w:rsidP="00734650">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08E5BEE1" w14:textId="77777777" w:rsidR="00734650" w:rsidRPr="008B501C" w:rsidRDefault="00734650" w:rsidP="00734650">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70D87C60" w14:textId="77777777" w:rsidR="00734650" w:rsidRPr="00C86CC7" w:rsidRDefault="00734650" w:rsidP="00734650">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3C286962" w14:textId="77777777" w:rsidR="00734650" w:rsidRPr="00C86CC7" w:rsidRDefault="00734650" w:rsidP="00734650">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755FADD7" w14:textId="77777777" w:rsidR="00734650" w:rsidRDefault="00734650" w:rsidP="00734650">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729CF7C1" w14:textId="77777777" w:rsidR="00734650" w:rsidRPr="00CB0CA2" w:rsidRDefault="00734650" w:rsidP="00734650">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w:t>
      </w:r>
      <w:r w:rsidRPr="00CB0CA2">
        <w:rPr>
          <w:sz w:val="16"/>
        </w:rPr>
        <w:t>based on cutting-edge discoveries using messenger RNA.</w:t>
      </w:r>
    </w:p>
    <w:p w14:paraId="0AD9A1A0" w14:textId="77777777" w:rsidR="00734650" w:rsidRPr="00712735" w:rsidRDefault="00734650" w:rsidP="00734650">
      <w:pPr>
        <w:rPr>
          <w:u w:val="single"/>
        </w:rPr>
      </w:pPr>
      <w:r w:rsidRPr="00CB0CA2">
        <w:rPr>
          <w:sz w:val="16"/>
        </w:rPr>
        <w:t xml:space="preserve">As </w:t>
      </w:r>
      <w:proofErr w:type="spellStart"/>
      <w:r w:rsidRPr="00CB0CA2">
        <w:rPr>
          <w:sz w:val="16"/>
        </w:rPr>
        <w:t>Moderna</w:t>
      </w:r>
      <w:proofErr w:type="spellEnd"/>
      <w:r w:rsidRPr="00CB0CA2">
        <w:rPr>
          <w:sz w:val="16"/>
        </w:rPr>
        <w:t xml:space="preserve"> Chief Executive Stephane </w:t>
      </w:r>
      <w:proofErr w:type="spellStart"/>
      <w:r w:rsidRPr="00CB0CA2">
        <w:rPr>
          <w:sz w:val="16"/>
        </w:rPr>
        <w:t>Bancel</w:t>
      </w:r>
      <w:proofErr w:type="spellEnd"/>
      <w:r w:rsidRPr="00CB0CA2">
        <w:rPr>
          <w:sz w:val="16"/>
        </w:rPr>
        <w:t xml:space="preserve"> said on a recent earnings call, “</w:t>
      </w:r>
      <w:r w:rsidRPr="00CB0CA2">
        <w:rPr>
          <w:u w:val="single"/>
        </w:rPr>
        <w:t xml:space="preserve">This is a new technology. You </w:t>
      </w:r>
      <w:r w:rsidRPr="00CB0CA2">
        <w:rPr>
          <w:rStyle w:val="Emphasis"/>
        </w:rPr>
        <w:t>cannot go hire people who know how to make the mRNA</w:t>
      </w:r>
      <w:r w:rsidRPr="00CB0CA2">
        <w:rPr>
          <w:u w:val="single"/>
        </w:rPr>
        <w:t xml:space="preserve">. Those people </w:t>
      </w:r>
      <w:r w:rsidRPr="00CB0CA2">
        <w:rPr>
          <w:rStyle w:val="Emphasis"/>
        </w:rPr>
        <w:t>don’t exist</w:t>
      </w:r>
      <w:r w:rsidRPr="00CB0CA2">
        <w:rPr>
          <w:u w:val="single"/>
        </w:rPr>
        <w:t xml:space="preserve">. And then even if all those things were available, whoever wants to do mRNA vaccines will have to, you know, </w:t>
      </w:r>
      <w:r w:rsidRPr="00CB0CA2">
        <w:rPr>
          <w:rStyle w:val="Emphasis"/>
        </w:rPr>
        <w:t>buy the machine, invent the manufacturing process, invent creation processes</w:t>
      </w:r>
      <w:r w:rsidRPr="00CB0CA2">
        <w:rPr>
          <w:u w:val="single"/>
        </w:rPr>
        <w:t xml:space="preserve"> and ethical processes, and then they will have to go run a clinical trial, get the data, get the product approved and scale manufacturing. This doesn’t happen in six or 12 or 18 months.”</w:t>
      </w:r>
    </w:p>
    <w:p w14:paraId="5A1A2A00" w14:textId="77777777" w:rsidR="00734650" w:rsidRPr="008B501C" w:rsidRDefault="00734650" w:rsidP="00734650">
      <w:pPr>
        <w:rPr>
          <w:sz w:val="16"/>
        </w:rPr>
      </w:pPr>
      <w:r w:rsidRPr="008B501C">
        <w:rPr>
          <w:sz w:val="16"/>
        </w:rPr>
        <w:lastRenderedPageBreak/>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p>
    <w:p w14:paraId="38CA28A7" w14:textId="77777777" w:rsidR="00734650" w:rsidRPr="00F85024" w:rsidRDefault="00734650" w:rsidP="00734650">
      <w:pPr>
        <w:rPr>
          <w:sz w:val="16"/>
        </w:rPr>
      </w:pPr>
      <w:r w:rsidRPr="00F85024">
        <w:rPr>
          <w:sz w:val="16"/>
        </w:rPr>
        <w:t>Those claiming the waiver poses an immediate, rather than long-term, threat to IP rights also misunderstand what the waiver will—and won’t—do.</w:t>
      </w:r>
    </w:p>
    <w:p w14:paraId="3E8662AA" w14:textId="77777777" w:rsidR="00734650" w:rsidRPr="00F85024" w:rsidRDefault="00734650" w:rsidP="00734650">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4483DEFC" w14:textId="77777777" w:rsidR="00734650" w:rsidRPr="008B501C" w:rsidRDefault="00734650" w:rsidP="00734650">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120E517A" w14:textId="77777777" w:rsidR="00734650" w:rsidRPr="008B501C" w:rsidRDefault="00734650" w:rsidP="00734650">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4A586653" w14:textId="77777777" w:rsidR="00734650" w:rsidRDefault="00734650" w:rsidP="00734650"/>
    <w:p w14:paraId="3C5A500D" w14:textId="77777777" w:rsidR="00734650" w:rsidRPr="00C95041" w:rsidRDefault="00734650" w:rsidP="00734650">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6FBDCAA7" w14:textId="77777777" w:rsidR="00734650" w:rsidRDefault="00734650" w:rsidP="00734650">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1"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5F1450E4" w14:textId="77777777" w:rsidR="00734650" w:rsidRPr="00FB3283" w:rsidRDefault="00734650" w:rsidP="00734650">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lastRenderedPageBreak/>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29702E25" w14:textId="77777777" w:rsidR="00734650" w:rsidRDefault="00734650" w:rsidP="00734650">
      <w:pPr>
        <w:rPr>
          <w:sz w:val="16"/>
        </w:rPr>
      </w:pPr>
    </w:p>
    <w:p w14:paraId="4FA709D2" w14:textId="77777777" w:rsidR="00734650" w:rsidRPr="00FB3283" w:rsidRDefault="00734650" w:rsidP="00734650">
      <w:pPr>
        <w:pStyle w:val="Heading4"/>
      </w:pPr>
      <w:r>
        <w:t xml:space="preserve">That solves </w:t>
      </w:r>
      <w:r>
        <w:rPr>
          <w:u w:val="single"/>
        </w:rPr>
        <w:t>extinction</w:t>
      </w:r>
      <w:r>
        <w:t xml:space="preserve"> through </w:t>
      </w:r>
      <w:r w:rsidRPr="00FB3283">
        <w:rPr>
          <w:u w:val="single"/>
        </w:rPr>
        <w:t>great power war</w:t>
      </w:r>
      <w:r>
        <w:t>.</w:t>
      </w:r>
    </w:p>
    <w:p w14:paraId="5630A8F6" w14:textId="77777777" w:rsidR="00734650" w:rsidRDefault="00734650" w:rsidP="00734650">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2" w:history="1">
        <w:r w:rsidRPr="00C944A1">
          <w:rPr>
            <w:rStyle w:val="Hyperlink"/>
          </w:rPr>
          <w:t>https://americanmilitarynews.com/2019/10/strengthen-us-industry-to-counter-national-security-challenges/</w:t>
        </w:r>
      </w:hyperlink>
      <w:r>
        <w:t>] Justin</w:t>
      </w:r>
    </w:p>
    <w:p w14:paraId="23CEBFE2" w14:textId="77777777" w:rsidR="00734650" w:rsidRPr="00462687" w:rsidRDefault="00734650" w:rsidP="00734650">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 xml:space="preserve">jets, </w:t>
      </w:r>
      <w:proofErr w:type="gramStart"/>
      <w:r w:rsidRPr="00FB3283">
        <w:rPr>
          <w:rStyle w:val="Emphasis"/>
          <w:highlight w:val="green"/>
        </w:rPr>
        <w:t>ICBMs</w:t>
      </w:r>
      <w:proofErr w:type="gramEnd"/>
      <w:r w:rsidRPr="00FB3283">
        <w:rPr>
          <w:rStyle w:val="Emphasis"/>
          <w:highlight w:val="green"/>
        </w:rPr>
        <w:t xml:space="preserve">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 xml:space="preserve">The People’s </w:t>
      </w:r>
      <w:r w:rsidRPr="00462687">
        <w:rPr>
          <w:u w:val="single"/>
        </w:rPr>
        <w:lastRenderedPageBreak/>
        <w:t>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w:t>
      </w:r>
      <w:proofErr w:type="gramStart"/>
      <w:r w:rsidRPr="00FB3283">
        <w:rPr>
          <w:sz w:val="8"/>
        </w:rPr>
        <w:t>patents</w:t>
      </w:r>
      <w:proofErr w:type="gramEnd"/>
      <w:r w:rsidRPr="00FB3283">
        <w:rPr>
          <w:sz w:val="8"/>
        </w:rPr>
        <w:t xml:space="preserve">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4DA404C3" w14:textId="77777777" w:rsidR="00734650" w:rsidRDefault="00734650" w:rsidP="00734650"/>
    <w:p w14:paraId="28578781" w14:textId="77777777" w:rsidR="00734650" w:rsidRDefault="00734650" w:rsidP="00734650"/>
    <w:p w14:paraId="4362C297" w14:textId="389D51A8" w:rsidR="00606BC0" w:rsidRPr="00606BC0" w:rsidRDefault="00CB0CA2" w:rsidP="00606BC0">
      <w:pPr>
        <w:pStyle w:val="Heading2"/>
      </w:pPr>
      <w:r>
        <w:lastRenderedPageBreak/>
        <w:t>4</w:t>
      </w:r>
    </w:p>
    <w:p w14:paraId="3ECFF6F1" w14:textId="77777777" w:rsidR="00606BC0" w:rsidRDefault="00606BC0" w:rsidP="00606BC0">
      <w:pPr>
        <w:pStyle w:val="Heading4"/>
      </w:pPr>
      <w:r>
        <w:t xml:space="preserve">The member nations of the World Trade Organization </w:t>
      </w:r>
      <w:r w:rsidRPr="00544110">
        <w:rPr>
          <w:u w:val="single"/>
        </w:rPr>
        <w:t>except for the United States</w:t>
      </w:r>
      <w:r>
        <w:t xml:space="preserve"> ought to reduce intellectual property protections for medicines by implementing a one-and-done approach for patent protection.</w:t>
      </w:r>
    </w:p>
    <w:p w14:paraId="4B415E75" w14:textId="77777777" w:rsidR="00606BC0" w:rsidRDefault="00606BC0" w:rsidP="00606BC0"/>
    <w:p w14:paraId="25D17F5A" w14:textId="77777777" w:rsidR="00606BC0" w:rsidRDefault="00606BC0" w:rsidP="00606BC0">
      <w:pPr>
        <w:pStyle w:val="Heading4"/>
      </w:pPr>
      <w:r>
        <w:t xml:space="preserve">The United States ought to [reduce intellectual property protections for medicines by implementing a one-and-done approach for patent protection through a </w:t>
      </w:r>
      <w:r w:rsidRPr="00544110">
        <w:rPr>
          <w:u w:val="single"/>
        </w:rPr>
        <w:t>supreme court decision</w:t>
      </w:r>
      <w:r>
        <w:t xml:space="preserve"> by petitioning the PTAB and getting a formal ruling from APJs.</w:t>
      </w:r>
    </w:p>
    <w:p w14:paraId="710F7928" w14:textId="77777777" w:rsidR="00606BC0" w:rsidRDefault="00606BC0" w:rsidP="00606BC0"/>
    <w:p w14:paraId="79A7EF16" w14:textId="77777777" w:rsidR="00606BC0" w:rsidRDefault="00606BC0" w:rsidP="00606BC0">
      <w:pPr>
        <w:pStyle w:val="Heading4"/>
      </w:pPr>
      <w:r>
        <w:t xml:space="preserve">APJs have the </w:t>
      </w:r>
      <w:r w:rsidRPr="00544110">
        <w:rPr>
          <w:u w:val="single"/>
        </w:rPr>
        <w:t>authority</w:t>
      </w:r>
      <w:r>
        <w:t xml:space="preserve"> to rule on </w:t>
      </w:r>
      <w:r w:rsidRPr="00544110">
        <w:rPr>
          <w:u w:val="single"/>
        </w:rPr>
        <w:t>intellectual property</w:t>
      </w:r>
      <w:r>
        <w:t xml:space="preserve">---the CP </w:t>
      </w:r>
      <w:r w:rsidRPr="00544110">
        <w:rPr>
          <w:u w:val="single"/>
        </w:rPr>
        <w:t>solves case</w:t>
      </w:r>
      <w:r>
        <w:t>.</w:t>
      </w:r>
    </w:p>
    <w:p w14:paraId="3A8C0D10" w14:textId="77777777" w:rsidR="00606BC0" w:rsidRPr="00544110" w:rsidRDefault="00606BC0" w:rsidP="00606BC0">
      <w:r w:rsidRPr="00544110">
        <w:rPr>
          <w:rStyle w:val="Style13ptBold"/>
        </w:rPr>
        <w:t>Mosier 21</w:t>
      </w:r>
      <w:r>
        <w:t xml:space="preserve"> [Kevin; 8/9/21; “</w:t>
      </w:r>
      <w:r w:rsidRPr="00544110">
        <w:rPr>
          <w:i/>
          <w:iCs/>
        </w:rPr>
        <w:t>Supreme Court Finds Constitutional Violation in Patent Challenges, But Provides Quick Fix</w:t>
      </w:r>
      <w:r>
        <w:t xml:space="preserve">,” </w:t>
      </w:r>
      <w:proofErr w:type="spellStart"/>
      <w:r>
        <w:t>JDSupra</w:t>
      </w:r>
      <w:proofErr w:type="spellEnd"/>
      <w:r>
        <w:t xml:space="preserve">, </w:t>
      </w:r>
      <w:hyperlink r:id="rId13" w:history="1">
        <w:r w:rsidRPr="00297C2F">
          <w:rPr>
            <w:rStyle w:val="Hyperlink"/>
          </w:rPr>
          <w:t>https://www.jdsupra.com/legalnews/supreme-court-finds-constitutional-4702991/</w:t>
        </w:r>
      </w:hyperlink>
      <w:r>
        <w:t>] Justin</w:t>
      </w:r>
    </w:p>
    <w:p w14:paraId="29DDF236" w14:textId="77777777" w:rsidR="00606BC0" w:rsidRPr="00544110" w:rsidRDefault="00606BC0" w:rsidP="00606BC0">
      <w:pPr>
        <w:rPr>
          <w:sz w:val="16"/>
        </w:rPr>
      </w:pPr>
      <w:r w:rsidRPr="00544110">
        <w:rPr>
          <w:sz w:val="16"/>
        </w:rPr>
        <w:t xml:space="preserve">For those familiar with inter </w:t>
      </w:r>
      <w:proofErr w:type="spellStart"/>
      <w:r w:rsidRPr="00544110">
        <w:rPr>
          <w:sz w:val="16"/>
        </w:rPr>
        <w:t>partes</w:t>
      </w:r>
      <w:proofErr w:type="spellEnd"/>
      <w:r w:rsidRPr="00544110">
        <w:rPr>
          <w:sz w:val="16"/>
        </w:rPr>
        <w:t xml:space="preserve"> review—or IPR, as it is known—</w:t>
      </w:r>
      <w:r w:rsidRPr="004E3667">
        <w:rPr>
          <w:u w:val="single"/>
        </w:rPr>
        <w:t xml:space="preserve">the recent </w:t>
      </w:r>
      <w:r w:rsidRPr="00544110">
        <w:rPr>
          <w:rStyle w:val="Emphasis"/>
          <w:highlight w:val="green"/>
        </w:rPr>
        <w:t>Supreme Court decision</w:t>
      </w:r>
      <w:r w:rsidRPr="00544110">
        <w:rPr>
          <w:rStyle w:val="Emphasis"/>
        </w:rPr>
        <w:t xml:space="preserve"> in U.S. v. Arthrex</w:t>
      </w:r>
      <w:r w:rsidRPr="004E3667">
        <w:rPr>
          <w:u w:val="single"/>
        </w:rPr>
        <w:t xml:space="preserve"> was much </w:t>
      </w:r>
      <w:r w:rsidRPr="00544110">
        <w:rPr>
          <w:rStyle w:val="Emphasis"/>
        </w:rPr>
        <w:t xml:space="preserve">anticipated because it carried with it the </w:t>
      </w:r>
      <w:r w:rsidRPr="00544110">
        <w:rPr>
          <w:rStyle w:val="Emphasis"/>
          <w:highlight w:val="green"/>
        </w:rPr>
        <w:t>potential to upend</w:t>
      </w:r>
      <w:r w:rsidRPr="00544110">
        <w:rPr>
          <w:rStyle w:val="Emphasis"/>
        </w:rPr>
        <w:t xml:space="preserve"> the entire </w:t>
      </w:r>
      <w:r w:rsidRPr="00544110">
        <w:rPr>
          <w:rStyle w:val="Emphasis"/>
          <w:highlight w:val="green"/>
        </w:rPr>
        <w:t>IPR</w:t>
      </w:r>
      <w:r w:rsidRPr="00544110">
        <w:rPr>
          <w:rStyle w:val="Emphasis"/>
        </w:rPr>
        <w:t xml:space="preserve"> system</w:t>
      </w:r>
      <w:r w:rsidRPr="00544110">
        <w:rPr>
          <w:sz w:val="16"/>
        </w:rPr>
        <w:t xml:space="preserve">. IPR has been popular with patent challengers and trial court defendants since 2012, when the America Invents Act (“AIA”) took effect. </w:t>
      </w:r>
      <w:r w:rsidRPr="004E3667">
        <w:rPr>
          <w:u w:val="single"/>
        </w:rPr>
        <w:t xml:space="preserve">Any </w:t>
      </w:r>
      <w:r w:rsidRPr="00544110">
        <w:rPr>
          <w:rStyle w:val="Emphasis"/>
          <w:highlight w:val="green"/>
        </w:rPr>
        <w:t>person</w:t>
      </w:r>
      <w:r w:rsidRPr="00544110">
        <w:rPr>
          <w:rStyle w:val="Emphasis"/>
        </w:rPr>
        <w:t xml:space="preserve"> or entity</w:t>
      </w:r>
      <w:r w:rsidRPr="004E3667">
        <w:rPr>
          <w:u w:val="single"/>
        </w:rPr>
        <w:t xml:space="preserve"> may </w:t>
      </w:r>
      <w:r w:rsidRPr="00544110">
        <w:rPr>
          <w:highlight w:val="green"/>
          <w:u w:val="single"/>
        </w:rPr>
        <w:t>challenge</w:t>
      </w:r>
      <w:r w:rsidRPr="004E3667">
        <w:rPr>
          <w:u w:val="single"/>
        </w:rPr>
        <w:t xml:space="preserve"> the </w:t>
      </w:r>
      <w:r w:rsidRPr="00544110">
        <w:rPr>
          <w:rStyle w:val="Emphasis"/>
        </w:rPr>
        <w:t xml:space="preserve">validity of a patent </w:t>
      </w:r>
      <w:r w:rsidRPr="00544110">
        <w:rPr>
          <w:rStyle w:val="Emphasis"/>
          <w:highlight w:val="green"/>
        </w:rPr>
        <w:t>by petitioning</w:t>
      </w:r>
      <w:r w:rsidRPr="00544110">
        <w:rPr>
          <w:rStyle w:val="Emphasis"/>
        </w:rPr>
        <w:t xml:space="preserve"> the </w:t>
      </w:r>
      <w:r w:rsidRPr="00544110">
        <w:rPr>
          <w:rStyle w:val="Emphasis"/>
          <w:highlight w:val="green"/>
        </w:rPr>
        <w:t>Patent Trial and Appeals Board</w:t>
      </w:r>
      <w:r w:rsidRPr="004E3667">
        <w:rPr>
          <w:u w:val="single"/>
        </w:rPr>
        <w:t xml:space="preserve"> (“the PTAB”).</w:t>
      </w:r>
      <w:r w:rsidRPr="00544110">
        <w:rPr>
          <w:sz w:val="16"/>
        </w:rPr>
        <w:t xml:space="preserve"> Although IPR petitioners are limited as to the grounds for invalidity they may present, IPR remains an efficient alternative to district court litigation on issues that can overlap with an IPR petition. If the PTAB determines there is a reasonable likelihood that the petitioner would prevail on least one of the patent claims challenged in the petition, the PTAB will institute the petition and hold a trial-like proceeding to determine whether the challenged claims are invalid. Active litigations concerning the same patent are often stayed, that is, put on ice, pending results of the IPR. IPRs are conducted by a panel of </w:t>
      </w:r>
      <w:r w:rsidRPr="00544110">
        <w:rPr>
          <w:rStyle w:val="Emphasis"/>
          <w:highlight w:val="green"/>
        </w:rPr>
        <w:t>administrative patent judges</w:t>
      </w:r>
      <w:r w:rsidRPr="00544110">
        <w:rPr>
          <w:u w:val="single"/>
        </w:rPr>
        <w:t xml:space="preserve"> (“APJs”) who are </w:t>
      </w:r>
      <w:r w:rsidRPr="00544110">
        <w:rPr>
          <w:rStyle w:val="Emphasis"/>
        </w:rPr>
        <w:t>appointed by the Secretary of Commerce</w:t>
      </w:r>
      <w:r w:rsidRPr="00544110">
        <w:rPr>
          <w:sz w:val="16"/>
        </w:rPr>
        <w:t xml:space="preserve">. Arthrex, a maker of surgical equipment, argued that APJs are “principal officers” under the Constitution because they wield significant authority and lack meaningful oversight. If APJs are principal officers, they must be appointed by the President and confirmed by the Senate. A Supreme Court holding that </w:t>
      </w:r>
      <w:r w:rsidRPr="00544110">
        <w:rPr>
          <w:rStyle w:val="Emphasis"/>
        </w:rPr>
        <w:t>APJs</w:t>
      </w:r>
      <w:r w:rsidRPr="00544110">
        <w:rPr>
          <w:u w:val="single"/>
        </w:rPr>
        <w:t xml:space="preserve"> are </w:t>
      </w:r>
      <w:r w:rsidRPr="00544110">
        <w:rPr>
          <w:rStyle w:val="Emphasis"/>
        </w:rPr>
        <w:t xml:space="preserve">principal officers </w:t>
      </w:r>
      <w:r w:rsidRPr="00544110">
        <w:rPr>
          <w:rStyle w:val="Emphasis"/>
          <w:highlight w:val="green"/>
        </w:rPr>
        <w:t>could</w:t>
      </w:r>
      <w:r w:rsidRPr="00544110">
        <w:rPr>
          <w:rStyle w:val="Emphasis"/>
        </w:rPr>
        <w:t xml:space="preserve"> have</w:t>
      </w:r>
      <w:r w:rsidRPr="00544110">
        <w:rPr>
          <w:u w:val="single"/>
        </w:rPr>
        <w:t xml:space="preserve"> theoretically </w:t>
      </w:r>
      <w:r w:rsidRPr="00544110">
        <w:rPr>
          <w:rStyle w:val="Emphasis"/>
          <w:highlight w:val="green"/>
        </w:rPr>
        <w:t>invalidate</w:t>
      </w:r>
      <w:r w:rsidRPr="00544110">
        <w:rPr>
          <w:rStyle w:val="Emphasis"/>
        </w:rPr>
        <w:t>d</w:t>
      </w:r>
      <w:r w:rsidRPr="00544110">
        <w:rPr>
          <w:u w:val="single"/>
        </w:rPr>
        <w:t xml:space="preserve"> all </w:t>
      </w:r>
      <w:r w:rsidRPr="00544110">
        <w:rPr>
          <w:rStyle w:val="Emphasis"/>
          <w:highlight w:val="green"/>
        </w:rPr>
        <w:t>IPR</w:t>
      </w:r>
      <w:r w:rsidRPr="00544110">
        <w:rPr>
          <w:rStyle w:val="Emphasis"/>
        </w:rPr>
        <w:t xml:space="preserve"> decisions</w:t>
      </w:r>
      <w:r w:rsidRPr="00544110">
        <w:rPr>
          <w:u w:val="single"/>
        </w:rPr>
        <w:t xml:space="preserve"> </w:t>
      </w:r>
      <w:r w:rsidRPr="00544110">
        <w:rPr>
          <w:highlight w:val="green"/>
          <w:u w:val="single"/>
        </w:rPr>
        <w:t>and</w:t>
      </w:r>
      <w:r w:rsidRPr="00544110">
        <w:rPr>
          <w:u w:val="single"/>
        </w:rPr>
        <w:t xml:space="preserve"> </w:t>
      </w:r>
      <w:r w:rsidRPr="00544110">
        <w:rPr>
          <w:rStyle w:val="Emphasis"/>
        </w:rPr>
        <w:t xml:space="preserve">dramatically </w:t>
      </w:r>
      <w:r w:rsidRPr="00544110">
        <w:rPr>
          <w:rStyle w:val="Emphasis"/>
          <w:highlight w:val="green"/>
        </w:rPr>
        <w:t>alter</w:t>
      </w:r>
      <w:r w:rsidRPr="00544110">
        <w:rPr>
          <w:rStyle w:val="Emphasis"/>
        </w:rPr>
        <w:t xml:space="preserve">ed </w:t>
      </w:r>
      <w:r w:rsidRPr="00544110">
        <w:rPr>
          <w:rStyle w:val="Emphasis"/>
          <w:highlight w:val="green"/>
        </w:rPr>
        <w:t>the</w:t>
      </w:r>
      <w:r w:rsidRPr="00544110">
        <w:rPr>
          <w:rStyle w:val="Emphasis"/>
        </w:rPr>
        <w:t xml:space="preserve"> IPR </w:t>
      </w:r>
      <w:r w:rsidRPr="00544110">
        <w:rPr>
          <w:rStyle w:val="Emphasis"/>
          <w:highlight w:val="green"/>
        </w:rPr>
        <w:t>system</w:t>
      </w:r>
      <w:r w:rsidRPr="00544110">
        <w:rPr>
          <w:u w:val="single"/>
        </w:rPr>
        <w:t xml:space="preserve">. The </w:t>
      </w:r>
      <w:r w:rsidRPr="00544110">
        <w:rPr>
          <w:highlight w:val="green"/>
          <w:u w:val="single"/>
        </w:rPr>
        <w:t xml:space="preserve">lower </w:t>
      </w:r>
      <w:r w:rsidRPr="00544110">
        <w:rPr>
          <w:rStyle w:val="Emphasis"/>
          <w:highlight w:val="green"/>
        </w:rPr>
        <w:t>appellate court</w:t>
      </w:r>
      <w:r w:rsidRPr="00544110">
        <w:rPr>
          <w:u w:val="single"/>
        </w:rPr>
        <w:t>—</w:t>
      </w:r>
      <w:r w:rsidRPr="00544110">
        <w:rPr>
          <w:rStyle w:val="Emphasis"/>
        </w:rPr>
        <w:t>the Federal Circuit</w:t>
      </w:r>
      <w:r w:rsidRPr="00544110">
        <w:rPr>
          <w:u w:val="single"/>
        </w:rPr>
        <w:t xml:space="preserve">—had </w:t>
      </w:r>
      <w:r w:rsidRPr="00544110">
        <w:rPr>
          <w:highlight w:val="green"/>
          <w:u w:val="single"/>
        </w:rPr>
        <w:t>already determined</w:t>
      </w:r>
      <w:r w:rsidRPr="00544110">
        <w:rPr>
          <w:u w:val="single"/>
        </w:rPr>
        <w:t xml:space="preserve"> that </w:t>
      </w:r>
      <w:r w:rsidRPr="00544110">
        <w:rPr>
          <w:rStyle w:val="Emphasis"/>
          <w:highlight w:val="green"/>
        </w:rPr>
        <w:t>APJs are principal</w:t>
      </w:r>
      <w:r w:rsidRPr="00544110">
        <w:rPr>
          <w:highlight w:val="green"/>
          <w:u w:val="single"/>
        </w:rPr>
        <w:t xml:space="preserve"> </w:t>
      </w:r>
      <w:proofErr w:type="gramStart"/>
      <w:r w:rsidRPr="00544110">
        <w:rPr>
          <w:rStyle w:val="Emphasis"/>
          <w:highlight w:val="green"/>
        </w:rPr>
        <w:t>officers</w:t>
      </w:r>
      <w:r w:rsidRPr="00544110">
        <w:rPr>
          <w:u w:val="single"/>
        </w:rPr>
        <w:t>, but</w:t>
      </w:r>
      <w:proofErr w:type="gramEnd"/>
      <w:r w:rsidRPr="00544110">
        <w:rPr>
          <w:u w:val="single"/>
        </w:rPr>
        <w:t xml:space="preserve"> sought to </w:t>
      </w:r>
      <w:r w:rsidRPr="00544110">
        <w:rPr>
          <w:rStyle w:val="Emphasis"/>
          <w:highlight w:val="green"/>
        </w:rPr>
        <w:t>remedy</w:t>
      </w:r>
      <w:r w:rsidRPr="00544110">
        <w:rPr>
          <w:rStyle w:val="Emphasis"/>
        </w:rPr>
        <w:t xml:space="preserve"> the </w:t>
      </w:r>
      <w:r w:rsidRPr="00544110">
        <w:rPr>
          <w:rStyle w:val="Emphasis"/>
          <w:highlight w:val="green"/>
        </w:rPr>
        <w:t>constitutional concerns</w:t>
      </w:r>
      <w:r w:rsidRPr="00544110">
        <w:rPr>
          <w:sz w:val="16"/>
        </w:rPr>
        <w:t xml:space="preserve"> in a way that preserved the IPR system. As we wrote at the time, the Federal Circuit reinterpreted statutory limitations on at-will removal of APJs, rendering APJs “inferior officers” who do not need to be appointed by the President and confirmed by the Senate. Although the Supreme Court agreed with the Federal Circuit that the AIA as written caused the APJs to be principal officers, it reversed the Federal Circuit’s decision. The majority opinion held that the root of the constitutional violation was the lack of review authority by a superior officer. The court fixed this problem by bestowing upon the Director of the United States Patent and Trademark Office the unilateral authority to review all IPR decisions so that APJs are properly classified as inferior officers. U.S. v. Arthrex is highly significant for patent owners and IPR petitioners. First and foremost, patent owners who hoped that the IPR system would be scrapped or at least significantly altered did not get their wish. IPR has survived the day and will likely remain as popular as ever with patent challengers and parties accused as infringers. IPR litigants who were hoping for a new hearing before a new panel of APJs did not get their wish either: the Supreme Court made clear that this decision does not entitle prior litigants to new hearings. This decision does, however, present litigants with a vehicle to request that the Director review an IPR determination. All IPR determinations are subject to review and possibly modification or reversal by the Director. Previously, a final written decision by the PTAB was subject to a request for rehearing and </w:t>
      </w:r>
      <w:r w:rsidRPr="00544110">
        <w:rPr>
          <w:sz w:val="16"/>
        </w:rPr>
        <w:lastRenderedPageBreak/>
        <w:t xml:space="preserve">then potentially an appeal to the Federal Circuit. Now, as explained in a PTAB Q&amp;A, a party may request either a </w:t>
      </w:r>
      <w:proofErr w:type="gramStart"/>
      <w:r w:rsidRPr="00544110">
        <w:rPr>
          <w:sz w:val="16"/>
        </w:rPr>
        <w:t>Director</w:t>
      </w:r>
      <w:proofErr w:type="gramEnd"/>
      <w:r w:rsidRPr="00544110">
        <w:rPr>
          <w:sz w:val="16"/>
        </w:rPr>
        <w:t xml:space="preserve"> review or panel rehearing, but not both. The Director may also choose to review a final written decision on his or her own initiative. Like a panel rehearing, the Director’s review is appealable to the Federal Circuit. </w:t>
      </w:r>
      <w:proofErr w:type="gramStart"/>
      <w:r w:rsidRPr="00544110">
        <w:rPr>
          <w:sz w:val="16"/>
        </w:rPr>
        <w:t>So</w:t>
      </w:r>
      <w:proofErr w:type="gramEnd"/>
      <w:r w:rsidRPr="00544110">
        <w:rPr>
          <w:sz w:val="16"/>
        </w:rPr>
        <w:t xml:space="preserve"> what next? For now, not much will change aside from potentially greater influence being wielded by the Director. The Supreme Court did not issue guidelines for this additional avenue of review. The decision in Arthrex is notable for providing a simple, direct fix to a constitutional infirmity and not the sea change that those sympathetic to Arthrex’s cause were hoping for.</w:t>
      </w:r>
    </w:p>
    <w:p w14:paraId="42A1BB76" w14:textId="77777777" w:rsidR="00606BC0" w:rsidRPr="004E3667" w:rsidRDefault="00606BC0" w:rsidP="00606BC0"/>
    <w:p w14:paraId="51A18066" w14:textId="77777777" w:rsidR="00606BC0" w:rsidRDefault="00606BC0" w:rsidP="00606BC0">
      <w:pPr>
        <w:pStyle w:val="Heading4"/>
      </w:pPr>
      <w:r>
        <w:t xml:space="preserve">Circumvention is </w:t>
      </w:r>
      <w:r w:rsidRPr="004E3667">
        <w:rPr>
          <w:u w:val="single"/>
        </w:rPr>
        <w:t>inevitable</w:t>
      </w:r>
      <w:r>
        <w:t xml:space="preserve">---the aff is </w:t>
      </w:r>
      <w:r w:rsidRPr="004E3667">
        <w:rPr>
          <w:u w:val="single"/>
        </w:rPr>
        <w:t>unconstitutional</w:t>
      </w:r>
      <w:r>
        <w:t xml:space="preserve"> and companies use that as a </w:t>
      </w:r>
      <w:r w:rsidRPr="004E3667">
        <w:rPr>
          <w:u w:val="single"/>
        </w:rPr>
        <w:t>sword to prevent loss of IP</w:t>
      </w:r>
      <w:r>
        <w:t>.</w:t>
      </w:r>
    </w:p>
    <w:p w14:paraId="3BC79D6D" w14:textId="77777777" w:rsidR="00606BC0" w:rsidRPr="004E3667" w:rsidRDefault="00606BC0" w:rsidP="00606BC0">
      <w:r w:rsidRPr="004E3667">
        <w:rPr>
          <w:rStyle w:val="Style13ptBold"/>
        </w:rPr>
        <w:t>Brown 21</w:t>
      </w:r>
      <w:r>
        <w:t xml:space="preserve"> [Delphine; 7/21/21; </w:t>
      </w:r>
      <w:r w:rsidRPr="004E3667">
        <w:t xml:space="preserve">Partner in the firm's Litigation Practice Group, and a member of its Intellectual Property Practice Team. With over twenty years of trial experience, Delphine's practice focuses on complex intellectual property and technology cases, with extensive experience in the life sciences industry. Delphine has served as lead counsel for several global pharmaceutical companies in Hatch-Waxman litigation and trials involving dozens of drug products, dosage forms and delivery systems. Delphine’s lead counsel expertise also </w:t>
      </w:r>
      <w:proofErr w:type="gramStart"/>
      <w:r w:rsidRPr="004E3667">
        <w:t>includes  patent</w:t>
      </w:r>
      <w:proofErr w:type="gramEnd"/>
      <w:r w:rsidRPr="004E3667">
        <w:t xml:space="preserve"> litigation involving biotech, medical device, computer hardware and software, design and business method patents, and counseling of established and emerging biotechnology companies regarding intellectual property, regulatory and litigation issues. Delphine has served as lead trial counsel in complex trademark and copyright infringement, misappropriation of trade secrets, and unfair competition cases. Delphine believes that the key to being the best litigator and trial lawyer is always keeping her "eyes on the prize" </w:t>
      </w:r>
      <w:proofErr w:type="gramStart"/>
      <w:r w:rsidRPr="004E3667">
        <w:t>which  she</w:t>
      </w:r>
      <w:proofErr w:type="gramEnd"/>
      <w:r w:rsidRPr="004E3667">
        <w:t xml:space="preserve"> defines  with her clients as accomplishing both legal victory and strategic objectives to get the client back to running its business as quickly as possible.  A corporate client once remarked to Delphine's parents at her birthday party that "if Delphine wasn't such a good lawyer, we wouldn't have become such great friends." Delphine has three decades of experience </w:t>
      </w:r>
      <w:proofErr w:type="gramStart"/>
      <w:r w:rsidRPr="004E3667">
        <w:t>representing  both</w:t>
      </w:r>
      <w:proofErr w:type="gramEnd"/>
      <w:r w:rsidRPr="004E3667">
        <w:t xml:space="preserve"> U.S. and foreign corporations in federal and state courts nationwide in pretrial proceedings, trials and appeals, and in arbitration proceedings. Delphine frequently publishes thought leadership and speaks on intellectual property issues. Delphine received her </w:t>
      </w:r>
      <w:proofErr w:type="spellStart"/>
      <w:proofErr w:type="gramStart"/>
      <w:r w:rsidRPr="004E3667">
        <w:t>bachelors</w:t>
      </w:r>
      <w:proofErr w:type="spellEnd"/>
      <w:proofErr w:type="gramEnd"/>
      <w:r w:rsidRPr="004E3667">
        <w:t xml:space="preserve"> degree from Princeton University and her J.D. from St. John's University School of Law. In her spare time, she serves on the boards of several private foundations, and the CT Selection Committee for the Princeton Prize in Race Relations, as well as a USA swimming official. Delphine also enjoys skiing, golf, tennis and classic wood boats</w:t>
      </w:r>
      <w:r>
        <w:t>; “</w:t>
      </w:r>
      <w:r w:rsidRPr="004E3667">
        <w:rPr>
          <w:i/>
          <w:iCs/>
        </w:rPr>
        <w:t>Powerhouse Points: Will TRIPS Waiver of IP Protection for COVID-19 Vaccines Serve Global Need</w:t>
      </w:r>
      <w:r>
        <w:t xml:space="preserve">,” Freeborn, </w:t>
      </w:r>
      <w:hyperlink r:id="rId14" w:history="1">
        <w:r w:rsidRPr="00297C2F">
          <w:rPr>
            <w:rStyle w:val="Hyperlink"/>
          </w:rPr>
          <w:t>https://www.freeborn.com/perspectives/powerhouse-points-will-trips-waiver-ip-protection-covid-19-vaccines-serve-global-need</w:t>
        </w:r>
      </w:hyperlink>
      <w:r>
        <w:t>] Justin</w:t>
      </w:r>
    </w:p>
    <w:p w14:paraId="73EF264D" w14:textId="77777777" w:rsidR="00606BC0" w:rsidRPr="004E3667" w:rsidRDefault="00606BC0" w:rsidP="00606BC0">
      <w:pPr>
        <w:rPr>
          <w:u w:val="single"/>
        </w:rPr>
      </w:pPr>
      <w:r w:rsidRPr="004E3667">
        <w:rPr>
          <w:u w:val="single"/>
        </w:rPr>
        <w:t xml:space="preserve">Despite the current </w:t>
      </w:r>
      <w:r w:rsidRPr="004E3667">
        <w:rPr>
          <w:highlight w:val="green"/>
          <w:u w:val="single"/>
        </w:rPr>
        <w:t>U.S. administration’s</w:t>
      </w:r>
      <w:r w:rsidRPr="004E3667">
        <w:rPr>
          <w:u w:val="single"/>
        </w:rPr>
        <w:t xml:space="preserve"> apparent </w:t>
      </w:r>
      <w:r w:rsidRPr="004E3667">
        <w:rPr>
          <w:highlight w:val="green"/>
          <w:u w:val="single"/>
        </w:rPr>
        <w:t xml:space="preserve">support for </w:t>
      </w:r>
      <w:r w:rsidRPr="004E3667">
        <w:rPr>
          <w:rStyle w:val="Emphasis"/>
          <w:highlight w:val="green"/>
        </w:rPr>
        <w:t>waiving IP</w:t>
      </w:r>
      <w:r w:rsidRPr="004E3667">
        <w:rPr>
          <w:rStyle w:val="Emphasis"/>
        </w:rPr>
        <w:t xml:space="preserve"> protection for COVID-19 vaccines, the response in the U.S. to the proposed broader waiver would most certainly </w:t>
      </w:r>
      <w:r w:rsidRPr="004E3667">
        <w:rPr>
          <w:rStyle w:val="Emphasis"/>
          <w:highlight w:val="green"/>
        </w:rPr>
        <w:t>involve</w:t>
      </w:r>
      <w:r w:rsidRPr="004E3667">
        <w:rPr>
          <w:rStyle w:val="Emphasis"/>
        </w:rPr>
        <w:t xml:space="preserve"> intense </w:t>
      </w:r>
      <w:r w:rsidRPr="004E3667">
        <w:rPr>
          <w:rStyle w:val="Emphasis"/>
          <w:highlight w:val="green"/>
        </w:rPr>
        <w:t>lobbying</w:t>
      </w:r>
      <w:r w:rsidRPr="004E3667">
        <w:rPr>
          <w:sz w:val="16"/>
        </w:rPr>
        <w:t xml:space="preserve"> by pharmaceutical companies to reverse or severely narrow its effect. </w:t>
      </w:r>
      <w:r w:rsidRPr="004E3667">
        <w:rPr>
          <w:u w:val="single"/>
        </w:rPr>
        <w:t xml:space="preserve">The U.S. Congress has already </w:t>
      </w:r>
      <w:r w:rsidRPr="004E3667">
        <w:rPr>
          <w:rStyle w:val="Emphasis"/>
        </w:rPr>
        <w:t>introduced legislation</w:t>
      </w:r>
      <w:r w:rsidRPr="004E3667">
        <w:rPr>
          <w:u w:val="single"/>
        </w:rPr>
        <w:t xml:space="preserve"> to require Congressional approval of any waiver</w:t>
      </w:r>
      <w:r w:rsidRPr="004E3667">
        <w:rPr>
          <w:sz w:val="16"/>
        </w:rPr>
        <w:t xml:space="preserve">, and prohibit the use of federal funds to support a </w:t>
      </w:r>
      <w:proofErr w:type="gramStart"/>
      <w:r w:rsidRPr="004E3667">
        <w:rPr>
          <w:sz w:val="16"/>
        </w:rPr>
        <w:t>waiver.[</w:t>
      </w:r>
      <w:proofErr w:type="gramEnd"/>
      <w:r w:rsidRPr="004E3667">
        <w:rPr>
          <w:sz w:val="16"/>
        </w:rPr>
        <w:t xml:space="preserve">vi] </w:t>
      </w:r>
      <w:r w:rsidRPr="004E3667">
        <w:rPr>
          <w:u w:val="single"/>
        </w:rPr>
        <w:t xml:space="preserve">If the U.S. government seeks to </w:t>
      </w:r>
      <w:r w:rsidRPr="004E3667">
        <w:rPr>
          <w:rStyle w:val="Emphasis"/>
        </w:rPr>
        <w:t>enforce a TRIPS waiver</w:t>
      </w:r>
      <w:r w:rsidRPr="004E3667">
        <w:rPr>
          <w:u w:val="single"/>
        </w:rPr>
        <w:t xml:space="preserve">, the </w:t>
      </w:r>
      <w:r w:rsidRPr="004E3667">
        <w:rPr>
          <w:rStyle w:val="Emphasis"/>
          <w:highlight w:val="green"/>
        </w:rPr>
        <w:t>takings clause of</w:t>
      </w:r>
      <w:r w:rsidRPr="004E3667">
        <w:rPr>
          <w:rStyle w:val="Emphasis"/>
        </w:rPr>
        <w:t xml:space="preserve"> the </w:t>
      </w:r>
      <w:r w:rsidRPr="004E3667">
        <w:rPr>
          <w:rStyle w:val="Emphasis"/>
          <w:highlight w:val="green"/>
        </w:rPr>
        <w:t>Fifth Amendment to the</w:t>
      </w:r>
      <w:r w:rsidRPr="004E3667">
        <w:rPr>
          <w:rStyle w:val="Emphasis"/>
        </w:rPr>
        <w:t xml:space="preserve"> U.S. </w:t>
      </w:r>
      <w:r w:rsidRPr="004E3667">
        <w:rPr>
          <w:rStyle w:val="Emphasis"/>
          <w:highlight w:val="green"/>
        </w:rPr>
        <w:t>Constitution</w:t>
      </w:r>
      <w:r w:rsidRPr="004E3667">
        <w:rPr>
          <w:rStyle w:val="Emphasis"/>
        </w:rPr>
        <w:t xml:space="preserve"> could be </w:t>
      </w:r>
      <w:r w:rsidRPr="004E3667">
        <w:rPr>
          <w:rStyle w:val="Emphasis"/>
          <w:highlight w:val="green"/>
        </w:rPr>
        <w:t xml:space="preserve">used </w:t>
      </w:r>
      <w:r w:rsidRPr="004E3667">
        <w:rPr>
          <w:rStyle w:val="Emphasis"/>
        </w:rPr>
        <w:t xml:space="preserve">by U.S. companies </w:t>
      </w:r>
      <w:r w:rsidRPr="004E3667">
        <w:rPr>
          <w:rStyle w:val="Emphasis"/>
          <w:highlight w:val="green"/>
        </w:rPr>
        <w:t>as a sword to prevent</w:t>
      </w:r>
      <w:r w:rsidRPr="004E3667">
        <w:rPr>
          <w:rStyle w:val="Emphasis"/>
        </w:rPr>
        <w:t xml:space="preserve"> the </w:t>
      </w:r>
      <w:r w:rsidRPr="004E3667">
        <w:rPr>
          <w:rStyle w:val="Emphasis"/>
          <w:highlight w:val="green"/>
        </w:rPr>
        <w:t>loss of intellectual property</w:t>
      </w:r>
      <w:r w:rsidRPr="004E3667">
        <w:rPr>
          <w:rStyle w:val="Emphasis"/>
        </w:rPr>
        <w:t xml:space="preserve"> rights without </w:t>
      </w:r>
      <w:r w:rsidRPr="004E3667">
        <w:rPr>
          <w:rStyle w:val="Emphasis"/>
        </w:rPr>
        <w:lastRenderedPageBreak/>
        <w:t>compensation</w:t>
      </w:r>
      <w:r w:rsidRPr="004E3667">
        <w:rPr>
          <w:sz w:val="16"/>
        </w:rPr>
        <w:t xml:space="preserve">. In addition, compulsory licenses issued by foreign governments to U.S.-based pharmaceutical companies would be the </w:t>
      </w:r>
      <w:r w:rsidRPr="004E3667">
        <w:rPr>
          <w:u w:val="single"/>
        </w:rPr>
        <w:t xml:space="preserve">subject of </w:t>
      </w:r>
      <w:r w:rsidRPr="004E3667">
        <w:rPr>
          <w:rStyle w:val="Emphasis"/>
        </w:rPr>
        <w:t>jurisdictional challenges</w:t>
      </w:r>
      <w:r w:rsidRPr="004E3667">
        <w:rPr>
          <w:u w:val="single"/>
        </w:rPr>
        <w:t xml:space="preserve"> and lack effective enforcement mechanisms.</w:t>
      </w:r>
    </w:p>
    <w:p w14:paraId="2CAB5182" w14:textId="77777777" w:rsidR="00606BC0" w:rsidRPr="00606BC0" w:rsidRDefault="00606BC0" w:rsidP="00606BC0"/>
    <w:p w14:paraId="43074590" w14:textId="77777777" w:rsidR="00606BC0" w:rsidRPr="00606BC0" w:rsidRDefault="00606BC0" w:rsidP="00606BC0"/>
    <w:sectPr w:rsidR="00606BC0" w:rsidRPr="00606B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46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5A04"/>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1EC4"/>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BC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65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B0CA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16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68DEA"/>
  <w14:defaultImageDpi w14:val="300"/>
  <w15:docId w15:val="{0D3C8B28-994B-C74C-B601-4D32AB4A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5A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5A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5A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5A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075A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5A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A04"/>
  </w:style>
  <w:style w:type="character" w:customStyle="1" w:styleId="Heading1Char">
    <w:name w:val="Heading 1 Char"/>
    <w:aliases w:val="Pocket Char"/>
    <w:basedOn w:val="DefaultParagraphFont"/>
    <w:link w:val="Heading1"/>
    <w:uiPriority w:val="9"/>
    <w:rsid w:val="00075A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5A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5A0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75A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5A04"/>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075A0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75A0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75A0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075A04"/>
    <w:rPr>
      <w:color w:val="auto"/>
      <w:u w:val="none"/>
    </w:rPr>
  </w:style>
  <w:style w:type="paragraph" w:styleId="DocumentMap">
    <w:name w:val="Document Map"/>
    <w:basedOn w:val="Normal"/>
    <w:link w:val="DocumentMapChar"/>
    <w:uiPriority w:val="99"/>
    <w:semiHidden/>
    <w:unhideWhenUsed/>
    <w:rsid w:val="00075A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5A04"/>
    <w:rPr>
      <w:rFonts w:ascii="Lucida Grande" w:hAnsi="Lucida Grande" w:cs="Lucida Grande"/>
    </w:rPr>
  </w:style>
  <w:style w:type="paragraph" w:customStyle="1" w:styleId="textbold">
    <w:name w:val="text bold"/>
    <w:link w:val="Emphasis"/>
    <w:autoRedefine/>
    <w:uiPriority w:val="20"/>
    <w:qFormat/>
    <w:rsid w:val="00734650"/>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bdr w:val="single" w:sz="12"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7346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verdana">
    <w:name w:val="verdana"/>
    <w:rsid w:val="00CB0CA2"/>
  </w:style>
  <w:style w:type="character" w:customStyle="1" w:styleId="italic">
    <w:name w:val="italic"/>
    <w:rsid w:val="00CB0CA2"/>
  </w:style>
  <w:style w:type="paragraph" w:customStyle="1" w:styleId="Emphasis1">
    <w:name w:val="Emphasis1"/>
    <w:basedOn w:val="Normal"/>
    <w:autoRedefine/>
    <w:uiPriority w:val="20"/>
    <w:qFormat/>
    <w:rsid w:val="00521EC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dsupra.com/legalnews/supreme-court-finds-constitutional-470299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mericanmilitarynews.com/2019/10/strengthen-us-industry-to-counter-national-security-challeng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53787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customXml" Target="../customXml/item4.xml"/><Relationship Id="rId9" Type="http://schemas.openxmlformats.org/officeDocument/2006/relationships/hyperlink" Target="https://www.law360.com/competition/articles/1418789/interest-groups-back-big-tech-antitrust-bills-in-house" TargetMode="External"/><Relationship Id="rId14" Type="http://schemas.openxmlformats.org/officeDocument/2006/relationships/hyperlink" Target="https://www.freeborn.com/perspectives/powerhouse-points-will-trips-waiver-ip-protection-covid-19-vaccines-serve-global-n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6151</Words>
  <Characters>35062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2021-09-05T18:00:00Z</dcterms:created>
  <dcterms:modified xsi:type="dcterms:W3CDTF">2021-09-05T18:00:00Z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