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25BD5" w14:textId="77777777" w:rsidR="001605DE" w:rsidRDefault="001605DE" w:rsidP="001605DE"/>
    <w:p w14:paraId="32822848" w14:textId="546517E3" w:rsidR="004B7B38" w:rsidRDefault="004B7B38" w:rsidP="004B7B38">
      <w:pPr>
        <w:pStyle w:val="Heading1"/>
      </w:pPr>
      <w:r>
        <w:t>1AC</w:t>
      </w:r>
    </w:p>
    <w:p w14:paraId="633DC96C" w14:textId="77777777" w:rsidR="004B7B38" w:rsidRPr="004B7B38" w:rsidRDefault="004B7B38" w:rsidP="004B7B38"/>
    <w:p w14:paraId="1ECEE1B8" w14:textId="6E4A4691" w:rsidR="00405A64" w:rsidRPr="00BD2E70" w:rsidRDefault="00405A64" w:rsidP="00405A64">
      <w:pPr>
        <w:pStyle w:val="Heading3"/>
      </w:pPr>
      <w:r w:rsidRPr="00305C79">
        <w:t>1AC – Framing</w:t>
      </w:r>
      <w:r>
        <w:t xml:space="preserve"> – </w:t>
      </w:r>
      <w:proofErr w:type="spellStart"/>
      <w:r>
        <w:t>vK</w:t>
      </w:r>
      <w:proofErr w:type="spellEnd"/>
    </w:p>
    <w:p w14:paraId="01B606EC" w14:textId="77777777" w:rsidR="00405A64" w:rsidRDefault="00405A64" w:rsidP="00405A64">
      <w:pPr>
        <w:pStyle w:val="Heading4"/>
        <w:rPr>
          <w:i/>
        </w:rPr>
      </w:pPr>
      <w:r w:rsidRPr="002677ED">
        <w:rPr>
          <w:i/>
        </w:rPr>
        <w:t>Ethics must begin a priori</w:t>
      </w:r>
    </w:p>
    <w:p w14:paraId="3F342C41" w14:textId="77777777" w:rsidR="00405A64" w:rsidRPr="003E4733" w:rsidRDefault="00405A64" w:rsidP="00405A64">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F928D03" w14:textId="77777777" w:rsidR="00405A64" w:rsidRDefault="00405A64" w:rsidP="00405A64">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44387CF0" w14:textId="77777777" w:rsidR="00405A64" w:rsidRPr="008B7E3A" w:rsidRDefault="00405A64" w:rsidP="00405A64">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461DDCA7" w14:textId="77777777" w:rsidR="00405A64" w:rsidRDefault="00405A64" w:rsidP="00405A64">
      <w:pPr>
        <w:pStyle w:val="Heading4"/>
      </w:pPr>
      <w:r w:rsidRPr="00F279F1">
        <w:rPr>
          <w:u w:val="single"/>
        </w:rPr>
        <w:t>That justifies universality</w:t>
      </w:r>
      <w:r>
        <w:t xml:space="preserve"> </w:t>
      </w:r>
      <w:r w:rsidRPr="00CE11B7">
        <w:t xml:space="preserve">– </w:t>
      </w:r>
      <w:r>
        <w:t xml:space="preserve">a] </w:t>
      </w:r>
      <w:r w:rsidRPr="00CE11B7">
        <w:t xml:space="preserve">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02A6C7DE" w14:textId="77777777" w:rsidR="00405A64" w:rsidRDefault="00405A64" w:rsidP="00405A64">
      <w:pPr>
        <w:pStyle w:val="Heading4"/>
      </w:pPr>
      <w:r>
        <w:t>Additionally</w:t>
      </w:r>
      <w:r w:rsidRPr="0088077D">
        <w:t>:</w:t>
      </w:r>
    </w:p>
    <w:p w14:paraId="534E30EA" w14:textId="77777777" w:rsidR="00405A64" w:rsidRPr="00CE11B7" w:rsidRDefault="00405A64" w:rsidP="00405A64">
      <w:pPr>
        <w:pStyle w:val="Heading4"/>
      </w:pPr>
      <w:r>
        <w:t xml:space="preserve">[A] </w:t>
      </w:r>
      <w:r w:rsidRPr="00CE11B7">
        <w:t>Only universalizable reason can effectively explain the perspectives of agents – that’s the best method for combatting oppression</w:t>
      </w:r>
      <w:r>
        <w:t>.</w:t>
      </w:r>
    </w:p>
    <w:p w14:paraId="79B773B9" w14:textId="77777777" w:rsidR="00405A64" w:rsidRPr="00426666" w:rsidRDefault="00405A64" w:rsidP="00405A64">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DDF7493" w14:textId="77777777" w:rsidR="00405A64" w:rsidRDefault="00405A64" w:rsidP="00405A64">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087E253" w14:textId="77777777" w:rsidR="00405A64" w:rsidRDefault="00405A64" w:rsidP="00405A64">
      <w:pPr>
        <w:pStyle w:val="Heading4"/>
      </w:pPr>
      <w:r>
        <w:t xml:space="preserve">[B]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08026977" w14:textId="77777777" w:rsidR="00405A64" w:rsidRDefault="00405A64" w:rsidP="00405A64">
      <w:pPr>
        <w:rPr>
          <w:rFonts w:asciiTheme="majorHAnsi" w:hAnsiTheme="majorHAnsi" w:cstheme="majorHAnsi"/>
          <w:b/>
          <w:u w:val="single"/>
        </w:rPr>
      </w:pPr>
    </w:p>
    <w:p w14:paraId="5F94AF81" w14:textId="77777777" w:rsidR="00405A64" w:rsidRPr="00305C79" w:rsidRDefault="00405A64" w:rsidP="00405A64">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661DC752" w14:textId="77777777" w:rsidR="00405A64" w:rsidRPr="00305C79" w:rsidRDefault="00405A64" w:rsidP="00405A64">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3208D00" w14:textId="1EB6E9F2" w:rsidR="00405A64" w:rsidRPr="009A4C06" w:rsidRDefault="00405A64" w:rsidP="009A4C06">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22CE2353" w14:textId="77777777" w:rsidR="00405A64" w:rsidRPr="00E80998" w:rsidRDefault="00405A64" w:rsidP="00405A64">
      <w:pPr>
        <w:pStyle w:val="Heading4"/>
      </w:pPr>
      <w:r w:rsidRPr="00E80998">
        <w:t xml:space="preserve">Thus, the standard is consistency with the categorical imperative. </w:t>
      </w:r>
    </w:p>
    <w:p w14:paraId="6BE7C9FA" w14:textId="77777777" w:rsidR="009A4C06" w:rsidRPr="00CC0D61" w:rsidRDefault="00405A64" w:rsidP="009A4C06">
      <w:pPr>
        <w:pStyle w:val="Heading4"/>
        <w:rPr>
          <w:rFonts w:asciiTheme="majorHAnsi" w:hAnsiTheme="majorHAnsi" w:cstheme="majorHAnsi"/>
          <w:color w:val="000000" w:themeColor="text1"/>
        </w:rPr>
      </w:pPr>
      <w:r w:rsidRPr="00F279F1">
        <w:rPr>
          <w:u w:val="single"/>
        </w:rPr>
        <w:t xml:space="preserve">[1] Presumption and </w:t>
      </w:r>
      <w:r>
        <w:rPr>
          <w:u w:val="single"/>
        </w:rPr>
        <w:t>P</w:t>
      </w:r>
      <w:r w:rsidRPr="00F279F1">
        <w:rPr>
          <w:u w:val="single"/>
        </w:rPr>
        <w:t>ermissibility affirm:</w:t>
      </w:r>
      <w:r w:rsidRPr="0088077D">
        <w:t xml:space="preserve"> </w:t>
      </w:r>
      <w:r w:rsidR="009A4C06">
        <w:rPr>
          <w:rFonts w:asciiTheme="majorHAnsi" w:hAnsiTheme="majorHAnsi" w:cstheme="majorHAnsi"/>
          <w:color w:val="000000" w:themeColor="text1"/>
        </w:rPr>
        <w:t>P</w:t>
      </w:r>
      <w:r w:rsidR="009A4C06" w:rsidRPr="00CC0D61">
        <w:rPr>
          <w:rFonts w:asciiTheme="majorHAnsi" w:hAnsiTheme="majorHAnsi" w:cstheme="majorHAnsi"/>
          <w:color w:val="000000" w:themeColor="text1"/>
        </w:rPr>
        <w:t>resumption and permissibility affirm</w:t>
      </w:r>
    </w:p>
    <w:p w14:paraId="363C5EF4" w14:textId="77777777" w:rsidR="009A4C06" w:rsidRPr="00CC0D61" w:rsidRDefault="009A4C06" w:rsidP="009A4C06">
      <w:pPr>
        <w:pStyle w:val="Heading4"/>
        <w:spacing w:line="240" w:lineRule="auto"/>
        <w:rPr>
          <w:rFonts w:asciiTheme="majorHAnsi" w:hAnsiTheme="majorHAnsi" w:cstheme="majorHAnsi"/>
          <w:color w:val="000000" w:themeColor="text1"/>
        </w:rPr>
      </w:pPr>
      <w:r w:rsidRPr="00CC0D61">
        <w:rPr>
          <w:rFonts w:asciiTheme="majorHAnsi" w:hAnsiTheme="majorHAnsi" w:cstheme="majorHAnsi"/>
          <w:color w:val="000000" w:themeColor="text1"/>
        </w:rPr>
        <w:t>A</w:t>
      </w:r>
      <w:r>
        <w:rPr>
          <w:rFonts w:asciiTheme="majorHAnsi" w:hAnsiTheme="majorHAnsi" w:cstheme="majorHAnsi"/>
          <w:color w:val="000000" w:themeColor="text1"/>
        </w:rPr>
        <w:t>]</w:t>
      </w:r>
      <w:r w:rsidRPr="00CC0D61">
        <w:rPr>
          <w:rFonts w:asciiTheme="majorHAnsi" w:hAnsiTheme="majorHAnsi" w:cstheme="majorHAnsi"/>
          <w:color w:val="000000" w:themeColor="text1"/>
        </w:rPr>
        <w:t xml:space="preserve"> We always default to assuming something true until proven false </w:t>
      </w:r>
      <w:proofErr w:type="spellStart"/>
      <w:proofErr w:type="gramStart"/>
      <w:r w:rsidRPr="00CC0D61">
        <w:rPr>
          <w:rFonts w:asciiTheme="majorHAnsi" w:hAnsiTheme="majorHAnsi" w:cstheme="majorHAnsi"/>
          <w:color w:val="000000" w:themeColor="text1"/>
        </w:rPr>
        <w:t>ie</w:t>
      </w:r>
      <w:proofErr w:type="spellEnd"/>
      <w:proofErr w:type="gramEnd"/>
      <w:r w:rsidRPr="00CC0D61">
        <w:rPr>
          <w:rFonts w:asciiTheme="majorHAnsi" w:hAnsiTheme="majorHAnsi" w:cstheme="majorHAnsi"/>
          <w:color w:val="000000" w:themeColor="text1"/>
        </w:rPr>
        <w:t xml:space="preserve"> if I told you my name is </w:t>
      </w:r>
      <w:r>
        <w:rPr>
          <w:rFonts w:asciiTheme="majorHAnsi" w:hAnsiTheme="majorHAnsi" w:cstheme="majorHAnsi"/>
          <w:color w:val="000000" w:themeColor="text1"/>
        </w:rPr>
        <w:t>Jet</w:t>
      </w:r>
      <w:r w:rsidRPr="00CC0D61">
        <w:rPr>
          <w:rFonts w:asciiTheme="majorHAnsi" w:hAnsiTheme="majorHAnsi" w:cstheme="majorHAnsi"/>
          <w:color w:val="000000" w:themeColor="text1"/>
        </w:rPr>
        <w:t xml:space="preserve"> you would believe me </w:t>
      </w:r>
    </w:p>
    <w:p w14:paraId="4513761B" w14:textId="77777777" w:rsidR="009A4C06" w:rsidRPr="00CC0D61" w:rsidRDefault="009A4C06" w:rsidP="009A4C06">
      <w:pPr>
        <w:pStyle w:val="Heading4"/>
        <w:spacing w:line="240" w:lineRule="auto"/>
        <w:rPr>
          <w:rFonts w:asciiTheme="majorHAnsi" w:hAnsiTheme="majorHAnsi" w:cstheme="majorHAnsi"/>
          <w:color w:val="000000" w:themeColor="text1"/>
        </w:rPr>
      </w:pPr>
      <w:r>
        <w:rPr>
          <w:rFonts w:asciiTheme="majorHAnsi" w:hAnsiTheme="majorHAnsi" w:cstheme="majorHAnsi"/>
          <w:color w:val="000000" w:themeColor="text1"/>
        </w:rPr>
        <w:t>B]</w:t>
      </w:r>
      <w:r w:rsidRPr="00CC0D61">
        <w:rPr>
          <w:rFonts w:asciiTheme="majorHAnsi" w:hAnsiTheme="majorHAnsi" w:cstheme="majorHAnsi"/>
          <w:color w:val="000000" w:themeColor="text1"/>
        </w:rPr>
        <w:t xml:space="preserve"> Unjust</w:t>
      </w:r>
      <w:r w:rsidRPr="00CC0D61">
        <w:rPr>
          <w:rStyle w:val="FootnoteReference"/>
          <w:rFonts w:asciiTheme="majorHAnsi" w:hAnsiTheme="majorHAnsi" w:cstheme="majorHAnsi"/>
          <w:color w:val="000000" w:themeColor="text1"/>
        </w:rPr>
        <w:footnoteReference w:id="1"/>
      </w:r>
      <w:r w:rsidRPr="00CC0D61">
        <w:rPr>
          <w:rFonts w:asciiTheme="majorHAnsi" w:hAnsiTheme="majorHAnsi" w:cstheme="majorHAnsi"/>
          <w:color w:val="000000" w:themeColor="text1"/>
        </w:rPr>
        <w:t xml:space="preserve"> is “</w:t>
      </w:r>
      <w:r w:rsidRPr="00CC0D61">
        <w:rPr>
          <w:rStyle w:val="Emphasis"/>
          <w:rFonts w:asciiTheme="majorHAnsi" w:hAnsiTheme="majorHAnsi" w:cstheme="majorHAnsi"/>
          <w:highlight w:val="green"/>
        </w:rPr>
        <w:t>not morally right</w:t>
      </w:r>
      <w:r w:rsidRPr="00CC0D61">
        <w:rPr>
          <w:rStyle w:val="Emphasis"/>
          <w:rFonts w:asciiTheme="majorHAnsi" w:hAnsiTheme="majorHAnsi" w:cstheme="majorHAnsi"/>
        </w:rPr>
        <w:t>; not fair</w:t>
      </w:r>
      <w:r w:rsidRPr="00CC0D61">
        <w:rPr>
          <w:rFonts w:asciiTheme="majorHAnsi" w:hAnsiTheme="majorHAnsi" w:cstheme="majorHAnsi"/>
          <w:color w:val="000000" w:themeColor="text1"/>
        </w:rPr>
        <w:t>” and permissibility disproves the positive obligation which is aff ground</w:t>
      </w:r>
    </w:p>
    <w:p w14:paraId="592DF753" w14:textId="70C7DB97" w:rsidR="00405A64" w:rsidRDefault="009A4C06" w:rsidP="00405A64">
      <w:pPr>
        <w:pStyle w:val="Heading4"/>
      </w:pPr>
      <w:r>
        <w:rPr>
          <w:rFonts w:asciiTheme="majorHAnsi" w:hAnsiTheme="majorHAnsi" w:cstheme="majorHAnsi"/>
          <w:color w:val="000000" w:themeColor="text1"/>
        </w:rPr>
        <w:t>C]</w:t>
      </w:r>
      <w:r w:rsidRPr="00CC0D61">
        <w:rPr>
          <w:rFonts w:asciiTheme="majorHAnsi" w:hAnsiTheme="majorHAnsi" w:cstheme="majorHAnsi"/>
          <w:color w:val="000000" w:themeColor="text1"/>
        </w:rPr>
        <w:t xml:space="preserve"> </w:t>
      </w:r>
      <w:r w:rsidRPr="00361031">
        <w:rPr>
          <w:u w:val="single"/>
        </w:rPr>
        <w:t>Freeze</w:t>
      </w:r>
      <w:r w:rsidRPr="00361031">
        <w:t>- otherwise we would not be able to justify morally neutral actions since there isn’t a prohibition and we would have to prove an obligation.</w:t>
      </w:r>
    </w:p>
    <w:p w14:paraId="537612A1" w14:textId="50DF505E" w:rsidR="00405A64" w:rsidRDefault="00405A64" w:rsidP="00405A64">
      <w:pPr>
        <w:pStyle w:val="Heading4"/>
        <w:rPr>
          <w:rFonts w:asciiTheme="majorHAnsi" w:hAnsiTheme="majorHAnsi" w:cstheme="majorHAnsi"/>
        </w:rPr>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w:t>
      </w:r>
      <w:r w:rsidR="009A4C06" w:rsidRPr="00311EA6">
        <w:rPr>
          <w:rFonts w:asciiTheme="majorHAnsi" w:hAnsiTheme="majorHAnsi" w:cstheme="majorHAnsi"/>
        </w:rPr>
        <w:t>d] aggregation impossible – impossible to measure pain and pleasure e] Every action is infinitely divisible, only intents unify</w:t>
      </w:r>
    </w:p>
    <w:p w14:paraId="2FBD5B11" w14:textId="77777777" w:rsidR="009A4C06" w:rsidRDefault="009A4C06" w:rsidP="009A4C06">
      <w:pPr>
        <w:pStyle w:val="Heading4"/>
      </w:pPr>
      <w:r>
        <w:t xml:space="preserve">3] </w:t>
      </w:r>
      <w:r w:rsidRPr="00D13FCE">
        <w:rPr>
          <w:u w:val="single"/>
        </w:rPr>
        <w:t>C</w:t>
      </w:r>
      <w:r w:rsidRPr="00331296">
        <w:rPr>
          <w:u w:val="single"/>
        </w:rPr>
        <w:t>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0E5B6AAE" w14:textId="77777777" w:rsidR="009A4C06" w:rsidRDefault="009A4C06" w:rsidP="009A4C06">
      <w:pPr>
        <w:pStyle w:val="Heading4"/>
        <w:rPr>
          <w:rFonts w:cs="Calibri"/>
        </w:rPr>
      </w:pPr>
      <w:r w:rsidRPr="008D552A">
        <w:rPr>
          <w:rFonts w:cs="Calibri"/>
        </w:rPr>
        <w:t>No RVI on 1ac theory that has a pre-emptive violation--they would have 7 minutes to answer a minute-long shell and the debate would end</w:t>
      </w:r>
      <w:r>
        <w:rPr>
          <w:rFonts w:cs="Calibri"/>
        </w:rPr>
        <w:t xml:space="preserve"> – entire aff can’t be shell since you can just meet </w:t>
      </w:r>
    </w:p>
    <w:p w14:paraId="64183DF8" w14:textId="77777777" w:rsidR="009A4C06" w:rsidRPr="00BF256C" w:rsidRDefault="009A4C06" w:rsidP="009A4C06">
      <w:pPr>
        <w:pStyle w:val="Heading4"/>
      </w:pPr>
      <w:r w:rsidRPr="00311EA6">
        <w:t>Fairness outweighs: 1] testing – if we can’t answer their arguments we don’t know if they’re right 2] minority debaters will just quit if the activity is unfair which supercharges abuse</w:t>
      </w:r>
    </w:p>
    <w:p w14:paraId="110E4C1B" w14:textId="77777777" w:rsidR="009A4C06" w:rsidRDefault="009A4C06" w:rsidP="009A4C06">
      <w:pPr>
        <w:pStyle w:val="Heading4"/>
      </w:pPr>
      <w:r>
        <w:t>1AC Theory is DTD—its key to making sure they’re held accountable since they chose to violate it</w:t>
      </w:r>
    </w:p>
    <w:p w14:paraId="6C8A68B2" w14:textId="77777777" w:rsidR="009A4C06" w:rsidRPr="007A7ECC" w:rsidRDefault="009A4C06" w:rsidP="009A4C06">
      <w:pPr>
        <w:pStyle w:val="Heading4"/>
      </w:pPr>
      <w:r>
        <w:t xml:space="preserve">Competing </w:t>
      </w:r>
      <w:proofErr w:type="spellStart"/>
      <w:r>
        <w:t>interps</w:t>
      </w:r>
      <w:proofErr w:type="spellEnd"/>
      <w:r>
        <w:t xml:space="preserve"> on 1AC Theory- 7 minutes is more than enough time to robustly justify their counter </w:t>
      </w:r>
      <w:proofErr w:type="spellStart"/>
      <w:r>
        <w:t>interp</w:t>
      </w:r>
      <w:proofErr w:type="spellEnd"/>
      <w:r>
        <w:t xml:space="preserve"> </w:t>
      </w:r>
    </w:p>
    <w:p w14:paraId="7F77D1C9" w14:textId="14DF5A0C" w:rsidR="00405A64" w:rsidRDefault="00405A64" w:rsidP="00405A64"/>
    <w:p w14:paraId="473BCB44" w14:textId="632ECC81" w:rsidR="00405A64" w:rsidRPr="00405A64" w:rsidRDefault="00405A64" w:rsidP="00405A64">
      <w:pPr>
        <w:pStyle w:val="Heading3"/>
      </w:pPr>
      <w:r>
        <w:t>Offense</w:t>
      </w:r>
    </w:p>
    <w:p w14:paraId="7CFF6C82" w14:textId="1B896337" w:rsidR="009A4C06" w:rsidRDefault="009A4C06" w:rsidP="009A4C06">
      <w:pPr>
        <w:pStyle w:val="Heading4"/>
        <w:rPr>
          <w:rFonts w:asciiTheme="majorHAnsi" w:hAnsiTheme="majorHAnsi" w:cstheme="majorHAnsi"/>
          <w:lang w:eastAsia="zh-CN"/>
        </w:rPr>
      </w:pPr>
      <w:r>
        <w:rPr>
          <w:rFonts w:asciiTheme="majorHAnsi" w:hAnsiTheme="majorHAnsi" w:cstheme="majorHAnsi"/>
        </w:rPr>
        <w:t>I affirm</w:t>
      </w:r>
      <w:r w:rsidRPr="00311EA6">
        <w:rPr>
          <w:rFonts w:asciiTheme="majorHAnsi" w:hAnsiTheme="majorHAnsi" w:cstheme="majorHAnsi"/>
        </w:rPr>
        <w:t xml:space="preserve"> – </w:t>
      </w:r>
      <w:r w:rsidRPr="00311EA6">
        <w:rPr>
          <w:rFonts w:asciiTheme="majorHAnsi" w:hAnsiTheme="majorHAnsi" w:cstheme="majorHAnsi"/>
          <w:lang w:eastAsia="zh-CN"/>
        </w:rPr>
        <w:t xml:space="preserve">Resolved: The appropriation of outer space by private entities is unjust. </w:t>
      </w:r>
    </w:p>
    <w:p w14:paraId="1484DC80" w14:textId="77777777" w:rsidR="009A4C06" w:rsidRDefault="009A4C06" w:rsidP="009A4C06">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480BD3AC" w14:textId="77777777" w:rsidR="009A4C06" w:rsidRDefault="009A4C06" w:rsidP="009A4C06">
      <w:pPr>
        <w:pStyle w:val="ListParagraph"/>
        <w:numPr>
          <w:ilvl w:val="0"/>
          <w:numId w:val="12"/>
        </w:numPr>
      </w:pPr>
      <w:r>
        <w:t xml:space="preserve">Private entities: </w:t>
      </w:r>
      <w:proofErr w:type="gramStart"/>
      <w:r>
        <w:t>Non-governmental</w:t>
      </w:r>
      <w:proofErr w:type="gramEnd"/>
    </w:p>
    <w:p w14:paraId="08C437AB" w14:textId="77777777" w:rsidR="009A4C06" w:rsidRPr="001D570B" w:rsidRDefault="009A4C06" w:rsidP="009A4C06">
      <w:pPr>
        <w:pStyle w:val="ListParagraph"/>
        <w:numPr>
          <w:ilvl w:val="0"/>
          <w:numId w:val="12"/>
        </w:numPr>
      </w:pPr>
      <w:r>
        <w:t>Space debris: Non-functional Space Objects</w:t>
      </w:r>
    </w:p>
    <w:p w14:paraId="6A9847DA" w14:textId="77777777" w:rsidR="009A4C06" w:rsidRPr="00612602" w:rsidRDefault="009A4C06" w:rsidP="009A4C06">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1" w:history="1">
        <w:r w:rsidRPr="008E3DAC">
          <w:rPr>
            <w:rStyle w:val="Hyperlink"/>
          </w:rPr>
          <w:t>https://www.culsr.org/articles/the-international-legal-regulation-of-space-debris</w:t>
        </w:r>
      </w:hyperlink>
      <w:r>
        <w:t>] Justin</w:t>
      </w:r>
    </w:p>
    <w:p w14:paraId="6F0960E4" w14:textId="77777777" w:rsidR="009A4C06" w:rsidRPr="00934304" w:rsidRDefault="009A4C06" w:rsidP="009A4C06">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5D6FDD8" w14:textId="77777777" w:rsidR="009A4C06" w:rsidRPr="00934304" w:rsidRDefault="009A4C06" w:rsidP="009A4C06">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33D51A6A" w14:textId="77777777" w:rsidR="009A4C06" w:rsidRPr="00934304" w:rsidRDefault="009A4C06" w:rsidP="009A4C06">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11633146" w14:textId="77777777" w:rsidR="009A4C06" w:rsidRDefault="009A4C06" w:rsidP="009A4C06">
      <w:pPr>
        <w:pStyle w:val="Heading4"/>
      </w:pPr>
      <w:r>
        <w:t xml:space="preserve">We’re defining debris </w:t>
      </w:r>
      <w:r w:rsidRPr="00F83AA4">
        <w:t>as</w:t>
      </w:r>
      <w:r>
        <w:t xml:space="preserve"> appropriation – any other interpretation </w:t>
      </w:r>
      <w:r w:rsidRPr="00D83205">
        <w:rPr>
          <w:u w:val="single"/>
        </w:rPr>
        <w:t>collapses</w:t>
      </w:r>
      <w:r>
        <w:t xml:space="preserve"> aff ground.</w:t>
      </w:r>
    </w:p>
    <w:p w14:paraId="2565F8F6" w14:textId="77777777" w:rsidR="009A4C06" w:rsidRPr="00894AA2" w:rsidRDefault="009A4C06" w:rsidP="009A4C06">
      <w:r w:rsidRPr="00894AA2">
        <w:rPr>
          <w:rStyle w:val="Style13ptBold"/>
        </w:rPr>
        <w:t>Johnson 20</w:t>
      </w:r>
      <w:r>
        <w:t xml:space="preserve"> – Christopher, 2020, </w:t>
      </w:r>
      <w:r w:rsidRPr="00894AA2">
        <w:t>Space Law Advisor of Secure World Foundation</w:t>
      </w:r>
      <w:r>
        <w:t>, [“</w:t>
      </w:r>
      <w:r w:rsidRPr="00894AA2">
        <w:t xml:space="preserve">The Legal Status of </w:t>
      </w:r>
      <w:proofErr w:type="spellStart"/>
      <w:r w:rsidRPr="00894AA2">
        <w:t>MegaLEO</w:t>
      </w:r>
      <w:proofErr w:type="spellEnd"/>
      <w:r w:rsidRPr="00894AA2">
        <w:t xml:space="preserve"> Constellations and Concerns About Appropriation of Large Swaths of Earth Orbit</w:t>
      </w:r>
      <w:r>
        <w:t xml:space="preserve">,” </w:t>
      </w:r>
      <w:hyperlink r:id="rId12" w:history="1">
        <w:r w:rsidRPr="008E3DAC">
          <w:rPr>
            <w:rStyle w:val="Hyperlink"/>
          </w:rPr>
          <w:t>https://ui.adsabs.harvard.edu/abs/2020hss..book.1337J/abstract</w:t>
        </w:r>
      </w:hyperlink>
      <w:r>
        <w:t>] Justin</w:t>
      </w:r>
    </w:p>
    <w:p w14:paraId="540CC77D" w14:textId="77777777" w:rsidR="009A4C06" w:rsidRDefault="009A4C06" w:rsidP="009A4C06">
      <w:pPr>
        <w:rPr>
          <w:sz w:val="12"/>
        </w:rPr>
      </w:pPr>
      <w:r w:rsidRPr="00D83205">
        <w:rPr>
          <w:sz w:val="12"/>
        </w:rPr>
        <w:t xml:space="preserve">Long-Term </w:t>
      </w:r>
      <w:r w:rsidRPr="00894AA2">
        <w:rPr>
          <w:rStyle w:val="Emphasis"/>
        </w:rPr>
        <w:t>Occupation Constitutes Appropriation</w:t>
      </w:r>
      <w:r>
        <w:rPr>
          <w:sz w:val="12"/>
        </w:rPr>
        <w:t xml:space="preserve"> </w:t>
      </w:r>
      <w:r w:rsidRPr="00D83205">
        <w:rPr>
          <w:sz w:val="12"/>
        </w:rPr>
        <w:t xml:space="preserve">These altitudes are additionally significant, as nonfunctional spacecraft in orbits lower than around 500 km will re-enter the Earth’s atmosphere in months or a few years, but the altitudes selected for the </w:t>
      </w:r>
      <w:proofErr w:type="spellStart"/>
      <w:r w:rsidRPr="00D83205">
        <w:rPr>
          <w:sz w:val="12"/>
        </w:rPr>
        <w:t>Starlink</w:t>
      </w:r>
      <w:proofErr w:type="spellEnd"/>
      <w:r w:rsidRPr="00D83205">
        <w:rPr>
          <w:sz w:val="12"/>
        </w:rPr>
        <w:t xml:space="preserve"> constellation, while technologically desirable for their purposes, also mean that any spacecraft which are not de-orbited from these regions may be there for decades, or possibly even hundreds of years. By comparison, the granting of rights for orbital slots at GSO is in 15-year increments, a length of time much less than what the altitudes of the </w:t>
      </w:r>
      <w:proofErr w:type="spellStart"/>
      <w:r w:rsidRPr="00D83205">
        <w:rPr>
          <w:sz w:val="12"/>
        </w:rPr>
        <w:t>megaconstellations</w:t>
      </w:r>
      <w:proofErr w:type="spellEnd"/>
      <w:r w:rsidRPr="00D83205">
        <w:rPr>
          <w:sz w:val="12"/>
        </w:rPr>
        <w:t xml:space="preserve"> threaten. Such </w:t>
      </w:r>
      <w:r w:rsidRPr="00D83205">
        <w:rPr>
          <w:u w:val="single"/>
        </w:rPr>
        <w:t>long spans of time</w:t>
      </w:r>
      <w:r w:rsidRPr="00D83205">
        <w:rPr>
          <w:sz w:val="12"/>
        </w:rPr>
        <w:t xml:space="preserve"> at these altitudes by these </w:t>
      </w:r>
      <w:proofErr w:type="spellStart"/>
      <w:r w:rsidRPr="00D83205">
        <w:rPr>
          <w:sz w:val="12"/>
        </w:rPr>
        <w:t>megaconstellations</w:t>
      </w:r>
      <w:proofErr w:type="spellEnd"/>
      <w:r w:rsidRPr="00D83205">
        <w:rPr>
          <w:sz w:val="12"/>
        </w:rPr>
        <w:t xml:space="preserve"> further </w:t>
      </w:r>
      <w:r w:rsidRPr="00D83205">
        <w:rPr>
          <w:u w:val="single"/>
        </w:rPr>
        <w:t xml:space="preserve">bolster the contention that this </w:t>
      </w:r>
      <w:r w:rsidRPr="00B844AE">
        <w:rPr>
          <w:rStyle w:val="Emphasis"/>
          <w:highlight w:val="green"/>
        </w:rPr>
        <w:t>occupation</w:t>
      </w:r>
      <w:r w:rsidRPr="00B844AE">
        <w:rPr>
          <w:highlight w:val="green"/>
          <w:u w:val="single"/>
        </w:rPr>
        <w:t xml:space="preserve"> rises to</w:t>
      </w:r>
      <w:r w:rsidRPr="00D83205">
        <w:rPr>
          <w:u w:val="single"/>
        </w:rPr>
        <w:t xml:space="preserve"> the level of </w:t>
      </w:r>
      <w:r w:rsidRPr="00B844AE">
        <w:rPr>
          <w:rStyle w:val="Emphasis"/>
          <w:highlight w:val="green"/>
        </w:rPr>
        <w:t>appropriation</w:t>
      </w:r>
      <w:r w:rsidRPr="00D83205">
        <w:rPr>
          <w:u w:val="single"/>
        </w:rPr>
        <w:t xml:space="preserve"> of these orbits.</w:t>
      </w:r>
      <w:r>
        <w:rPr>
          <w:u w:val="single"/>
        </w:rPr>
        <w:t xml:space="preserve"> </w:t>
      </w:r>
      <w:r w:rsidRPr="00B844AE">
        <w:rPr>
          <w:highlight w:val="green"/>
          <w:u w:val="single"/>
        </w:rPr>
        <w:t xml:space="preserve">Prevents </w:t>
      </w:r>
      <w:r w:rsidRPr="00B844AE">
        <w:rPr>
          <w:rStyle w:val="Emphasis"/>
          <w:highlight w:val="green"/>
        </w:rPr>
        <w:t>Others from Using Space</w:t>
      </w:r>
      <w:r>
        <w:rPr>
          <w:u w:val="single"/>
        </w:rPr>
        <w:t xml:space="preserve"> </w:t>
      </w:r>
      <w:r w:rsidRPr="00D83205">
        <w:rPr>
          <w:sz w:val="12"/>
        </w:rPr>
        <w:t xml:space="preserve">Article I of the Outer Space Treaty establishes that the exploration and use of outer space is “the province of all mankind.” It further requires that this exploration and use shall be by all States “without discrimination of any kind, on a basis of equality and in accordance with international law...” However, when one private corporation so overwhelmingly possesses entire portions of outer space, their use is discriminatory to other potential users and interferes with their freedom to access, explore, and use outer space. So long as these actors are so dominantly possessing and occupying those orbits, their actions exclude others from using them.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massive occupation of </w:t>
      </w:r>
      <w:proofErr w:type="gramStart"/>
      <w:r w:rsidRPr="00D83205">
        <w:rPr>
          <w:sz w:val="12"/>
        </w:rPr>
        <w:t>particular orbits</w:t>
      </w:r>
      <w:proofErr w:type="gramEnd"/>
      <w:r w:rsidRPr="00D83205">
        <w:rPr>
          <w:sz w:val="12"/>
        </w:rPr>
        <w:t xml:space="preserve"> effectively defeats others from enjoying the use of outer space. While a </w:t>
      </w:r>
      <w:proofErr w:type="gramStart"/>
      <w:r w:rsidRPr="00D83205">
        <w:rPr>
          <w:sz w:val="12"/>
        </w:rPr>
        <w:t>State</w:t>
      </w:r>
      <w:proofErr w:type="gramEnd"/>
      <w:r w:rsidRPr="00D83205">
        <w:rPr>
          <w:sz w:val="12"/>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2"/>
        </w:rPr>
        <w:t xml:space="preserve"> </w:t>
      </w:r>
      <w:r w:rsidRPr="00D83205">
        <w:rPr>
          <w:sz w:val="12"/>
        </w:rPr>
        <w:t>No Due Regard for Others</w:t>
      </w:r>
      <w:r>
        <w:rPr>
          <w:sz w:val="12"/>
        </w:rPr>
        <w:t xml:space="preserve"> </w:t>
      </w:r>
      <w:r w:rsidRPr="00D83205">
        <w:rPr>
          <w:sz w:val="12"/>
        </w:rPr>
        <w:t xml:space="preserve">That these </w:t>
      </w:r>
      <w:proofErr w:type="spellStart"/>
      <w:r w:rsidRPr="00D83205">
        <w:rPr>
          <w:sz w:val="12"/>
        </w:rPr>
        <w:t>megaconstellations</w:t>
      </w:r>
      <w:proofErr w:type="spellEnd"/>
      <w:r w:rsidRPr="00D83205">
        <w:rPr>
          <w:sz w:val="12"/>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D83205">
        <w:rPr>
          <w:sz w:val="12"/>
        </w:rPr>
        <w:t>megaconstellations</w:t>
      </w:r>
      <w:proofErr w:type="spellEnd"/>
      <w:r w:rsidRPr="00D83205">
        <w:rPr>
          <w:sz w:val="12"/>
        </w:rPr>
        <w:t xml:space="preserve"> as showing any type of due regard to the corresponding interests of others. This lack of regard further supports the notion of their unilateral transgressive violations of the purposes of space law norms.</w:t>
      </w:r>
      <w:r>
        <w:rPr>
          <w:sz w:val="12"/>
        </w:rPr>
        <w:t xml:space="preserve"> </w:t>
      </w:r>
      <w:r w:rsidRPr="00D83205">
        <w:rPr>
          <w:sz w:val="12"/>
        </w:rPr>
        <w:t xml:space="preserve">Harmful </w:t>
      </w:r>
      <w:r w:rsidRPr="00894AA2">
        <w:rPr>
          <w:sz w:val="12"/>
        </w:rPr>
        <w:t xml:space="preserve">Contamination </w:t>
      </w:r>
      <w:r w:rsidRPr="00894AA2">
        <w:rPr>
          <w:u w:val="single"/>
        </w:rPr>
        <w:t xml:space="preserve">The </w:t>
      </w:r>
      <w:r w:rsidRPr="00894AA2">
        <w:rPr>
          <w:rStyle w:val="Emphasis"/>
        </w:rPr>
        <w:t>impacts</w:t>
      </w:r>
      <w:r w:rsidRPr="00894AA2">
        <w:rPr>
          <w:u w:val="single"/>
        </w:rPr>
        <w:t xml:space="preserve"> of the</w:t>
      </w:r>
      <w:r w:rsidRPr="00D83205">
        <w:rPr>
          <w:u w:val="single"/>
        </w:rPr>
        <w:t xml:space="preserve"> </w:t>
      </w:r>
      <w:r w:rsidRPr="00894AA2">
        <w:rPr>
          <w:rStyle w:val="Emphasis"/>
        </w:rPr>
        <w:t>spacecraft</w:t>
      </w:r>
      <w:r w:rsidRPr="00D83205">
        <w:rPr>
          <w:u w:val="single"/>
        </w:rPr>
        <w:t xml:space="preserve"> on the pressing issue of </w:t>
      </w:r>
      <w:r w:rsidRPr="00A1278A">
        <w:rPr>
          <w:rStyle w:val="Emphasis"/>
        </w:rPr>
        <w:t>space debris</w:t>
      </w:r>
      <w:r w:rsidRPr="00894AA2">
        <w:rPr>
          <w:rStyle w:val="Emphasis"/>
        </w:rPr>
        <w:t xml:space="preserve"> need not be gone into detail here</w:t>
      </w:r>
      <w:r w:rsidRPr="00D83205">
        <w:rPr>
          <w:sz w:val="12"/>
        </w:rPr>
        <w:t xml:space="preserve">. Suffice it to say, </w:t>
      </w:r>
      <w:proofErr w:type="spellStart"/>
      <w:r w:rsidRPr="00D83205">
        <w:rPr>
          <w:sz w:val="12"/>
        </w:rPr>
        <w:t>megaconstellations</w:t>
      </w:r>
      <w:proofErr w:type="spellEnd"/>
      <w:r w:rsidRPr="00D83205">
        <w:rPr>
          <w:sz w:val="12"/>
        </w:rPr>
        <w:t xml:space="preserve"> threaten mega-debris. The failure rate of these comparatively cheap satellites should give pause, because if 5% of a constellation of 100 satellites fails, this is 5 guaranteed new pieces of debris intentionally introduced to the fragile space domain. Article IX of the </w:t>
      </w:r>
      <w:r w:rsidRPr="00D83205">
        <w:rPr>
          <w:u w:val="single"/>
        </w:rPr>
        <w:t xml:space="preserve">Outer Space Treaty warns of harmful contamination of the space environment and </w:t>
      </w:r>
      <w:r w:rsidRPr="00894AA2">
        <w:rPr>
          <w:rStyle w:val="Emphasis"/>
        </w:rPr>
        <w:t>requires States to take appropriate measures</w:t>
      </w:r>
      <w:r w:rsidRPr="00894AA2">
        <w:rPr>
          <w:u w:val="single"/>
        </w:rPr>
        <w:t xml:space="preserve"> to </w:t>
      </w:r>
      <w:r w:rsidRPr="00894AA2">
        <w:rPr>
          <w:rStyle w:val="Emphasis"/>
        </w:rPr>
        <w:t>prevent this harmful contamination</w:t>
      </w:r>
      <w:r w:rsidRPr="00894AA2">
        <w:rPr>
          <w:sz w:val="12"/>
        </w:rPr>
        <w:t xml:space="preserve">. A responsible government could not, in all seriousness, permit the intentional release of such amounts of space debris, especially in the already fraught orbits that many </w:t>
      </w:r>
      <w:proofErr w:type="spellStart"/>
      <w:r w:rsidRPr="00894AA2">
        <w:rPr>
          <w:sz w:val="12"/>
        </w:rPr>
        <w:t>megaconstellations</w:t>
      </w:r>
      <w:proofErr w:type="spellEnd"/>
      <w:r w:rsidRPr="00894AA2">
        <w:rPr>
          <w:sz w:val="12"/>
        </w:rPr>
        <w:t xml:space="preserve"> are headed towards. </w:t>
      </w:r>
      <w:r w:rsidRPr="00B844AE">
        <w:rPr>
          <w:rStyle w:val="Emphasis"/>
          <w:highlight w:val="green"/>
        </w:rPr>
        <w:t>While</w:t>
      </w:r>
      <w:r w:rsidRPr="00A1278A">
        <w:rPr>
          <w:rStyle w:val="Emphasis"/>
        </w:rPr>
        <w:t xml:space="preserve"> the threat of </w:t>
      </w:r>
      <w:r w:rsidRPr="00B844AE">
        <w:rPr>
          <w:rStyle w:val="Emphasis"/>
          <w:highlight w:val="green"/>
        </w:rPr>
        <w:t>space debris is not directly relevant</w:t>
      </w:r>
      <w:r w:rsidRPr="00A1278A">
        <w:rPr>
          <w:rStyle w:val="Emphasis"/>
        </w:rPr>
        <w:t xml:space="preserve"> to the accusation of appropriation</w:t>
      </w:r>
      <w:r w:rsidRPr="00894AA2">
        <w:rPr>
          <w:sz w:val="12"/>
        </w:rPr>
        <w:t xml:space="preserve"> of outer space, it goes towards the argument that</w:t>
      </w:r>
      <w:r w:rsidRPr="00D83205">
        <w:rPr>
          <w:sz w:val="12"/>
        </w:rPr>
        <w:t xml:space="preserve"> these </w:t>
      </w:r>
      <w:r w:rsidRPr="00B844AE">
        <w:rPr>
          <w:highlight w:val="green"/>
          <w:u w:val="single"/>
        </w:rPr>
        <w:t>actors</w:t>
      </w:r>
      <w:r w:rsidRPr="00D83205">
        <w:rPr>
          <w:u w:val="single"/>
        </w:rPr>
        <w:t xml:space="preserve"> are </w:t>
      </w:r>
      <w:r w:rsidRPr="00A1278A">
        <w:rPr>
          <w:rStyle w:val="Emphasis"/>
        </w:rPr>
        <w:t>conducting</w:t>
      </w:r>
      <w:r w:rsidRPr="00D83205">
        <w:rPr>
          <w:u w:val="single"/>
        </w:rPr>
        <w:t xml:space="preserve"> </w:t>
      </w:r>
      <w:r w:rsidRPr="00A1278A">
        <w:rPr>
          <w:u w:val="single"/>
        </w:rPr>
        <w:t xml:space="preserve">activities in a manner </w:t>
      </w:r>
      <w:r w:rsidRPr="00A1278A">
        <w:rPr>
          <w:rStyle w:val="Emphasis"/>
        </w:rPr>
        <w:t xml:space="preserve">lacking </w:t>
      </w:r>
      <w:proofErr w:type="gramStart"/>
      <w:r w:rsidRPr="00A1278A">
        <w:rPr>
          <w:rStyle w:val="Emphasis"/>
        </w:rPr>
        <w:t>in regard to</w:t>
      </w:r>
      <w:proofErr w:type="gramEnd"/>
      <w:r w:rsidRPr="00A1278A">
        <w:rPr>
          <w:rStyle w:val="Emphasis"/>
        </w:rPr>
        <w:t xml:space="preserve"> others</w:t>
      </w:r>
      <w:r w:rsidRPr="00D83205">
        <w:rPr>
          <w:u w:val="single"/>
        </w:rPr>
        <w:t xml:space="preserve">, and in fact, amounts to </w:t>
      </w:r>
      <w:r w:rsidRPr="00894AA2">
        <w:rPr>
          <w:rStyle w:val="Emphasis"/>
        </w:rPr>
        <w:t>excluding others from using the space domain</w:t>
      </w:r>
      <w:r w:rsidRPr="00D83205">
        <w:rPr>
          <w:u w:val="single"/>
        </w:rPr>
        <w:t xml:space="preserve">. </w:t>
      </w:r>
      <w:r w:rsidRPr="00B844AE">
        <w:rPr>
          <w:highlight w:val="green"/>
          <w:u w:val="single"/>
        </w:rPr>
        <w:t>By excluding others</w:t>
      </w:r>
      <w:r w:rsidRPr="00A1278A">
        <w:rPr>
          <w:u w:val="single"/>
        </w:rPr>
        <w:t>, this</w:t>
      </w:r>
      <w:r w:rsidRPr="00D83205">
        <w:rPr>
          <w:u w:val="single"/>
        </w:rPr>
        <w:t xml:space="preserve"> has the effect of </w:t>
      </w:r>
      <w:r w:rsidRPr="00B844AE">
        <w:rPr>
          <w:rStyle w:val="Emphasis"/>
          <w:highlight w:val="green"/>
        </w:rPr>
        <w:t>tak</w:t>
      </w:r>
      <w:r w:rsidRPr="00894AA2">
        <w:rPr>
          <w:rStyle w:val="Emphasis"/>
        </w:rPr>
        <w:t xml:space="preserve">ing </w:t>
      </w:r>
      <w:r w:rsidRPr="00B844AE">
        <w:rPr>
          <w:rStyle w:val="Emphasis"/>
          <w:highlight w:val="green"/>
        </w:rPr>
        <w:t>orbits for themselves</w:t>
      </w:r>
      <w:r w:rsidRPr="00B844AE">
        <w:rPr>
          <w:highlight w:val="green"/>
          <w:u w:val="single"/>
        </w:rPr>
        <w:t xml:space="preserve">, which </w:t>
      </w:r>
      <w:r w:rsidRPr="00B844AE">
        <w:rPr>
          <w:rStyle w:val="Emphasis"/>
          <w:highlight w:val="green"/>
        </w:rPr>
        <w:t>IS</w:t>
      </w:r>
      <w:r w:rsidRPr="00B844AE">
        <w:rPr>
          <w:highlight w:val="green"/>
          <w:u w:val="single"/>
        </w:rPr>
        <w:t xml:space="preserve"> occupation. If This Isn’t </w:t>
      </w:r>
      <w:r w:rsidRPr="00B844AE">
        <w:rPr>
          <w:rStyle w:val="Emphasis"/>
          <w:highlight w:val="green"/>
        </w:rPr>
        <w:t>Appropriation</w:t>
      </w:r>
      <w:r w:rsidRPr="00B844AE">
        <w:rPr>
          <w:highlight w:val="green"/>
          <w:u w:val="single"/>
        </w:rPr>
        <w:t xml:space="preserve">, Then </w:t>
      </w:r>
      <w:r w:rsidRPr="00B844AE">
        <w:rPr>
          <w:rStyle w:val="Emphasis"/>
          <w:highlight w:val="green"/>
        </w:rPr>
        <w:t>What</w:t>
      </w:r>
      <w:r w:rsidRPr="00B844AE">
        <w:rPr>
          <w:highlight w:val="green"/>
          <w:u w:val="single"/>
        </w:rPr>
        <w:t xml:space="preserve"> </w:t>
      </w:r>
      <w:r w:rsidRPr="00B844AE">
        <w:rPr>
          <w:rStyle w:val="Emphasis"/>
          <w:highlight w:val="green"/>
        </w:rPr>
        <w:t>Is</w:t>
      </w:r>
      <w:r w:rsidRPr="00B844AE">
        <w:rPr>
          <w:highlight w:val="green"/>
          <w:u w:val="single"/>
        </w:rPr>
        <w:t>?</w:t>
      </w:r>
      <w:r>
        <w:rPr>
          <w:u w:val="single"/>
        </w:rPr>
        <w:t xml:space="preserve"> </w:t>
      </w:r>
      <w:r w:rsidRPr="00D83205">
        <w:rPr>
          <w:sz w:val="12"/>
        </w:rPr>
        <w:t xml:space="preserve">Arguing in the alternative, if these </w:t>
      </w:r>
      <w:proofErr w:type="spellStart"/>
      <w:r w:rsidRPr="00D83205">
        <w:rPr>
          <w:sz w:val="12"/>
        </w:rPr>
        <w:t>megaconstellations</w:t>
      </w:r>
      <w:proofErr w:type="spellEnd"/>
      <w:r w:rsidRPr="00D83205">
        <w:rPr>
          <w:sz w:val="12"/>
        </w:rPr>
        <w:t xml:space="preserve"> — in their dominant occupation of entire orbits in orbital planes with numerous satellites — could be considered (merely for the sake of argument) to not be appropriation, we must therefore ask: what would be appropriation? What use of void space, including orbits of the Earth, would constitute actual appropriation?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D83205">
        <w:rPr>
          <w:sz w:val="12"/>
        </w:rPr>
        <w:t>megaconstellations</w:t>
      </w:r>
      <w:proofErr w:type="spellEnd"/>
      <w:r w:rsidRPr="00D83205">
        <w:rPr>
          <w:sz w:val="12"/>
        </w:rPr>
        <w:t xml:space="preserve"> which would then cross the threshold into appropriation. However, a formal claim of sovereignty would be merely an act occurring on Earth and would not change any </w:t>
      </w:r>
      <w:proofErr w:type="gramStart"/>
      <w:r w:rsidRPr="00D83205">
        <w:rPr>
          <w:sz w:val="12"/>
        </w:rPr>
        <w:t>actual facts</w:t>
      </w:r>
      <w:proofErr w:type="gramEnd"/>
      <w:r w:rsidRPr="00D83205">
        <w:rPr>
          <w:sz w:val="12"/>
        </w:rPr>
        <w:t xml:space="preserve"> in the space domain. Consequently, the lack of a formal claim of sovereignty should not be the deciding criteria in arriving at the conclusion that </w:t>
      </w:r>
      <w:proofErr w:type="spellStart"/>
      <w:r w:rsidRPr="00D83205">
        <w:rPr>
          <w:sz w:val="12"/>
        </w:rPr>
        <w:t>megaconstellations</w:t>
      </w:r>
      <w:proofErr w:type="spellEnd"/>
      <w:r w:rsidRPr="00D83205">
        <w:rPr>
          <w:sz w:val="12"/>
        </w:rPr>
        <w:t xml:space="preserve"> constitute appropriation of orbits.</w:t>
      </w:r>
    </w:p>
    <w:p w14:paraId="094DE340" w14:textId="77777777" w:rsidR="009A4C06" w:rsidRDefault="009A4C06" w:rsidP="009A4C06">
      <w:pPr>
        <w:rPr>
          <w:sz w:val="12"/>
        </w:rPr>
      </w:pPr>
    </w:p>
    <w:p w14:paraId="347F1729" w14:textId="77777777" w:rsidR="00405A64" w:rsidRPr="00405A64" w:rsidRDefault="00405A64" w:rsidP="00405A64"/>
    <w:p w14:paraId="1FF796A1" w14:textId="77777777" w:rsidR="00405A64" w:rsidRPr="005F04F4" w:rsidRDefault="00405A64" w:rsidP="00405A64">
      <w:pPr>
        <w:pStyle w:val="Heading4"/>
        <w:rPr>
          <w:rFonts w:cs="Calibri"/>
        </w:rPr>
      </w:pPr>
      <w:r w:rsidRPr="005F04F4">
        <w:rPr>
          <w:rFonts w:cs="Calibri"/>
        </w:rPr>
        <w:t xml:space="preserve">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785A6990" w14:textId="77777777" w:rsidR="00405A64" w:rsidRDefault="00405A64" w:rsidP="00405A64"/>
    <w:p w14:paraId="3F90B9AA" w14:textId="77777777" w:rsidR="00405A64" w:rsidRDefault="00405A64" w:rsidP="00405A64">
      <w:pPr>
        <w:pStyle w:val="Heading4"/>
      </w:pPr>
      <w:r>
        <w:t xml:space="preserve">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2E2F8E71" w14:textId="77777777" w:rsidR="00405A64" w:rsidRDefault="00405A64" w:rsidP="00405A64">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71785D2A" w14:textId="77777777" w:rsidR="00405A64" w:rsidRPr="00ED2E79" w:rsidRDefault="00405A64" w:rsidP="00405A64">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 xml:space="preserve">any system of prop- </w:t>
      </w:r>
      <w:proofErr w:type="spellStart"/>
      <w:r w:rsidRPr="009465E0">
        <w:rPr>
          <w:rStyle w:val="Emphasis"/>
          <w:highlight w:val="cyan"/>
        </w:rPr>
        <w:t>erty</w:t>
      </w:r>
      <w:proofErr w:type="spellEnd"/>
      <w:r w:rsidRPr="009465E0">
        <w:rPr>
          <w:rStyle w:val="Emphasis"/>
          <w:highlight w:val="cyan"/>
        </w:rPr>
        <w:t xml:space="preserve">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319B057A" w14:textId="77777777" w:rsidR="00405A64" w:rsidRDefault="00405A64" w:rsidP="00405A64"/>
    <w:p w14:paraId="4253C6B8" w14:textId="1463F3E5" w:rsidR="00E42E4C" w:rsidRDefault="00405A64" w:rsidP="00405A64">
      <w:pPr>
        <w:pStyle w:val="Heading3"/>
      </w:pPr>
      <w:r>
        <w:t>1AC – Adv</w:t>
      </w:r>
    </w:p>
    <w:p w14:paraId="59906059" w14:textId="77777777" w:rsidR="00405A64" w:rsidRDefault="00405A64" w:rsidP="00405A64">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12CD0D1A" w14:textId="77777777" w:rsidR="00405A64" w:rsidRPr="00667B14" w:rsidRDefault="00405A64" w:rsidP="00405A6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F7C5EF5" w14:textId="77777777" w:rsidR="00405A64" w:rsidRPr="0039526D" w:rsidRDefault="00405A64" w:rsidP="00405A64">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153C5E7" w14:textId="77777777" w:rsidR="00405A64" w:rsidRPr="0039526D" w:rsidRDefault="00405A64" w:rsidP="00405A64">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5DC1425" w14:textId="77777777" w:rsidR="00405A64" w:rsidRPr="0039526D" w:rsidRDefault="00405A64" w:rsidP="00405A64">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26FDB87E" w14:textId="77777777" w:rsidR="00405A64" w:rsidRPr="0039526D" w:rsidRDefault="00405A64" w:rsidP="00405A64">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E9B8693" w14:textId="77777777" w:rsidR="00405A64" w:rsidRPr="0039526D" w:rsidRDefault="00405A64" w:rsidP="00405A64">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5F869635" w14:textId="77777777" w:rsidR="00405A64" w:rsidRPr="00283EEC" w:rsidRDefault="00405A64" w:rsidP="00405A64">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93D632B" w14:textId="77777777" w:rsidR="00405A64" w:rsidRDefault="00405A64" w:rsidP="00405A64">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53124262" w14:textId="77777777" w:rsidR="00405A64" w:rsidRPr="00667B14" w:rsidRDefault="00405A64" w:rsidP="00405A6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E899AAA" w14:textId="77777777" w:rsidR="00405A64" w:rsidRDefault="00405A64" w:rsidP="00405A64">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FFF6FA1" w14:textId="77777777" w:rsidR="00405A64" w:rsidRDefault="00405A64" w:rsidP="00405A64">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56A67B5" w14:textId="77777777" w:rsidR="00405A64" w:rsidRDefault="00405A64" w:rsidP="00405A64">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E1933BD" w14:textId="77777777" w:rsidR="00405A64" w:rsidRPr="00BE0EC1" w:rsidRDefault="00405A64" w:rsidP="00405A64">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07E2C137" w14:textId="77777777" w:rsidR="00405A64" w:rsidRDefault="00405A64" w:rsidP="00405A64">
      <w:r w:rsidRPr="00A44E95">
        <w:rPr>
          <w:noProof/>
        </w:rPr>
        <w:drawing>
          <wp:inline distT="0" distB="0" distL="0" distR="0" wp14:anchorId="077D0A0F" wp14:editId="62F7A7CE">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211B0F82" w14:textId="77777777" w:rsidR="00405A64" w:rsidRPr="005361D2" w:rsidRDefault="00405A64" w:rsidP="00405A64">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262EAE5E" w14:textId="77777777" w:rsidR="00405A64" w:rsidRDefault="00405A64" w:rsidP="00405A64">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67E41234" w14:textId="77777777" w:rsidR="00405A64" w:rsidRDefault="00405A64" w:rsidP="00405A64">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5D2203D5" w14:textId="77777777" w:rsidR="00405A64" w:rsidRDefault="00405A64" w:rsidP="00405A64">
      <w:pPr>
        <w:pStyle w:val="Heading4"/>
      </w:pPr>
      <w:r>
        <w:t xml:space="preserve">Current regulatory guidelines </w:t>
      </w:r>
      <w:r w:rsidRPr="00966BE3">
        <w:rPr>
          <w:u w:val="single"/>
        </w:rPr>
        <w:t>fail</w:t>
      </w:r>
      <w:r>
        <w:t xml:space="preserve"> – answers neg turns.</w:t>
      </w:r>
    </w:p>
    <w:p w14:paraId="7CF9ECEC" w14:textId="77777777" w:rsidR="00405A64" w:rsidRPr="005D6684" w:rsidRDefault="00405A64" w:rsidP="00405A64">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1B03252E" w14:textId="77777777" w:rsidR="00405A64" w:rsidRPr="005D6684" w:rsidRDefault="00405A64" w:rsidP="00405A64">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62B60A89" w14:textId="77777777" w:rsidR="00405A64" w:rsidRPr="005D6684" w:rsidRDefault="00405A64" w:rsidP="00405A64">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7CBF05C7" w14:textId="77777777" w:rsidR="00405A64" w:rsidRPr="005D6684" w:rsidRDefault="00405A64" w:rsidP="00405A64">
      <w:pPr>
        <w:rPr>
          <w:sz w:val="14"/>
        </w:rPr>
      </w:pPr>
      <w:r w:rsidRPr="005D6684">
        <w:rPr>
          <w:sz w:val="14"/>
        </w:rPr>
        <w:t>[Omitted Figures 1 and 2]</w:t>
      </w:r>
    </w:p>
    <w:p w14:paraId="474DA598" w14:textId="77777777" w:rsidR="00405A64" w:rsidRPr="005D6684" w:rsidRDefault="00405A64" w:rsidP="00405A64">
      <w:pPr>
        <w:rPr>
          <w:sz w:val="14"/>
        </w:rPr>
      </w:pPr>
      <w:r w:rsidRPr="005D6684">
        <w:rPr>
          <w:sz w:val="14"/>
        </w:rPr>
        <w:t>Results</w:t>
      </w:r>
    </w:p>
    <w:p w14:paraId="08D68D44" w14:textId="77777777" w:rsidR="00405A64" w:rsidRPr="005D6684" w:rsidRDefault="00405A64" w:rsidP="00405A64">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29F62366" w14:textId="77777777" w:rsidR="00405A64" w:rsidRPr="005D6684" w:rsidRDefault="00405A64" w:rsidP="00405A64">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2B8D4A6" w14:textId="77777777" w:rsidR="00405A64" w:rsidRPr="005D6684" w:rsidRDefault="00405A64" w:rsidP="00405A64">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67C2C0EA" w14:textId="77777777" w:rsidR="00405A64" w:rsidRPr="005D6684" w:rsidRDefault="00405A64" w:rsidP="00405A64">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356FBE54" w14:textId="77777777" w:rsidR="00405A64" w:rsidRPr="005D6684" w:rsidRDefault="00405A64" w:rsidP="00405A64">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1AE576E2" w14:textId="77777777" w:rsidR="00405A64" w:rsidRPr="005D6684" w:rsidRDefault="00405A64" w:rsidP="00405A64">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700E71D3" w14:textId="77777777" w:rsidR="00405A64" w:rsidRPr="005D6684" w:rsidRDefault="00405A64" w:rsidP="00405A64">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75318E8E" w14:textId="77777777" w:rsidR="00405A64" w:rsidRDefault="00405A64" w:rsidP="00405A64">
      <w:pPr>
        <w:pStyle w:val="Heading4"/>
      </w:pPr>
      <w:r>
        <w:t xml:space="preserve">Rivalrous orbits create space conflict and </w:t>
      </w:r>
      <w:r w:rsidRPr="0082664C">
        <w:rPr>
          <w:u w:val="single"/>
        </w:rPr>
        <w:t>turn</w:t>
      </w:r>
      <w:r>
        <w:t xml:space="preserve"> good satellites.</w:t>
      </w:r>
    </w:p>
    <w:p w14:paraId="0936D4CD" w14:textId="77777777" w:rsidR="00405A64" w:rsidRPr="004254A0" w:rsidRDefault="00405A64" w:rsidP="00405A64">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178E6FA7" w14:textId="77777777" w:rsidR="00405A64" w:rsidRPr="004254A0" w:rsidRDefault="00405A64" w:rsidP="00405A64">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4E5E0F77" w14:textId="77777777" w:rsidR="00405A64" w:rsidRPr="0082664C" w:rsidRDefault="00405A64" w:rsidP="00405A64">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0984321C" w14:textId="77777777" w:rsidR="00405A64" w:rsidRPr="004254A0" w:rsidRDefault="00405A64" w:rsidP="00405A64">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2F830289" w14:textId="77777777" w:rsidR="00405A64" w:rsidRPr="004254A0" w:rsidRDefault="00405A64" w:rsidP="00405A64">
      <w:pPr>
        <w:rPr>
          <w:sz w:val="14"/>
        </w:rPr>
      </w:pPr>
      <w:r w:rsidRPr="004254A0">
        <w:rPr>
          <w:sz w:val="14"/>
        </w:rPr>
        <w:t>A little history</w:t>
      </w:r>
    </w:p>
    <w:p w14:paraId="50051B9C" w14:textId="77777777" w:rsidR="00405A64" w:rsidRPr="004254A0" w:rsidRDefault="00405A64" w:rsidP="00405A64">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6F010157" w14:textId="77777777" w:rsidR="00405A64" w:rsidRPr="004254A0" w:rsidRDefault="00405A64" w:rsidP="00405A64">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149D665C" w14:textId="77777777" w:rsidR="00405A64" w:rsidRPr="004254A0" w:rsidRDefault="00405A64" w:rsidP="00405A64">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56CA5B8" w14:textId="77777777" w:rsidR="00405A64" w:rsidRPr="004254A0" w:rsidRDefault="00405A64" w:rsidP="00405A64">
      <w:pPr>
        <w:rPr>
          <w:sz w:val="14"/>
        </w:rPr>
      </w:pPr>
      <w:r w:rsidRPr="004254A0">
        <w:rPr>
          <w:sz w:val="14"/>
        </w:rPr>
        <w:t>A lack of coordination</w:t>
      </w:r>
    </w:p>
    <w:p w14:paraId="641E7CED" w14:textId="77777777" w:rsidR="00405A64" w:rsidRPr="004254A0" w:rsidRDefault="00405A64" w:rsidP="00405A64">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00AB7E52" w14:textId="77777777" w:rsidR="00405A64" w:rsidRPr="004254A0" w:rsidRDefault="00405A64" w:rsidP="00405A64">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4E19CAAF" w14:textId="77777777" w:rsidR="00405A64" w:rsidRDefault="00405A64" w:rsidP="00405A64">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E816C93" w14:textId="77777777" w:rsidR="00405A64" w:rsidRDefault="00405A64" w:rsidP="00405A64">
      <w:pPr>
        <w:pStyle w:val="Heading4"/>
      </w:pPr>
      <w:r>
        <w:t xml:space="preserve">Triggers </w:t>
      </w:r>
      <w:r w:rsidRPr="00B70BA9">
        <w:rPr>
          <w:u w:val="single"/>
        </w:rPr>
        <w:t>space escalation</w:t>
      </w:r>
      <w:r>
        <w:t xml:space="preserve"> and nuclear war.</w:t>
      </w:r>
    </w:p>
    <w:p w14:paraId="562F0FE7" w14:textId="77777777" w:rsidR="00405A64" w:rsidRPr="00B70BA9" w:rsidRDefault="00405A64" w:rsidP="00405A64">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6681FC37" w14:textId="77777777" w:rsidR="00405A64" w:rsidRPr="00B70BA9" w:rsidRDefault="00405A64" w:rsidP="00405A64">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3B5A804" w14:textId="77777777" w:rsidR="00405A64" w:rsidRPr="00B70BA9" w:rsidRDefault="00405A64" w:rsidP="00405A64">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0AFB79B9" w14:textId="77777777" w:rsidR="00405A64" w:rsidRPr="00B70BA9" w:rsidRDefault="00405A64" w:rsidP="00405A64">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6C7960A2" w14:textId="77777777" w:rsidR="00405A64" w:rsidRDefault="00405A64" w:rsidP="00405A64">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66C28AF3" w14:textId="78D7F721" w:rsidR="00405A64" w:rsidRDefault="00405A64" w:rsidP="00405A64">
      <w:pPr>
        <w:pStyle w:val="Heading3"/>
      </w:pPr>
      <w:r>
        <w:t>1AC – Underview</w:t>
      </w:r>
    </w:p>
    <w:p w14:paraId="4B9B4698" w14:textId="400EBFF0" w:rsidR="00405A64" w:rsidRDefault="009A4C06" w:rsidP="009A4C06">
      <w:pPr>
        <w:pStyle w:val="Heading4"/>
        <w:rPr>
          <w:rFonts w:asciiTheme="majorHAnsi" w:hAnsiTheme="majorHAnsi" w:cstheme="majorHAnsi"/>
        </w:rPr>
      </w:pPr>
      <w:r>
        <w:t xml:space="preserve">1] </w:t>
      </w:r>
      <w:r w:rsidRPr="00311EA6">
        <w:rPr>
          <w:rFonts w:asciiTheme="majorHAnsi" w:hAnsiTheme="majorHAnsi" w:cstheme="majorHAnsi"/>
        </w:rPr>
        <w:t xml:space="preserve">1AR theory is legit – anything else means </w:t>
      </w:r>
      <w:r w:rsidRPr="00311EA6">
        <w:rPr>
          <w:rFonts w:asciiTheme="majorHAnsi" w:hAnsiTheme="majorHAnsi" w:cstheme="majorHAnsi"/>
          <w:u w:val="single"/>
        </w:rPr>
        <w:t xml:space="preserve">infinite abuse </w:t>
      </w:r>
      <w:r w:rsidRPr="00311EA6">
        <w:rPr>
          <w:rFonts w:asciiTheme="majorHAnsi" w:hAnsiTheme="majorHAnsi" w:cstheme="majorHAnsi"/>
        </w:rPr>
        <w:t xml:space="preserve">– drop the debater, competing </w:t>
      </w:r>
      <w:proofErr w:type="spellStart"/>
      <w:r w:rsidRPr="00311EA6">
        <w:rPr>
          <w:rFonts w:asciiTheme="majorHAnsi" w:hAnsiTheme="majorHAnsi" w:cstheme="majorHAnsi"/>
        </w:rPr>
        <w:t>interps</w:t>
      </w:r>
      <w:proofErr w:type="spellEnd"/>
      <w:r w:rsidRPr="00311EA6">
        <w:rPr>
          <w:rFonts w:asciiTheme="majorHAnsi" w:hAnsiTheme="majorHAnsi" w:cstheme="majorHAnsi"/>
        </w:rPr>
        <w:t xml:space="preserve">, no </w:t>
      </w:r>
      <w:proofErr w:type="spellStart"/>
      <w:r w:rsidRPr="00311EA6">
        <w:rPr>
          <w:rFonts w:asciiTheme="majorHAnsi" w:hAnsiTheme="majorHAnsi" w:cstheme="majorHAnsi"/>
        </w:rPr>
        <w:t>rvis</w:t>
      </w:r>
      <w:proofErr w:type="spellEnd"/>
      <w:r w:rsidRPr="00311EA6">
        <w:rPr>
          <w:rFonts w:asciiTheme="majorHAnsi" w:hAnsiTheme="majorHAnsi" w:cstheme="majorHAnsi"/>
        </w:rPr>
        <w:t xml:space="preserve">– 1AR is </w:t>
      </w:r>
      <w:r w:rsidRPr="00311EA6">
        <w:rPr>
          <w:rFonts w:asciiTheme="majorHAnsi" w:hAnsiTheme="majorHAnsi" w:cstheme="majorHAnsi"/>
          <w:u w:val="single"/>
        </w:rPr>
        <w:t>too short</w:t>
      </w:r>
      <w:r w:rsidRPr="00311EA6">
        <w:rPr>
          <w:rFonts w:asciiTheme="majorHAnsi" w:hAnsiTheme="majorHAnsi" w:cstheme="majorHAnsi"/>
        </w:rPr>
        <w:t xml:space="preserve"> to make up for the time trade-off – no RVIs or 2NR theory and paradigm issues– 6 min 2NR means they can </w:t>
      </w:r>
      <w:r w:rsidRPr="00311EA6">
        <w:rPr>
          <w:rFonts w:asciiTheme="majorHAnsi" w:hAnsiTheme="majorHAnsi" w:cstheme="majorHAnsi"/>
          <w:u w:val="single"/>
        </w:rPr>
        <w:t>brute force</w:t>
      </w:r>
      <w:r w:rsidRPr="00311EA6">
        <w:rPr>
          <w:rFonts w:asciiTheme="majorHAnsi" w:hAnsiTheme="majorHAnsi" w:cstheme="majorHAnsi"/>
        </w:rPr>
        <w:t xml:space="preserve"> me every time.  Aff theory first – it’s a much larger strategic loss because 1min is ¼ of the 1AR vs 1/7 of the 1NC which means there’s more abuse if I’m devoting a larger fraction of time.</w:t>
      </w:r>
    </w:p>
    <w:p w14:paraId="10E627BE" w14:textId="6F018F05" w:rsidR="009A4C06" w:rsidRDefault="009A4C06" w:rsidP="009A4C06">
      <w:pPr>
        <w:pStyle w:val="Heading4"/>
      </w:pPr>
      <w:r>
        <w:t xml:space="preserve">2] Reasonability for Neg T </w:t>
      </w:r>
      <w:r w:rsidR="003D2D90">
        <w:t xml:space="preserve">and theory violations – T is </w:t>
      </w:r>
      <w:proofErr w:type="spellStart"/>
      <w:r w:rsidR="003D2D90">
        <w:t>irreciprocal</w:t>
      </w:r>
      <w:proofErr w:type="spellEnd"/>
      <w:r w:rsidR="003D2D90">
        <w:t xml:space="preserve"> since we can’t call them non topical and the neg is reactive and can always read </w:t>
      </w:r>
      <w:proofErr w:type="spellStart"/>
      <w:r w:rsidR="003D2D90">
        <w:t>bidrectional</w:t>
      </w:r>
      <w:proofErr w:type="spellEnd"/>
      <w:r w:rsidR="003D2D90">
        <w:t xml:space="preserve"> </w:t>
      </w:r>
      <w:proofErr w:type="spellStart"/>
      <w:r w:rsidR="003D2D90">
        <w:t>interps</w:t>
      </w:r>
      <w:proofErr w:type="spellEnd"/>
      <w:r w:rsidR="003D2D90">
        <w:t xml:space="preserve"> so you should use reasonability to compensate</w:t>
      </w:r>
    </w:p>
    <w:p w14:paraId="29D8A66F" w14:textId="58BA213B" w:rsidR="003D2D90" w:rsidRPr="003D2D90" w:rsidRDefault="003D2D90" w:rsidP="00AD741A">
      <w:pPr>
        <w:pStyle w:val="Heading4"/>
      </w:pPr>
    </w:p>
    <w:sectPr w:rsidR="003D2D90" w:rsidRPr="003D2D9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1F054" w14:textId="77777777" w:rsidR="006943AB" w:rsidRDefault="006943AB" w:rsidP="009A4C06">
      <w:pPr>
        <w:spacing w:after="0" w:line="240" w:lineRule="auto"/>
      </w:pPr>
      <w:r>
        <w:separator/>
      </w:r>
    </w:p>
  </w:endnote>
  <w:endnote w:type="continuationSeparator" w:id="0">
    <w:p w14:paraId="56FEAE98" w14:textId="77777777" w:rsidR="006943AB" w:rsidRDefault="006943AB" w:rsidP="009A4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B47F0" w14:textId="77777777" w:rsidR="006943AB" w:rsidRDefault="006943AB" w:rsidP="009A4C06">
      <w:pPr>
        <w:spacing w:after="0" w:line="240" w:lineRule="auto"/>
      </w:pPr>
      <w:r>
        <w:separator/>
      </w:r>
    </w:p>
  </w:footnote>
  <w:footnote w:type="continuationSeparator" w:id="0">
    <w:p w14:paraId="5DFB140B" w14:textId="77777777" w:rsidR="006943AB" w:rsidRDefault="006943AB" w:rsidP="009A4C06">
      <w:pPr>
        <w:spacing w:after="0" w:line="240" w:lineRule="auto"/>
      </w:pPr>
      <w:r>
        <w:continuationSeparator/>
      </w:r>
    </w:p>
  </w:footnote>
  <w:footnote w:id="1">
    <w:p w14:paraId="48E1DEA1" w14:textId="77777777" w:rsidR="009A4C06" w:rsidRPr="001F6790" w:rsidRDefault="009A4C06" w:rsidP="009A4C06">
      <w:r>
        <w:rPr>
          <w:rStyle w:val="FootnoteReference"/>
        </w:rPr>
        <w:footnoteRef/>
      </w:r>
      <w:r>
        <w:t xml:space="preserve"> </w:t>
      </w:r>
      <w:r w:rsidRPr="001A455A">
        <w:t>https://dictionary.cambridge.org/us/dictionary/english/unjust</w:t>
      </w:r>
    </w:p>
    <w:p w14:paraId="1C269E3B" w14:textId="77777777" w:rsidR="009A4C06" w:rsidRDefault="009A4C06" w:rsidP="009A4C06">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9553685">
    <w:abstractNumId w:val="10"/>
  </w:num>
  <w:num w:numId="2" w16cid:durableId="1713726990">
    <w:abstractNumId w:val="8"/>
  </w:num>
  <w:num w:numId="3" w16cid:durableId="52242680">
    <w:abstractNumId w:val="7"/>
  </w:num>
  <w:num w:numId="4" w16cid:durableId="993533442">
    <w:abstractNumId w:val="6"/>
  </w:num>
  <w:num w:numId="5" w16cid:durableId="2067874000">
    <w:abstractNumId w:val="5"/>
  </w:num>
  <w:num w:numId="6" w16cid:durableId="1044524788">
    <w:abstractNumId w:val="9"/>
  </w:num>
  <w:num w:numId="7" w16cid:durableId="1184638031">
    <w:abstractNumId w:val="4"/>
  </w:num>
  <w:num w:numId="8" w16cid:durableId="792402187">
    <w:abstractNumId w:val="3"/>
  </w:num>
  <w:num w:numId="9" w16cid:durableId="1268736974">
    <w:abstractNumId w:val="2"/>
  </w:num>
  <w:num w:numId="10" w16cid:durableId="1956909645">
    <w:abstractNumId w:val="1"/>
  </w:num>
  <w:num w:numId="11" w16cid:durableId="2122139508">
    <w:abstractNumId w:val="0"/>
  </w:num>
  <w:num w:numId="12" w16cid:durableId="14523616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5A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605D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C86"/>
    <w:rsid w:val="003C5F4C"/>
    <w:rsid w:val="003D2D90"/>
    <w:rsid w:val="003D5EA8"/>
    <w:rsid w:val="003D7B28"/>
    <w:rsid w:val="003E305E"/>
    <w:rsid w:val="003E34DB"/>
    <w:rsid w:val="003E5302"/>
    <w:rsid w:val="003E5BF1"/>
    <w:rsid w:val="003F2452"/>
    <w:rsid w:val="003F41EA"/>
    <w:rsid w:val="003F7DF0"/>
    <w:rsid w:val="004039AF"/>
    <w:rsid w:val="00405A64"/>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B7B38"/>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3A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6C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89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467"/>
    <w:rsid w:val="00976E78"/>
    <w:rsid w:val="009775C0"/>
    <w:rsid w:val="00981F23"/>
    <w:rsid w:val="00990634"/>
    <w:rsid w:val="00991733"/>
    <w:rsid w:val="00992078"/>
    <w:rsid w:val="00992BE3"/>
    <w:rsid w:val="009A1467"/>
    <w:rsid w:val="009A4C06"/>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41A"/>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34B"/>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A7482B"/>
  <w14:defaultImageDpi w14:val="300"/>
  <w15:docId w15:val="{683E7A69-6380-EC4D-8846-75DC03E44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2C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2C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2C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C2C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C2C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2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C86"/>
  </w:style>
  <w:style w:type="character" w:customStyle="1" w:styleId="Heading1Char">
    <w:name w:val="Heading 1 Char"/>
    <w:aliases w:val="Pocket Char"/>
    <w:basedOn w:val="DefaultParagraphFont"/>
    <w:link w:val="Heading1"/>
    <w:uiPriority w:val="9"/>
    <w:rsid w:val="003C2C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2C8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C2C8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C2C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C2C86"/>
    <w:rPr>
      <w:b/>
      <w:sz w:val="26"/>
      <w:u w:val="single"/>
    </w:rPr>
  </w:style>
  <w:style w:type="character" w:customStyle="1" w:styleId="StyleUnderline">
    <w:name w:val="Style Underline"/>
    <w:aliases w:val="Underline"/>
    <w:basedOn w:val="DefaultParagraphFont"/>
    <w:uiPriority w:val="1"/>
    <w:qFormat/>
    <w:rsid w:val="003C2C86"/>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C2C8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C2C8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3C2C86"/>
    <w:rPr>
      <w:color w:val="auto"/>
      <w:u w:val="none"/>
    </w:rPr>
  </w:style>
  <w:style w:type="paragraph" w:styleId="DocumentMap">
    <w:name w:val="Document Map"/>
    <w:basedOn w:val="Normal"/>
    <w:link w:val="DocumentMapChar"/>
    <w:uiPriority w:val="99"/>
    <w:semiHidden/>
    <w:unhideWhenUsed/>
    <w:rsid w:val="003C2C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2C86"/>
    <w:rPr>
      <w:rFonts w:ascii="Lucida Grande" w:hAnsi="Lucida Grande" w:cs="Lucida Grande"/>
    </w:rPr>
  </w:style>
  <w:style w:type="paragraph" w:customStyle="1" w:styleId="textbold">
    <w:name w:val="text bold"/>
    <w:basedOn w:val="Normal"/>
    <w:link w:val="Emphasis"/>
    <w:uiPriority w:val="20"/>
    <w:qFormat/>
    <w:rsid w:val="00405A64"/>
    <w:pPr>
      <w:widowControl w:val="0"/>
      <w:ind w:left="720"/>
      <w:jc w:val="both"/>
    </w:pPr>
    <w:rPr>
      <w:b/>
      <w:iCs/>
      <w:u w:val="single"/>
      <w:bdr w:val="single" w:sz="12" w:space="0" w:color="auto"/>
    </w:rPr>
  </w:style>
  <w:style w:type="paragraph" w:customStyle="1" w:styleId="Emphasis1">
    <w:name w:val="Emphasis1"/>
    <w:basedOn w:val="Normal"/>
    <w:autoRedefine/>
    <w:uiPriority w:val="20"/>
    <w:qFormat/>
    <w:rsid w:val="00405A6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9A4C06"/>
    <w:rPr>
      <w:vertAlign w:val="superscript"/>
    </w:rPr>
  </w:style>
  <w:style w:type="paragraph" w:styleId="FootnoteText">
    <w:name w:val="footnote text"/>
    <w:basedOn w:val="Normal"/>
    <w:link w:val="FootnoteTextChar"/>
    <w:uiPriority w:val="99"/>
    <w:unhideWhenUsed/>
    <w:qFormat/>
    <w:rsid w:val="009A4C06"/>
    <w:pPr>
      <w:spacing w:after="0" w:line="240" w:lineRule="auto"/>
    </w:pPr>
    <w:rPr>
      <w:sz w:val="20"/>
      <w:szCs w:val="20"/>
    </w:rPr>
  </w:style>
  <w:style w:type="character" w:customStyle="1" w:styleId="FootnoteTextChar">
    <w:name w:val="Footnote Text Char"/>
    <w:basedOn w:val="DefaultParagraphFont"/>
    <w:link w:val="FootnoteText"/>
    <w:uiPriority w:val="99"/>
    <w:rsid w:val="009A4C06"/>
    <w:rPr>
      <w:rFonts w:ascii="Calibri" w:hAnsi="Calibri" w:cs="Calibri"/>
      <w:sz w:val="20"/>
      <w:szCs w:val="20"/>
    </w:rPr>
  </w:style>
  <w:style w:type="paragraph" w:styleId="ListParagraph">
    <w:name w:val="List Paragraph"/>
    <w:aliases w:val="6 font"/>
    <w:basedOn w:val="Normal"/>
    <w:uiPriority w:val="99"/>
    <w:unhideWhenUsed/>
    <w:qFormat/>
    <w:rsid w:val="009A4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i.adsabs.harvard.edu/abs/2020hss..book.1337J/abstrac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ure.com/articles/s41598-021-8990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9187</Words>
  <Characters>52371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2022-04-09T19:25:00Z</dcterms:created>
  <dcterms:modified xsi:type="dcterms:W3CDTF">2022-04-09T19:25:00Z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