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04A12" w14:textId="77777777" w:rsidR="00AA78DC" w:rsidRDefault="00AA78DC" w:rsidP="00AA78DC">
      <w:pPr>
        <w:pStyle w:val="Heading2"/>
      </w:pPr>
      <w:bookmarkStart w:id="0" w:name="_Hlk83544658"/>
      <w:r>
        <w:t>1</w:t>
      </w:r>
    </w:p>
    <w:p w14:paraId="4056A2FA" w14:textId="77777777" w:rsidR="00AA78DC" w:rsidRPr="003D5952" w:rsidRDefault="00AA78DC" w:rsidP="00AA78DC">
      <w:pPr>
        <w:pStyle w:val="Heading4"/>
        <w:rPr>
          <w:rFonts w:eastAsia="MS Gothic"/>
        </w:rPr>
      </w:pPr>
      <w:r>
        <w:rPr>
          <w:rFonts w:eastAsia="MS Gothic"/>
        </w:rPr>
        <w:t xml:space="preserve">Interpretation: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56B73632" w14:textId="77777777" w:rsidR="00AA78DC" w:rsidRPr="003D5952" w:rsidRDefault="00AA78DC" w:rsidP="00AA78DC">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4DA71326" w14:textId="77777777" w:rsidR="00AA78DC" w:rsidRPr="003D5952" w:rsidRDefault="00AA78DC" w:rsidP="00AA78DC">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1D9683BB" w14:textId="77777777" w:rsidR="00AA78DC" w:rsidRPr="003D5952" w:rsidRDefault="00AA78DC" w:rsidP="00AA78DC">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32485821" w14:textId="77777777" w:rsidR="00AA78DC" w:rsidRDefault="00AA78DC" w:rsidP="00AA78DC">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1C69B080" w14:textId="77777777" w:rsidR="00AA78DC" w:rsidRPr="00311F58" w:rsidRDefault="00AA78DC" w:rsidP="00AA78DC">
      <w:pPr>
        <w:pStyle w:val="Heading4"/>
        <w:rPr>
          <w:rFonts w:cs="Calibri"/>
          <w:b w:val="0"/>
          <w:iCs w:val="0"/>
          <w:sz w:val="22"/>
          <w:u w:val="single"/>
        </w:rPr>
      </w:pPr>
      <w:r>
        <w:t>Violation: They just preclude future secondary patents</w:t>
      </w:r>
    </w:p>
    <w:p w14:paraId="1DA4CF0E" w14:textId="77777777" w:rsidR="00AA78DC" w:rsidRDefault="00AA78DC" w:rsidP="00AA78DC"/>
    <w:p w14:paraId="56A81A89" w14:textId="77777777" w:rsidR="00AA78DC" w:rsidRPr="000F0F15" w:rsidRDefault="00AA78DC" w:rsidP="00AA78DC">
      <w:pPr>
        <w:pStyle w:val="Heading4"/>
        <w:rPr>
          <w:rFonts w:cs="Calibri"/>
        </w:rPr>
      </w:pPr>
      <w:r w:rsidRPr="000F0F15">
        <w:rPr>
          <w:rFonts w:cs="Calibri"/>
        </w:rPr>
        <w:t>Vote neg:</w:t>
      </w:r>
    </w:p>
    <w:p w14:paraId="0A0EDA6E" w14:textId="77777777" w:rsidR="00AA78DC" w:rsidRDefault="00AA78DC" w:rsidP="00AA78DC">
      <w:pPr>
        <w:pStyle w:val="Heading4"/>
      </w:pPr>
      <w:r>
        <w:t xml:space="preserve">1] </w:t>
      </w:r>
      <w:r w:rsidRPr="005F3BCD">
        <w:t>Limits</w:t>
      </w:r>
      <w:r>
        <w:t xml:space="preserve"> and ground</w:t>
      </w:r>
      <w:r w:rsidRPr="005F3BCD">
        <w:t xml:space="preserve">– their model allows affs to defend anything from </w:t>
      </w:r>
      <w:r>
        <w:t>secondary patents</w:t>
      </w:r>
      <w:r w:rsidRPr="005F3BCD">
        <w:t xml:space="preserve"> to</w:t>
      </w:r>
      <w:r>
        <w:t xml:space="preserve"> eightieth patents to future pandemics </w:t>
      </w:r>
      <w:r w:rsidRPr="005F3BCD">
        <w:t xml:space="preserve">— there's no universal DA since </w:t>
      </w:r>
      <w:r>
        <w:t>it’s impossible to know the future where there won’t be IP</w:t>
      </w:r>
      <w:r w:rsidRPr="005F3BCD">
        <w:t xml:space="preserve">— that explodes neg prep and leads to random </w:t>
      </w:r>
      <w:r>
        <w:t>future patent</w:t>
      </w:r>
      <w:r w:rsidRPr="005F3BCD">
        <w:t xml:space="preserve"> of the week affs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76DE6D92" w14:textId="401FDCDD" w:rsidR="00AA78DC" w:rsidRPr="002F7767" w:rsidRDefault="00AA78DC" w:rsidP="00AA78DC">
      <w:pPr>
        <w:pStyle w:val="Heading4"/>
        <w:rPr>
          <w:rFonts w:cs="Calibri"/>
        </w:rPr>
      </w:pPr>
      <w:r>
        <w:rPr>
          <w:rFonts w:cs="Calibri"/>
        </w:rPr>
        <w:t>2</w:t>
      </w:r>
      <w:r w:rsidRPr="00FF172F">
        <w:rPr>
          <w:rFonts w:cs="Calibri"/>
        </w:rPr>
        <w:t>] TVA –</w:t>
      </w:r>
      <w:r>
        <w:rPr>
          <w:rFonts w:cs="Calibri"/>
        </w:rPr>
        <w:t xml:space="preserve"> defend the advantage to a </w:t>
      </w:r>
      <w:r w:rsidR="00F8534A">
        <w:rPr>
          <w:rFonts w:cs="Calibri"/>
        </w:rPr>
        <w:t>whole reduction aff</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 xml:space="preserve">our model allows you to specify countries and </w:t>
      </w:r>
      <w:proofErr w:type="gramStart"/>
      <w:r>
        <w:rPr>
          <w:rFonts w:cs="Calibri"/>
        </w:rPr>
        <w:t>medicines</w:t>
      </w:r>
      <w:proofErr w:type="gramEnd"/>
      <w:r>
        <w:rPr>
          <w:rFonts w:cs="Calibri"/>
        </w:rPr>
        <w:t xml:space="preserve"> but your model still allows for shifty word PICs.</w:t>
      </w:r>
    </w:p>
    <w:p w14:paraId="4E1E8268" w14:textId="77777777" w:rsidR="00AA78DC" w:rsidRDefault="00AA78DC" w:rsidP="00AA78DC">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37DC01A" w14:textId="77777777" w:rsidR="00AA78DC" w:rsidRDefault="00AA78DC" w:rsidP="00AA78DC">
      <w:pPr>
        <w:pStyle w:val="Heading4"/>
      </w:pPr>
      <w:r>
        <w:t>Drop the debater – a] deter future abuse and b] set better norms for debate.</w:t>
      </w:r>
    </w:p>
    <w:p w14:paraId="0A3F63A4" w14:textId="77777777" w:rsidR="00AA78DC" w:rsidRDefault="00AA78DC" w:rsidP="00AA78DC">
      <w:pPr>
        <w:pStyle w:val="Heading4"/>
      </w:pPr>
      <w:r>
        <w:t>Competing interps – [a] reasonability is arbitrary and encourages judge intervention since there’s no clear norm, [b] it creates a race to the top where we create the best possible norms for debate.</w:t>
      </w:r>
    </w:p>
    <w:p w14:paraId="3CDE34EA" w14:textId="77777777" w:rsidR="00AA78DC" w:rsidRPr="00B91164" w:rsidRDefault="00AA78DC" w:rsidP="00AA78DC">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3A0C089" w14:textId="77777777" w:rsidR="00AA78DC" w:rsidRPr="00322534" w:rsidRDefault="00AA78DC" w:rsidP="00AA78DC"/>
    <w:p w14:paraId="39072535" w14:textId="77777777" w:rsidR="00AA78DC" w:rsidRDefault="00AA78DC" w:rsidP="00AA78DC">
      <w:pPr>
        <w:pStyle w:val="Heading2"/>
      </w:pPr>
      <w:r>
        <w:t>2</w:t>
      </w:r>
    </w:p>
    <w:p w14:paraId="4418D365" w14:textId="77777777" w:rsidR="00FC29DF" w:rsidRDefault="00FC29DF" w:rsidP="00FC29DF">
      <w:pPr>
        <w:pStyle w:val="Heading4"/>
      </w:pPr>
      <w:r>
        <w:t>Interpretation: affirmative debaters must delineate their enforcement mechanism by which they reduce in the 1AC.</w:t>
      </w:r>
    </w:p>
    <w:p w14:paraId="0772A243" w14:textId="77777777" w:rsidR="00FC29DF" w:rsidRPr="008F7A8A" w:rsidRDefault="00FC29DF" w:rsidP="00FC29DF">
      <w:pPr>
        <w:pStyle w:val="Heading4"/>
      </w:pPr>
      <w:r w:rsidRPr="008F7A8A">
        <w:t xml:space="preserve">There is no normal means since terms are </w:t>
      </w:r>
      <w:r w:rsidRPr="008F7A8A">
        <w:rPr>
          <w:u w:val="single"/>
        </w:rPr>
        <w:t>negotiated contextually</w:t>
      </w:r>
      <w:r w:rsidRPr="008F7A8A">
        <w:t xml:space="preserve"> among member states.</w:t>
      </w:r>
    </w:p>
    <w:p w14:paraId="53C78C47" w14:textId="77777777" w:rsidR="00FC29DF" w:rsidRPr="008F7A8A" w:rsidRDefault="00FC29DF" w:rsidP="00FC29DF">
      <w:pPr>
        <w:rPr>
          <w:sz w:val="16"/>
          <w:szCs w:val="26"/>
        </w:rPr>
      </w:pPr>
      <w:r w:rsidRPr="008F7A8A">
        <w:rPr>
          <w:rStyle w:val="Style13ptBold"/>
          <w:szCs w:val="26"/>
        </w:rPr>
        <w:t>WTO</w:t>
      </w:r>
      <w:r w:rsidRPr="008F7A8A">
        <w:rPr>
          <w:rStyle w:val="Style13ptBold"/>
          <w:sz w:val="16"/>
          <w:szCs w:val="26"/>
        </w:rPr>
        <w:t xml:space="preserve"> </w:t>
      </w:r>
      <w:r w:rsidRPr="008F7A8A">
        <w:rPr>
          <w:sz w:val="16"/>
          <w:szCs w:val="26"/>
        </w:rPr>
        <w:t xml:space="preserve">"Whose WTO is it anyway?" </w:t>
      </w:r>
      <w:hyperlink r:id="rId8" w:history="1">
        <w:r w:rsidRPr="008F7A8A">
          <w:rPr>
            <w:rStyle w:val="Hyperlink"/>
            <w:sz w:val="16"/>
            <w:szCs w:val="26"/>
          </w:rPr>
          <w:t>https://www.wto.org/english/thewto_e/whatis_e/tif_e/org1_e.htm</w:t>
        </w:r>
      </w:hyperlink>
      <w:r w:rsidRPr="008F7A8A">
        <w:rPr>
          <w:sz w:val="16"/>
          <w:szCs w:val="26"/>
        </w:rPr>
        <w:t xml:space="preserve"> //Elmer </w:t>
      </w:r>
    </w:p>
    <w:p w14:paraId="295D5284" w14:textId="77777777" w:rsidR="00FC29DF" w:rsidRPr="008F7A8A" w:rsidRDefault="00FC29DF" w:rsidP="00FC29DF">
      <w:pPr>
        <w:rPr>
          <w:sz w:val="16"/>
          <w:szCs w:val="26"/>
        </w:rPr>
      </w:pPr>
      <w:r w:rsidRPr="00681C7D">
        <w:rPr>
          <w:b/>
          <w:szCs w:val="26"/>
          <w:highlight w:val="green"/>
          <w:u w:val="single"/>
        </w:rPr>
        <w:t>When WTO rules impose disciplines</w:t>
      </w:r>
      <w:r w:rsidRPr="008F7A8A">
        <w:rPr>
          <w:sz w:val="16"/>
          <w:szCs w:val="26"/>
        </w:rPr>
        <w:t xml:space="preserve"> on countries’ policies, </w:t>
      </w:r>
      <w:r w:rsidRPr="00681C7D">
        <w:rPr>
          <w:rStyle w:val="Emphasis"/>
        </w:rPr>
        <w:t xml:space="preserve">that </w:t>
      </w:r>
      <w:r w:rsidRPr="00681C7D">
        <w:rPr>
          <w:rStyle w:val="Emphasis"/>
          <w:highlight w:val="green"/>
        </w:rPr>
        <w:t>is the outcome</w:t>
      </w:r>
      <w:r w:rsidRPr="00681C7D">
        <w:rPr>
          <w:rStyle w:val="Emphasis"/>
        </w:rPr>
        <w:t xml:space="preserve"> of negotiations </w:t>
      </w:r>
      <w:r w:rsidRPr="00681C7D">
        <w:rPr>
          <w:rStyle w:val="Emphasis"/>
          <w:highlight w:val="green"/>
        </w:rPr>
        <w:t>among WTO members</w:t>
      </w:r>
      <w:r w:rsidRPr="00681C7D">
        <w:rPr>
          <w:rStyle w:val="Emphasis"/>
        </w:rPr>
        <w:t>.</w:t>
      </w:r>
      <w:r w:rsidRPr="008F7A8A">
        <w:rPr>
          <w:sz w:val="16"/>
          <w:szCs w:val="26"/>
        </w:rPr>
        <w:t xml:space="preserve"> The rules are </w:t>
      </w:r>
      <w:r w:rsidRPr="00681C7D">
        <w:rPr>
          <w:b/>
          <w:szCs w:val="26"/>
          <w:highlight w:val="green"/>
          <w:u w:val="single"/>
        </w:rPr>
        <w:t>enforced</w:t>
      </w:r>
      <w:r w:rsidRPr="00681C7D">
        <w:rPr>
          <w:sz w:val="16"/>
          <w:szCs w:val="26"/>
          <w:highlight w:val="green"/>
        </w:rPr>
        <w:t xml:space="preserve"> </w:t>
      </w:r>
      <w:r w:rsidRPr="00681C7D">
        <w:rPr>
          <w:b/>
          <w:szCs w:val="26"/>
          <w:highlight w:val="green"/>
          <w:u w:val="single"/>
        </w:rPr>
        <w:t>by</w:t>
      </w:r>
      <w:r w:rsidRPr="008F7A8A">
        <w:rPr>
          <w:sz w:val="16"/>
          <w:szCs w:val="26"/>
        </w:rPr>
        <w:t xml:space="preserve"> the </w:t>
      </w:r>
      <w:r w:rsidRPr="00681C7D">
        <w:rPr>
          <w:b/>
          <w:szCs w:val="26"/>
          <w:highlight w:val="green"/>
          <w:u w:val="single"/>
        </w:rPr>
        <w:t>members themselves</w:t>
      </w:r>
      <w:r w:rsidRPr="00681C7D">
        <w:rPr>
          <w:sz w:val="16"/>
          <w:szCs w:val="26"/>
          <w:highlight w:val="green"/>
        </w:rPr>
        <w:t xml:space="preserve"> </w:t>
      </w:r>
      <w:r w:rsidRPr="00681C7D">
        <w:rPr>
          <w:rStyle w:val="Emphasis"/>
          <w:highlight w:val="green"/>
        </w:rPr>
        <w:t>under</w:t>
      </w:r>
      <w:r w:rsidRPr="00681C7D">
        <w:rPr>
          <w:rStyle w:val="Emphasis"/>
        </w:rPr>
        <w:t xml:space="preserve"> agreed </w:t>
      </w:r>
      <w:r w:rsidRPr="00681C7D">
        <w:rPr>
          <w:rStyle w:val="Emphasis"/>
          <w:highlight w:val="green"/>
        </w:rPr>
        <w:t>procedures that they negotiated</w:t>
      </w:r>
      <w:r w:rsidRPr="00681C7D">
        <w:rPr>
          <w:rStyle w:val="Emphasis"/>
        </w:rPr>
        <w:t>, including the possibility of trade sanctions</w:t>
      </w:r>
      <w:r w:rsidRPr="008F7A8A">
        <w:rPr>
          <w:sz w:val="16"/>
          <w:szCs w:val="26"/>
        </w:rPr>
        <w:t xml:space="preserve">. But those sanctions are imposed by member </w:t>
      </w:r>
      <w:proofErr w:type="gramStart"/>
      <w:r w:rsidRPr="008F7A8A">
        <w:rPr>
          <w:sz w:val="16"/>
          <w:szCs w:val="26"/>
        </w:rPr>
        <w:t>countries, and</w:t>
      </w:r>
      <w:proofErr w:type="gramEnd"/>
      <w:r w:rsidRPr="008F7A8A">
        <w:rPr>
          <w:sz w:val="16"/>
          <w:szCs w:val="26"/>
        </w:rPr>
        <w:t xml:space="preserve"> authorized by the membership as a whole. This is quite different from other agencies whose bureaucracies can, for example, influence a country’s policy by threatening to withhold credit.</w:t>
      </w:r>
    </w:p>
    <w:p w14:paraId="7C3359CE" w14:textId="77777777" w:rsidR="00FC29DF" w:rsidRDefault="00FC29DF" w:rsidP="00FC29DF"/>
    <w:p w14:paraId="59093B74" w14:textId="77777777" w:rsidR="00FC29DF" w:rsidRDefault="00FC29DF" w:rsidP="00FC29DF">
      <w:pPr>
        <w:pStyle w:val="Heading4"/>
      </w:pPr>
      <w:r>
        <w:t>Negate:</w:t>
      </w:r>
    </w:p>
    <w:p w14:paraId="523AC8A7" w14:textId="77777777" w:rsidR="00FC29DF" w:rsidRPr="004501D4" w:rsidRDefault="00FC29DF" w:rsidP="00FC29DF">
      <w:pPr>
        <w:pStyle w:val="Heading4"/>
      </w:pPr>
      <w:r>
        <w:t xml:space="preserve">1] </w:t>
      </w:r>
      <w:r w:rsidRPr="004501D4">
        <w:rPr>
          <w:u w:val="single"/>
        </w:rPr>
        <w:t>Shiftiness</w:t>
      </w:r>
      <w:r>
        <w:t xml:space="preserve">- they can redefine what measure of reduction the 1ac defends in the 1ar which decks strategy and allows them to wriggle out of negative positions which strips the neg of specific politics DAs, process CPs, innovation DAs and case answers. They will always win on specificity weighing. </w:t>
      </w:r>
    </w:p>
    <w:p w14:paraId="34307DA5" w14:textId="77777777" w:rsidR="00FC29DF" w:rsidRPr="004501D4" w:rsidRDefault="00FC29DF" w:rsidP="00FC29DF">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4350E7A7" w14:textId="77777777" w:rsidR="00FC29DF" w:rsidRDefault="00FC29DF" w:rsidP="00FC29DF">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how to enforce it.</w:t>
      </w:r>
    </w:p>
    <w:p w14:paraId="11D3BACD" w14:textId="77777777" w:rsidR="00FC29DF" w:rsidRDefault="00FC29DF" w:rsidP="00FC29DF">
      <w:pPr>
        <w:pStyle w:val="Heading4"/>
      </w:pPr>
      <w:r>
        <w:t xml:space="preserve">This spec shell isn’t regressive- it literally determines </w:t>
      </w:r>
      <w:r>
        <w:rPr>
          <w:u w:val="single"/>
        </w:rPr>
        <w:t>how</w:t>
      </w:r>
      <w:r>
        <w:t xml:space="preserve"> the affirmative implements and </w:t>
      </w:r>
      <w:r w:rsidRPr="004501D4">
        <w:rPr>
          <w:u w:val="single"/>
        </w:rPr>
        <w:t>who</w:t>
      </w:r>
      <w:r>
        <w:t xml:space="preserve"> it affects</w:t>
      </w:r>
    </w:p>
    <w:p w14:paraId="1581C79F" w14:textId="77777777" w:rsidR="00AA78DC" w:rsidRPr="00321EC3" w:rsidRDefault="00AA78DC" w:rsidP="00AA78DC"/>
    <w:p w14:paraId="2ED3E32C" w14:textId="77777777" w:rsidR="00AA78DC" w:rsidRDefault="00AA78DC" w:rsidP="00AA78DC">
      <w:pPr>
        <w:pStyle w:val="Heading2"/>
      </w:pPr>
      <w:r>
        <w:t>3</w:t>
      </w:r>
    </w:p>
    <w:p w14:paraId="11BEE29C" w14:textId="77777777" w:rsidR="00AA78DC" w:rsidRPr="00F44728" w:rsidRDefault="00AA78DC" w:rsidP="00AA78DC">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6308230E" w14:textId="77777777" w:rsidR="00AA78DC" w:rsidRPr="00F44728" w:rsidRDefault="00AA78DC" w:rsidP="00AA78DC">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9" w:history="1">
        <w:r w:rsidRPr="00F44728">
          <w:rPr>
            <w:rStyle w:val="Hyperlink"/>
          </w:rPr>
          <w:t>https://www.maritime-executive.com/editorials/wto-inches-towards-a-deal-to-end-harmful-fishing-subsidies</w:t>
        </w:r>
      </w:hyperlink>
      <w:r w:rsidRPr="00F44728">
        <w:t>] Justin</w:t>
      </w:r>
    </w:p>
    <w:p w14:paraId="4A35CC9E" w14:textId="77777777" w:rsidR="00AA78DC" w:rsidRPr="00F44728" w:rsidRDefault="00AA78DC" w:rsidP="00AA78DC">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w:t>
      </w:r>
      <w:proofErr w:type="gramStart"/>
      <w:r w:rsidRPr="00F44728">
        <w:rPr>
          <w:sz w:val="16"/>
        </w:rPr>
        <w:t>unreported</w:t>
      </w:r>
      <w:proofErr w:type="gramEnd"/>
      <w:r w:rsidRPr="00F44728">
        <w:rPr>
          <w:sz w:val="16"/>
        </w:rPr>
        <w:t xml:space="preserve">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Varda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w:t>
      </w:r>
      <w:proofErr w:type="gramStart"/>
      <w:r w:rsidRPr="00F44728">
        <w:rPr>
          <w:sz w:val="16"/>
        </w:rPr>
        <w:t>economic</w:t>
      </w:r>
      <w:proofErr w:type="gramEnd"/>
      <w:r w:rsidRPr="00F44728">
        <w:rPr>
          <w:sz w:val="16"/>
        </w:rPr>
        <w:t xml:space="preserve">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w:t>
      </w:r>
      <w:proofErr w:type="gramStart"/>
      <w:r w:rsidRPr="00F44728">
        <w:rPr>
          <w:u w:val="single"/>
        </w:rPr>
        <w:t>exploited</w:t>
      </w:r>
      <w:proofErr w:type="gramEnd"/>
      <w:r w:rsidRPr="00F44728">
        <w:rPr>
          <w:u w:val="single"/>
        </w:rPr>
        <w:t xml:space="preserve">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0CF79EE5" w14:textId="77777777" w:rsidR="00AA78DC" w:rsidRPr="00F44728" w:rsidRDefault="00AA78DC" w:rsidP="00AA78DC"/>
    <w:p w14:paraId="12977456" w14:textId="77777777" w:rsidR="00AA78DC" w:rsidRPr="00F44728" w:rsidRDefault="00AA78DC" w:rsidP="00AA78DC">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5756C31C" w14:textId="77777777" w:rsidR="00AA78DC" w:rsidRPr="00F44728" w:rsidRDefault="00AA78DC" w:rsidP="00AA78DC">
      <w:pPr>
        <w:rPr>
          <w:sz w:val="16"/>
          <w:szCs w:val="16"/>
        </w:rPr>
      </w:pPr>
      <w:r w:rsidRPr="00F44728">
        <w:rPr>
          <w:sz w:val="16"/>
          <w:szCs w:val="16"/>
        </w:rPr>
        <w:t>DC = DEVELOPING COUNTRY</w:t>
      </w:r>
    </w:p>
    <w:p w14:paraId="3687E808" w14:textId="77777777" w:rsidR="00AA78DC" w:rsidRPr="00F44728" w:rsidRDefault="00AA78DC" w:rsidP="00AA78DC">
      <w:pPr>
        <w:rPr>
          <w:sz w:val="16"/>
          <w:szCs w:val="16"/>
        </w:rPr>
      </w:pPr>
      <w:r w:rsidRPr="00F44728">
        <w:rPr>
          <w:sz w:val="16"/>
          <w:szCs w:val="16"/>
        </w:rPr>
        <w:t>NET = NET EXPORTER OF TECH (advanced countries)</w:t>
      </w:r>
    </w:p>
    <w:p w14:paraId="16DD531A" w14:textId="77777777" w:rsidR="00AA78DC" w:rsidRPr="00F44728" w:rsidRDefault="00AA78DC" w:rsidP="00AA78DC">
      <w:pPr>
        <w:rPr>
          <w:sz w:val="16"/>
          <w:szCs w:val="16"/>
        </w:rPr>
      </w:pPr>
      <w:r w:rsidRPr="00F44728">
        <w:rPr>
          <w:sz w:val="16"/>
          <w:szCs w:val="16"/>
        </w:rPr>
        <w:t>TNC = Trade Negotiations Committee</w:t>
      </w:r>
    </w:p>
    <w:p w14:paraId="43C9B7E7" w14:textId="77777777" w:rsidR="00AA78DC" w:rsidRPr="00F44728" w:rsidRDefault="00AA78DC" w:rsidP="00AA78DC">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2CA1003F" w14:textId="77777777" w:rsidR="00AA78DC" w:rsidRPr="00F44728" w:rsidRDefault="00AA78DC" w:rsidP="00AA78DC">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379336DF" w14:textId="77777777" w:rsidR="00AA78DC" w:rsidRPr="00F44728" w:rsidRDefault="00AA78DC" w:rsidP="00AA78DC">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w:t>
      </w:r>
      <w:proofErr w:type="gramStart"/>
      <w:r w:rsidRPr="00F44728">
        <w:rPr>
          <w:rStyle w:val="Emphasis"/>
        </w:rPr>
        <w:t>resources</w:t>
      </w:r>
      <w:proofErr w:type="gramEnd"/>
      <w:r w:rsidRPr="00F44728">
        <w:rPr>
          <w:rStyle w:val="Emphasis"/>
        </w:rPr>
        <w:t xml:space="preserve">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25ACD584" w14:textId="77777777" w:rsidR="00AA78DC" w:rsidRPr="00F44728" w:rsidRDefault="00AA78DC" w:rsidP="00AA78DC">
      <w:pPr>
        <w:rPr>
          <w:sz w:val="16"/>
        </w:rPr>
      </w:pPr>
    </w:p>
    <w:p w14:paraId="7287EDE2" w14:textId="77777777" w:rsidR="00AA78DC" w:rsidRPr="00F44728" w:rsidRDefault="00AA78DC" w:rsidP="00AA78DC">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63BDFB7F" w14:textId="77777777" w:rsidR="00AA78DC" w:rsidRPr="00F44728" w:rsidRDefault="00AA78DC" w:rsidP="00AA78DC">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10" w:history="1">
        <w:r w:rsidRPr="00F44728">
          <w:rPr>
            <w:rStyle w:val="Hyperlink"/>
          </w:rPr>
          <w:t>https://www.greenmatters.com/p/how-overfishing-affects-biodiversity</w:t>
        </w:r>
      </w:hyperlink>
      <w:r w:rsidRPr="00F44728">
        <w:t>] Justin</w:t>
      </w:r>
    </w:p>
    <w:p w14:paraId="0A6635D8" w14:textId="77777777" w:rsidR="00AA78DC" w:rsidRPr="00F44728" w:rsidRDefault="00AA78DC" w:rsidP="00AA78DC">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w:t>
      </w:r>
      <w:proofErr w:type="gramStart"/>
      <w:r w:rsidRPr="00F44728">
        <w:rPr>
          <w:sz w:val="16"/>
        </w:rPr>
        <w:t>exist, or</w:t>
      </w:r>
      <w:proofErr w:type="gramEnd"/>
      <w:r w:rsidRPr="00F44728">
        <w:rPr>
          <w:sz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w:t>
      </w:r>
      <w:proofErr w:type="gramStart"/>
      <w:r w:rsidRPr="00F44728">
        <w:rPr>
          <w:sz w:val="16"/>
        </w:rPr>
        <w:t>necessary, because</w:t>
      </w:r>
      <w:proofErr w:type="gramEnd"/>
      <w:r w:rsidRPr="00F44728">
        <w:rPr>
          <w:sz w:val="16"/>
        </w:rPr>
        <w:t xml:space="preserv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0E2C58DE" w14:textId="77777777" w:rsidR="00AA78DC" w:rsidRPr="00F44728" w:rsidRDefault="00AA78DC" w:rsidP="00AA78DC"/>
    <w:p w14:paraId="5659F55E" w14:textId="77777777" w:rsidR="00AA78DC" w:rsidRPr="00F44728" w:rsidRDefault="00AA78DC" w:rsidP="00AA78DC">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5427043E" w14:textId="77777777" w:rsidR="00AA78DC" w:rsidRPr="00F44728" w:rsidRDefault="00AA78DC" w:rsidP="00AA78DC">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11" w:history="1">
        <w:r w:rsidRPr="00F44728">
          <w:rPr>
            <w:rStyle w:val="Hyperlink"/>
          </w:rPr>
          <w:t>https://thebulletin.org/2016/04/biodiversity-loss-an-existential-risk-comparable-to-climate-change/</w:t>
        </w:r>
      </w:hyperlink>
      <w:r w:rsidRPr="00F44728">
        <w:t>] Justin</w:t>
      </w:r>
    </w:p>
    <w:p w14:paraId="77DAAA58" w14:textId="77777777" w:rsidR="00AA78DC" w:rsidRPr="00F44728" w:rsidRDefault="00AA78DC" w:rsidP="00AA78DC">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1AC5DA6C" w14:textId="77777777" w:rsidR="00AA78DC" w:rsidRPr="00F44728" w:rsidRDefault="00AA78DC" w:rsidP="00AA78DC">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33591CCE" w14:textId="77777777" w:rsidR="00AA78DC" w:rsidRPr="00F44728" w:rsidRDefault="00AA78DC" w:rsidP="00AA78DC">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7CB2CDD2" w14:textId="77777777" w:rsidR="00AA78DC" w:rsidRPr="00F44728" w:rsidRDefault="00AA78DC" w:rsidP="00AA78DC">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28ED9F6" w14:textId="77777777" w:rsidR="00AA78DC" w:rsidRPr="00F44728" w:rsidRDefault="00AA78DC" w:rsidP="00AA78DC">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6D4CA920" w14:textId="77777777" w:rsidR="00AA78DC" w:rsidRDefault="00AA78DC" w:rsidP="00AA78DC">
      <w:pPr>
        <w:pStyle w:val="Heading2"/>
      </w:pPr>
      <w:r>
        <w:t>4</w:t>
      </w:r>
    </w:p>
    <w:p w14:paraId="31012D15" w14:textId="77777777" w:rsidR="00AA78DC" w:rsidRDefault="00AA78DC" w:rsidP="00AA78DC">
      <w:pPr>
        <w:pStyle w:val="Heading4"/>
      </w:pPr>
      <w:r>
        <w:t xml:space="preserve">CP text: States should add more stringent requirements for filing secondary patents by requiring secondary patent filers to demonstrate increased efficacy as compared to the original.  Solves all your offense by reducing purely strategic patents while permitting R and D for genuine improvements.  </w:t>
      </w:r>
    </w:p>
    <w:p w14:paraId="152B4D3B" w14:textId="77777777" w:rsidR="00AA78DC" w:rsidRDefault="00AA78DC" w:rsidP="00AA78DC">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393E98AA" w14:textId="77777777" w:rsidR="00AA78DC" w:rsidRPr="00637114" w:rsidRDefault="00AA78DC" w:rsidP="00AA78DC">
      <w:pPr>
        <w:rPr>
          <w:sz w:val="16"/>
        </w:rPr>
      </w:pPr>
      <w:r w:rsidRPr="00637114">
        <w:rPr>
          <w:u w:val="single"/>
        </w:rPr>
        <w:t xml:space="preserve">The current framework for evaluating a patent application, particularly the requirements of utility and </w:t>
      </w:r>
      <w:proofErr w:type="spellStart"/>
      <w:r w:rsidRPr="00637114">
        <w:rPr>
          <w:u w:val="single"/>
        </w:rPr>
        <w:t>nonobviousness</w:t>
      </w:r>
      <w:proofErr w:type="spellEnd"/>
      <w:r w:rsidRPr="00637114">
        <w:rPr>
          <w:u w:val="single"/>
        </w:rPr>
        <w:t>,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31738F7F" w14:textId="77777777" w:rsidR="00AA78DC" w:rsidRPr="00637114" w:rsidRDefault="00AA78DC" w:rsidP="00AA78DC">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3954B788" w14:textId="77777777" w:rsidR="00AA78DC" w:rsidRPr="00637114" w:rsidRDefault="00AA78DC" w:rsidP="00AA78DC">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02119F52" w14:textId="77777777" w:rsidR="00AA78DC" w:rsidRPr="00637114" w:rsidRDefault="00AA78DC" w:rsidP="00AA78DC">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7919C821" w14:textId="77777777" w:rsidR="00AA78DC" w:rsidRPr="00637114" w:rsidRDefault="00AA78DC" w:rsidP="00AA78DC">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w:t>
      </w:r>
      <w:proofErr w:type="spellStart"/>
      <w:r w:rsidRPr="00637114">
        <w:rPr>
          <w:u w:val="single"/>
        </w:rPr>
        <w:t>VidaDrug</w:t>
      </w:r>
      <w:proofErr w:type="spellEnd"/>
      <w:r w:rsidRPr="00637114">
        <w:rPr>
          <w:u w:val="single"/>
        </w:rPr>
        <w:t xml:space="preserve">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proofErr w:type="gramStart"/>
      <w:r w:rsidRPr="00AB18E8">
        <w:rPr>
          <w:highlight w:val="green"/>
          <w:u w:val="single"/>
        </w:rPr>
        <w:t>insufficient</w:t>
      </w:r>
      <w:r w:rsidRPr="00637114">
        <w:rPr>
          <w:u w:val="single"/>
        </w:rPr>
        <w:t>, because</w:t>
      </w:r>
      <w:proofErr w:type="gramEnd"/>
      <w:r w:rsidRPr="00637114">
        <w:rPr>
          <w:u w:val="single"/>
        </w:rPr>
        <w:t xml:space="preserve"> the underlying purpose of the drug - to treat cancer - remains unaffected. </w:t>
      </w:r>
    </w:p>
    <w:p w14:paraId="6D1F94CC" w14:textId="77777777" w:rsidR="00AA78DC" w:rsidRDefault="00AA78DC" w:rsidP="00AA78DC">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6F9C3BC9" w14:textId="77777777" w:rsidR="00AA78DC" w:rsidRDefault="00AA78DC" w:rsidP="00AA78DC">
      <w:pPr>
        <w:rPr>
          <w:sz w:val="16"/>
        </w:rPr>
      </w:pPr>
    </w:p>
    <w:p w14:paraId="57AE7A97" w14:textId="77777777" w:rsidR="00AA78DC" w:rsidRPr="00637114" w:rsidRDefault="00AA78DC" w:rsidP="00AA78DC">
      <w:pPr>
        <w:pStyle w:val="Heading4"/>
      </w:pPr>
      <w:r>
        <w:t>Solves best.</w:t>
      </w:r>
    </w:p>
    <w:p w14:paraId="5BA1D456" w14:textId="77777777" w:rsidR="00AA78DC" w:rsidRDefault="00AA78DC" w:rsidP="00AA78DC">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6A5BCD24" w14:textId="2B6CB920" w:rsidR="00AA78DC" w:rsidRDefault="00AA78DC" w:rsidP="00AA78DC">
      <w:pPr>
        <w:rPr>
          <w:sz w:val="16"/>
          <w:szCs w:val="16"/>
        </w:rPr>
      </w:pPr>
      <w:r w:rsidRPr="00AB18E8">
        <w:rPr>
          <w:sz w:val="16"/>
        </w:rPr>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w:t>
      </w:r>
      <w:r>
        <w:rPr>
          <w:sz w:val="16"/>
        </w:rPr>
        <w:t xml:space="preserve"> </w:t>
      </w:r>
      <w:r w:rsidRPr="00631DAF">
        <w:rPr>
          <w:rFonts w:cs="Calibri"/>
          <w:u w:val="single"/>
        </w:rPr>
        <w:t xml:space="preserve">An Efficacy-Focused </w:t>
      </w:r>
      <w:r w:rsidRPr="00631DAF">
        <w:rPr>
          <w:rFonts w:cs="Calibri"/>
          <w:highlight w:val="green"/>
          <w:u w:val="single"/>
        </w:rPr>
        <w:t>Standard</w:t>
      </w:r>
      <w:r w:rsidRPr="00631DAF">
        <w:rPr>
          <w:rFonts w:cs="Calibri"/>
          <w:u w:val="single"/>
        </w:rPr>
        <w:t xml:space="preserve"> Will Motivate Pharmaceutical Companies to Channel Resources to Creating Real Innovation</w:t>
      </w:r>
      <w:r w:rsidRPr="00631DAF">
        <w:rPr>
          <w:sz w:val="16"/>
        </w:rPr>
        <w:t xml:space="preserve"> Pharmaceutical companies argue that patent-life-cycle-management strategies (their preferred name for those tactics described herein as evergreening) are essential to ensuring they recoup R&amp;D costs. 145 However, </w:t>
      </w:r>
      <w:r w:rsidRPr="00631DAF">
        <w:rPr>
          <w:rFonts w:cs="Calibri"/>
          <w:u w:val="single"/>
        </w:rPr>
        <w:t xml:space="preserve">creation of a standard such as the one proposed here would </w:t>
      </w:r>
      <w:r w:rsidRPr="00631DAF">
        <w:rPr>
          <w:rFonts w:cs="Calibri"/>
          <w:highlight w:val="green"/>
          <w:u w:val="single"/>
        </w:rPr>
        <w:t>ensure</w:t>
      </w:r>
      <w:r w:rsidRPr="00631DAF">
        <w:rPr>
          <w:rFonts w:cs="Calibri"/>
          <w:u w:val="single"/>
        </w:rPr>
        <w:t xml:space="preserve"> that pharmaceutical </w:t>
      </w:r>
      <w:r w:rsidRPr="00631DAF">
        <w:rPr>
          <w:rFonts w:cs="Calibri"/>
          <w:highlight w:val="green"/>
          <w:u w:val="single"/>
        </w:rPr>
        <w:t>companies</w:t>
      </w:r>
      <w:r w:rsidRPr="00631DAF">
        <w:rPr>
          <w:rFonts w:cs="Calibri"/>
          <w:u w:val="single"/>
        </w:rPr>
        <w:t xml:space="preserve"> are properly incentivized to </w:t>
      </w:r>
      <w:r w:rsidRPr="00631DAF">
        <w:rPr>
          <w:rFonts w:cs="Calibri"/>
          <w:highlight w:val="green"/>
          <w:u w:val="single"/>
        </w:rPr>
        <w:t>channel R&amp;D resources</w:t>
      </w:r>
      <w:r w:rsidRPr="00631DAF">
        <w:rPr>
          <w:rFonts w:cs="Calibri"/>
          <w:u w:val="single"/>
        </w:rPr>
        <w:t xml:space="preserve"> to creating measurable change in the drugs, rather than creating minor changes</w:t>
      </w:r>
      <w:r w:rsidRPr="00631DAF">
        <w:rPr>
          <w:sz w:val="16"/>
        </w:rPr>
        <w:t xml:space="preserve"> that prolong the time they can profit off of monopolies at the expense of patients. For those industries in which R&amp;D is more productive, like the pharmaceutical industry, "</w:t>
      </w:r>
      <w:r w:rsidRPr="00631DAF">
        <w:rPr>
          <w:rFonts w:cs="Calibri"/>
          <w:u w:val="single"/>
        </w:rPr>
        <w:t>patent procedures should be refined to tighten the relationship between patents and the underlying inventions</w:t>
      </w:r>
      <w:r w:rsidRPr="00631DAF">
        <w:rPr>
          <w:sz w:val="16"/>
        </w:rPr>
        <w:t>."14 6</w:t>
      </w:r>
      <w:r>
        <w:rPr>
          <w:sz w:val="16"/>
        </w:rPr>
        <w:t xml:space="preserve"> </w:t>
      </w:r>
      <w:r w:rsidRPr="00631DAF">
        <w:rPr>
          <w:sz w:val="16"/>
          <w:szCs w:val="16"/>
        </w:rPr>
        <w:t xml:space="preserve">A </w:t>
      </w:r>
      <w:r w:rsidRPr="00631DAF">
        <w:rPr>
          <w:rFonts w:cs="Calibri"/>
          <w:u w:val="single"/>
        </w:rPr>
        <w:t xml:space="preserve">Higher Standard for Secondary Pharmaceutical Patents Will </w:t>
      </w:r>
      <w:r w:rsidRPr="00631DAF">
        <w:rPr>
          <w:rFonts w:cs="Calibri"/>
          <w:highlight w:val="green"/>
          <w:u w:val="single"/>
        </w:rPr>
        <w:t>Increase Competition</w:t>
      </w:r>
      <w:r w:rsidRPr="00631DAF">
        <w:rPr>
          <w:rFonts w:cs="Calibri"/>
          <w:u w:val="single"/>
        </w:rPr>
        <w:t xml:space="preserve"> &amp; Lead to Lower Prices</w:t>
      </w:r>
      <w:r w:rsidRPr="00631DAF">
        <w:rPr>
          <w:sz w:val="16"/>
          <w:szCs w:val="16"/>
        </w:rPr>
        <w:t xml:space="preserve"> The patent system enables pharmaceutical companies to retain market exclusivity for their drugs, allowing them to set high prices without an eye toward competition.1 47 The </w:t>
      </w:r>
      <w:r w:rsidRPr="00631DAF">
        <w:rPr>
          <w:rFonts w:cs="Calibri"/>
          <w:u w:val="single"/>
        </w:rPr>
        <w:t>companies cite the need to recoup R&amp;D costs as the driving factor for their pricing decisions</w:t>
      </w:r>
      <w:r w:rsidRPr="00631DAF">
        <w:rPr>
          <w:sz w:val="16"/>
          <w:szCs w:val="16"/>
        </w:rPr>
        <w:t xml:space="preserve">,148 but </w:t>
      </w:r>
      <w:r w:rsidRPr="00631DAF">
        <w:rPr>
          <w:rFonts w:cs="Calibri"/>
          <w:u w:val="single"/>
        </w:rPr>
        <w:t>critics say their main motivation is making a profit</w:t>
      </w:r>
      <w:r w:rsidRPr="00631DAF">
        <w:rPr>
          <w:sz w:val="16"/>
          <w:szCs w:val="16"/>
        </w:rPr>
        <w:t xml:space="preserve">.'49 While the pharmaceutical companies' argument may hold weight, high prices for drugs have a negative impact on those patients who need those drugs, but cannot afford them.150 </w:t>
      </w:r>
      <w:r w:rsidRPr="00631DAF">
        <w:rPr>
          <w:rFonts w:cs="Calibri"/>
          <w:highlight w:val="green"/>
          <w:u w:val="single"/>
        </w:rPr>
        <w:t>Tightening</w:t>
      </w:r>
      <w:r w:rsidRPr="00631DAF">
        <w:rPr>
          <w:rFonts w:cs="Calibri"/>
          <w:u w:val="single"/>
        </w:rPr>
        <w:t xml:space="preserve"> patent </w:t>
      </w:r>
      <w:r w:rsidRPr="00631DAF">
        <w:rPr>
          <w:rFonts w:cs="Calibri"/>
          <w:highlight w:val="green"/>
          <w:u w:val="single"/>
        </w:rPr>
        <w:t>laws</w:t>
      </w:r>
      <w:r w:rsidRPr="00631DAF">
        <w:rPr>
          <w:rFonts w:cs="Calibri"/>
          <w:u w:val="single"/>
        </w:rPr>
        <w:t xml:space="preserve"> to </w:t>
      </w:r>
      <w:r w:rsidRPr="00631DAF">
        <w:rPr>
          <w:rFonts w:cs="Calibri"/>
          <w:highlight w:val="green"/>
          <w:u w:val="single"/>
        </w:rPr>
        <w:t>prevent</w:t>
      </w:r>
      <w:r w:rsidRPr="00631DAF">
        <w:rPr>
          <w:rFonts w:cs="Calibri"/>
          <w:u w:val="single"/>
        </w:rPr>
        <w:t xml:space="preserve"> pharmaceutical companies from </w:t>
      </w:r>
      <w:r w:rsidRPr="00631DAF">
        <w:rPr>
          <w:rFonts w:cs="Calibri"/>
          <w:highlight w:val="green"/>
          <w:u w:val="single"/>
        </w:rPr>
        <w:t>retaining</w:t>
      </w:r>
      <w:r w:rsidRPr="00631DAF">
        <w:rPr>
          <w:rFonts w:cs="Calibri"/>
          <w:u w:val="single"/>
        </w:rPr>
        <w:t xml:space="preserve"> patent protection for </w:t>
      </w:r>
      <w:r w:rsidRPr="00631DAF">
        <w:rPr>
          <w:rFonts w:cs="Calibri"/>
          <w:highlight w:val="green"/>
          <w:u w:val="single"/>
        </w:rPr>
        <w:t>minor changes</w:t>
      </w:r>
      <w:r w:rsidRPr="00631DAF">
        <w:rPr>
          <w:rFonts w:cs="Calibri"/>
          <w:u w:val="single"/>
        </w:rPr>
        <w:t xml:space="preserve"> in their patented drugs will allow other companies to enter the marketplace sooner and drive prices down through competition</w:t>
      </w:r>
      <w:r w:rsidRPr="00631DAF">
        <w:rPr>
          <w:sz w:val="16"/>
          <w:szCs w:val="16"/>
        </w:rPr>
        <w:t>. 5</w:t>
      </w:r>
    </w:p>
    <w:p w14:paraId="0506CF74" w14:textId="56DA2161" w:rsidR="00FC29DF" w:rsidRDefault="00FC29DF" w:rsidP="00FC29DF">
      <w:pPr>
        <w:pStyle w:val="Heading2"/>
      </w:pPr>
      <w:r>
        <w:t>5</w:t>
      </w:r>
    </w:p>
    <w:p w14:paraId="76BF05AF" w14:textId="69B6D2F6" w:rsidR="00FC29DF" w:rsidRDefault="00FC29DF" w:rsidP="00FC29DF">
      <w:pPr>
        <w:pStyle w:val="Heading4"/>
      </w:pPr>
      <w:r>
        <w:t xml:space="preserve">Text: A nation appointed international panel of scientists including National Academies and corresponding organizations should </w:t>
      </w:r>
      <w:r w:rsidRPr="00F8534A">
        <w:rPr>
          <w:highlight w:val="yellow"/>
        </w:rPr>
        <w:t>[</w:t>
      </w:r>
      <w:r w:rsidR="00F8534A" w:rsidRPr="00F8534A">
        <w:rPr>
          <w:highlight w:val="yellow"/>
        </w:rPr>
        <w:t>reduce intellectual property protections for medicines by implementing a one-and-done approach for patent protection</w:t>
      </w:r>
      <w:proofErr w:type="gramStart"/>
      <w:r w:rsidR="00F8534A" w:rsidRPr="00F8534A">
        <w:rPr>
          <w:highlight w:val="yellow"/>
        </w:rPr>
        <w:t xml:space="preserve">. </w:t>
      </w:r>
      <w:r w:rsidRPr="00F8534A">
        <w:rPr>
          <w:highlight w:val="yellow"/>
        </w:rPr>
        <w:t>]</w:t>
      </w:r>
      <w:proofErr w:type="gramEnd"/>
      <w:r>
        <w:t xml:space="preserve"> and manage similar conflicts of interest between intellectual property.</w:t>
      </w:r>
    </w:p>
    <w:p w14:paraId="194A02EA" w14:textId="77777777" w:rsidR="00FC29DF" w:rsidRPr="00E4626A" w:rsidRDefault="00FC29DF" w:rsidP="00FC29DF"/>
    <w:p w14:paraId="475E8A9F" w14:textId="77777777" w:rsidR="00FC29DF" w:rsidRDefault="00FC29DF" w:rsidP="00FC29DF">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10F8D7C5" w14:textId="77777777" w:rsidR="00FC29DF" w:rsidRPr="007B0628" w:rsidRDefault="00FC29DF" w:rsidP="00FC29DF">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2" w:history="1">
        <w:r w:rsidRPr="007B0628">
          <w:t>https://americandiplomacy.web.unc.edu/2018/09/leveraging-diplomacy-for-managing-scientific-challenges-an-opportunity-to-navigate-the-future-of-science/</w:t>
        </w:r>
      </w:hyperlink>
      <w:r w:rsidRPr="007B0628">
        <w:t>] Justin</w:t>
      </w:r>
    </w:p>
    <w:p w14:paraId="357A6A86" w14:textId="77777777" w:rsidR="00FC29DF" w:rsidRPr="00EE77AE" w:rsidRDefault="00FC29DF" w:rsidP="00FC29DF">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345554DF" w14:textId="77777777" w:rsidR="00FC29DF" w:rsidRPr="00EE77AE" w:rsidRDefault="00FC29DF" w:rsidP="00FC29DF">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48A5BFB6" w14:textId="77777777" w:rsidR="00FC29DF" w:rsidRPr="00EE77AE" w:rsidRDefault="00FC29DF" w:rsidP="00FC29DF">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19B874A6" w14:textId="77777777" w:rsidR="00FC29DF" w:rsidRPr="00EE77AE" w:rsidRDefault="00FC29DF" w:rsidP="00FC29DF">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545FBB60" w14:textId="77777777" w:rsidR="00FC29DF" w:rsidRPr="00EE77AE" w:rsidRDefault="00FC29DF" w:rsidP="00FC29DF">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77A43F1E" w14:textId="77777777" w:rsidR="00FC29DF" w:rsidRPr="00EE77AE" w:rsidRDefault="00FC29DF" w:rsidP="00FC29DF">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73165BA7" w14:textId="77777777" w:rsidR="00FC29DF" w:rsidRPr="00EE77AE" w:rsidRDefault="00FC29DF" w:rsidP="00FC29DF">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3BC71C51" w14:textId="77777777" w:rsidR="00FC29DF" w:rsidRPr="00EE77AE" w:rsidRDefault="00FC29DF" w:rsidP="00FC29DF">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609612A3" w14:textId="77777777" w:rsidR="00FC29DF" w:rsidRPr="00EE77AE" w:rsidRDefault="00FC29DF" w:rsidP="00FC29DF">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855CE6E" w14:textId="77777777" w:rsidR="00FC29DF" w:rsidRPr="00EE77AE" w:rsidRDefault="00FC29DF" w:rsidP="00FC29DF">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0EDD3C4A" w14:textId="77777777" w:rsidR="00FC29DF" w:rsidRDefault="00FC29DF" w:rsidP="00FC29DF"/>
    <w:p w14:paraId="585E8CC4" w14:textId="77777777" w:rsidR="00FC29DF" w:rsidRPr="00E4626A" w:rsidRDefault="00FC29DF" w:rsidP="00FC29DF">
      <w:pPr>
        <w:pStyle w:val="Heading4"/>
      </w:pPr>
      <w:r>
        <w:t xml:space="preserve">Solves every </w:t>
      </w:r>
      <w:r>
        <w:rPr>
          <w:u w:val="single"/>
        </w:rPr>
        <w:t>existential threat</w:t>
      </w:r>
      <w:r>
        <w:t>.</w:t>
      </w:r>
    </w:p>
    <w:p w14:paraId="3E4B29A6" w14:textId="77777777" w:rsidR="00FC29DF" w:rsidRDefault="00FC29DF" w:rsidP="00FC29DF">
      <w:r w:rsidRPr="004350A1">
        <w:rPr>
          <w:rStyle w:val="Style13ptBold"/>
        </w:rPr>
        <w:t>Haynes 18</w:t>
      </w:r>
      <w:r>
        <w:t xml:space="preserve">—research associate in the Neurobiology Department at Harvard Medical School (Trevor, “Science Diplomacy: Collaboration in a rapidly changing world,” </w:t>
      </w:r>
      <w:hyperlink r:id="rId13"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6489951A" w14:textId="77777777" w:rsidR="00FC29DF" w:rsidRPr="004350A1" w:rsidRDefault="00FC29DF" w:rsidP="00FC29DF">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0D29F172" w14:textId="77777777" w:rsidR="00FC29DF" w:rsidRPr="004350A1" w:rsidRDefault="00FC29DF" w:rsidP="00FC29DF">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1D206494" w14:textId="77777777" w:rsidR="00FC29DF" w:rsidRPr="004350A1" w:rsidRDefault="00FC29DF" w:rsidP="00FC29DF">
      <w:pPr>
        <w:rPr>
          <w:sz w:val="16"/>
        </w:rPr>
      </w:pPr>
      <w:r w:rsidRPr="004350A1">
        <w:rPr>
          <w:sz w:val="16"/>
        </w:rPr>
        <w:t>What is science diplomacy?</w:t>
      </w:r>
    </w:p>
    <w:p w14:paraId="7EBF4426" w14:textId="77777777" w:rsidR="00FC29DF" w:rsidRPr="004350A1" w:rsidRDefault="00FC29DF" w:rsidP="00FC29DF">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0AA66377" w14:textId="77777777" w:rsidR="00FC29DF" w:rsidRPr="004350A1" w:rsidRDefault="00FC29DF" w:rsidP="00FC29DF">
      <w:pPr>
        <w:rPr>
          <w:sz w:val="16"/>
        </w:rPr>
      </w:pPr>
      <w:r w:rsidRPr="004350A1">
        <w:rPr>
          <w:sz w:val="16"/>
        </w:rPr>
        <w:t>Natural disasters don’t respect national boundaries (and neither does the aftermath)</w:t>
      </w:r>
    </w:p>
    <w:p w14:paraId="2C4270DF" w14:textId="77777777" w:rsidR="00FC29DF" w:rsidRPr="004350A1" w:rsidRDefault="00FC29DF" w:rsidP="00FC29DF">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0BF0EE09" w14:textId="77777777" w:rsidR="00FC29DF" w:rsidRPr="004350A1" w:rsidRDefault="00FC29DF" w:rsidP="00FC29DF">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34E88CA3" w14:textId="77777777" w:rsidR="00FC29DF" w:rsidRPr="00902253" w:rsidRDefault="00FC29DF" w:rsidP="00FC29DF">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586819FD" w14:textId="77777777" w:rsidR="00FC29DF" w:rsidRPr="00902253" w:rsidRDefault="00FC29DF" w:rsidP="00FC29DF">
      <w:pPr>
        <w:rPr>
          <w:sz w:val="16"/>
        </w:rPr>
      </w:pPr>
      <w:r w:rsidRPr="00902253">
        <w:rPr>
          <w:sz w:val="16"/>
        </w:rPr>
        <w:t>Explore or Exploit? Managing international spaces</w:t>
      </w:r>
    </w:p>
    <w:p w14:paraId="2CB9D168" w14:textId="77777777" w:rsidR="00FC29DF" w:rsidRPr="004350A1" w:rsidRDefault="00FC29DF" w:rsidP="00FC29DF">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6FA35C18" w14:textId="77777777" w:rsidR="00FC29DF" w:rsidRPr="004350A1" w:rsidRDefault="00FC29DF" w:rsidP="00FC29DF">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w:t>
      </w:r>
      <w:proofErr w:type="gramStart"/>
      <w:r w:rsidRPr="005F1D82">
        <w:rPr>
          <w:rStyle w:val="StyleUnderline"/>
        </w:rPr>
        <w:t>prevention</w:t>
      </w:r>
      <w:proofErr w:type="gramEnd"/>
      <w:r w:rsidRPr="005F1D82">
        <w:rPr>
          <w:rStyle w:val="StyleUnderline"/>
        </w:rPr>
        <w:t xml:space="preserve">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6910F256" w14:textId="77777777" w:rsidR="00FC29DF" w:rsidRPr="004350A1" w:rsidRDefault="00FC29DF" w:rsidP="00FC29DF">
      <w:pPr>
        <w:rPr>
          <w:sz w:val="16"/>
        </w:rPr>
      </w:pPr>
      <w:r w:rsidRPr="004350A1">
        <w:rPr>
          <w:sz w:val="16"/>
        </w:rPr>
        <w:t>Science diplomacy going forward</w:t>
      </w:r>
    </w:p>
    <w:p w14:paraId="4A2DC38E" w14:textId="77777777" w:rsidR="00FC29DF" w:rsidRPr="005F1D82" w:rsidRDefault="00FC29DF" w:rsidP="00FC29DF">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58B3F128" w14:textId="77777777" w:rsidR="00FC29DF" w:rsidRPr="004350A1" w:rsidRDefault="00FC29DF" w:rsidP="00FC29DF">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0A376BD1" w14:textId="59030BFB" w:rsidR="00FC29DF" w:rsidRDefault="00FC29DF" w:rsidP="00FC29DF">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64EF8BAD" w14:textId="0DB7A882" w:rsidR="00FC29DF" w:rsidRDefault="00FC29DF" w:rsidP="00FC29DF">
      <w:pPr>
        <w:pStyle w:val="Heading4"/>
      </w:pPr>
      <w:r>
        <w:t>Condo Pics good:</w:t>
      </w:r>
    </w:p>
    <w:p w14:paraId="21F2FC69" w14:textId="728E13A6" w:rsidR="00FC29DF" w:rsidRPr="00FC29DF" w:rsidRDefault="00FC29DF" w:rsidP="00FC29DF">
      <w:pPr>
        <w:pStyle w:val="Heading4"/>
      </w:pPr>
      <w:r>
        <w:t>1</w:t>
      </w:r>
      <w:r w:rsidRPr="00FC29DF">
        <w:t>] All counterplans are PICs because they must include all or part of the plan like taking action—that’s core neg ground—otherwise we can’t test the aff at all and they never have to defend their position or they can read affs that would obviously be solved by other things and it would be illogical to do—means your interp is just condo bad</w:t>
      </w:r>
      <w:proofErr w:type="gramStart"/>
      <w:r w:rsidRPr="00FC29DF">
        <w:t>—[</w:t>
      </w:r>
      <w:proofErr w:type="gramEnd"/>
      <w:r w:rsidRPr="00FC29DF">
        <w:t>insert condo good if time] </w:t>
      </w:r>
    </w:p>
    <w:p w14:paraId="01CA02F8" w14:textId="1A1E1352" w:rsidR="00FC29DF" w:rsidRPr="00FC29DF" w:rsidRDefault="00FC29DF" w:rsidP="00FC29DF">
      <w:pPr>
        <w:pStyle w:val="Heading4"/>
      </w:pPr>
      <w:r>
        <w:t>2</w:t>
      </w:r>
      <w:r w:rsidRPr="00FC29DF">
        <w:t>] The aff gets infinite prep and if we can find the CP so can you—means you should have prep for it and you should’ve worked out the 1AR to answer condo. </w:t>
      </w:r>
    </w:p>
    <w:p w14:paraId="3DE087C3" w14:textId="0D1A6255" w:rsidR="00FC29DF" w:rsidRPr="00FC29DF" w:rsidRDefault="00FC29DF" w:rsidP="00FC29DF">
      <w:pPr>
        <w:pStyle w:val="Heading4"/>
      </w:pPr>
      <w:r>
        <w:t>3</w:t>
      </w:r>
      <w:r w:rsidRPr="00FC29DF">
        <w:t>] The aff should have to prove they are optimal, not just good—we should be able to test every part of the 1AC and test it against a marketplace of ideas—key to advocacy skills—also means </w:t>
      </w:r>
      <w:proofErr w:type="spellStart"/>
      <w:r w:rsidRPr="00FC29DF">
        <w:t>disads</w:t>
      </w:r>
      <w:proofErr w:type="spellEnd"/>
      <w:r w:rsidRPr="00FC29DF">
        <w:t> don’t solve—they’d just weigh other parts of the case instead of rigorously defending their position, which is key to real-world change. Also justifies condo in conjunction with PICs—different policymakers will attack the plan from different angles simultaneously—some with PICS out of certain parts of bills like CIR and others defending the status quo—we optimize advocacy skills because you have to defend every part of the plan against multiple positions—key to real world decision-making. </w:t>
      </w:r>
    </w:p>
    <w:p w14:paraId="69C50900" w14:textId="29949611" w:rsidR="00FC29DF" w:rsidRPr="00FC29DF" w:rsidRDefault="00FC29DF" w:rsidP="00FC29DF">
      <w:pPr>
        <w:pStyle w:val="Heading4"/>
      </w:pPr>
      <w:r>
        <w:t>4</w:t>
      </w:r>
      <w:r w:rsidRPr="00FC29DF">
        <w:t>] PICs are good—key to logical </w:t>
      </w:r>
      <w:proofErr w:type="gramStart"/>
      <w:r w:rsidRPr="00FC29DF">
        <w:t>policy-making</w:t>
      </w:r>
      <w:proofErr w:type="gramEnd"/>
      <w:r w:rsidRPr="00FC29DF">
        <w:t> and testing the aff</w:t>
      </w:r>
      <w:r>
        <w:t xml:space="preserve"> -</w:t>
      </w:r>
      <w:r w:rsidRPr="00FC29DF">
        <w:t xml:space="preserve"> your interp concedes PICs good. </w:t>
      </w:r>
    </w:p>
    <w:p w14:paraId="2F970533" w14:textId="341DC4AC" w:rsidR="00A95652" w:rsidRPr="00B55AD5" w:rsidRDefault="00FC29DF" w:rsidP="00E37CF3">
      <w:pPr>
        <w:pStyle w:val="Heading4"/>
      </w:pPr>
      <w:r>
        <w:t>5</w:t>
      </w:r>
      <w:r w:rsidRPr="00FC29DF">
        <w:t>] Reject the argument not the team—means they get the whole aff back and we lose the PIC—we’ve both wasted time on theory so it’s non-unique and us losing the argument is clearly sufficient to deter us from running it in the future—rejecting the arg is key to substantive clash because we can just debate about the rest of the round, which is still valuable—some semblance of education about the topic outweighs a vague deterrence claim. </w:t>
      </w:r>
      <w:bookmarkEnd w:id="0"/>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984CC" w14:textId="77777777" w:rsidR="00BC2676" w:rsidRDefault="00BC2676" w:rsidP="00AA78DC">
      <w:pPr>
        <w:spacing w:after="0" w:line="240" w:lineRule="auto"/>
      </w:pPr>
      <w:r>
        <w:separator/>
      </w:r>
    </w:p>
  </w:endnote>
  <w:endnote w:type="continuationSeparator" w:id="0">
    <w:p w14:paraId="291449D0" w14:textId="77777777" w:rsidR="00BC2676" w:rsidRDefault="00BC2676" w:rsidP="00AA7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A67FC" w14:textId="77777777" w:rsidR="00BC2676" w:rsidRDefault="00BC2676" w:rsidP="00AA78DC">
      <w:pPr>
        <w:spacing w:after="0" w:line="240" w:lineRule="auto"/>
      </w:pPr>
      <w:r>
        <w:separator/>
      </w:r>
    </w:p>
  </w:footnote>
  <w:footnote w:type="continuationSeparator" w:id="0">
    <w:p w14:paraId="3CA3DF6A" w14:textId="77777777" w:rsidR="00BC2676" w:rsidRDefault="00BC2676" w:rsidP="00AA78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78DC"/>
    <w:rsid w:val="000139A3"/>
    <w:rsid w:val="00100833"/>
    <w:rsid w:val="00104529"/>
    <w:rsid w:val="00105942"/>
    <w:rsid w:val="00107396"/>
    <w:rsid w:val="0011420A"/>
    <w:rsid w:val="00144A4C"/>
    <w:rsid w:val="00176AB0"/>
    <w:rsid w:val="00177B7D"/>
    <w:rsid w:val="0018322D"/>
    <w:rsid w:val="00191342"/>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5891"/>
    <w:rsid w:val="00A93661"/>
    <w:rsid w:val="00A95652"/>
    <w:rsid w:val="00AA78DC"/>
    <w:rsid w:val="00AC0AB8"/>
    <w:rsid w:val="00B33C6D"/>
    <w:rsid w:val="00B4508F"/>
    <w:rsid w:val="00B55AD5"/>
    <w:rsid w:val="00B8057C"/>
    <w:rsid w:val="00BC267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082"/>
    <w:rsid w:val="00DA6538"/>
    <w:rsid w:val="00E15E75"/>
    <w:rsid w:val="00E37CF3"/>
    <w:rsid w:val="00E5262C"/>
    <w:rsid w:val="00EC704A"/>
    <w:rsid w:val="00EC7DC4"/>
    <w:rsid w:val="00ED30CF"/>
    <w:rsid w:val="00EF37A1"/>
    <w:rsid w:val="00F176EF"/>
    <w:rsid w:val="00F45E10"/>
    <w:rsid w:val="00F6364A"/>
    <w:rsid w:val="00F8534A"/>
    <w:rsid w:val="00F9113A"/>
    <w:rsid w:val="00FC29D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501C1"/>
  <w15:chartTrackingRefBased/>
  <w15:docId w15:val="{761A0781-A705-4E11-97EF-DA1297DF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CF3"/>
    <w:rPr>
      <w:rFonts w:ascii="Calibri" w:hAnsi="Calibri"/>
    </w:rPr>
  </w:style>
  <w:style w:type="paragraph" w:styleId="Heading1">
    <w:name w:val="heading 1"/>
    <w:aliases w:val="Pocket"/>
    <w:basedOn w:val="Normal"/>
    <w:next w:val="Normal"/>
    <w:link w:val="Heading1Char"/>
    <w:qFormat/>
    <w:rsid w:val="00E37C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7C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7C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E37C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7C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CF3"/>
  </w:style>
  <w:style w:type="character" w:customStyle="1" w:styleId="Heading1Char">
    <w:name w:val="Heading 1 Char"/>
    <w:aliases w:val="Pocket Char"/>
    <w:basedOn w:val="DefaultParagraphFont"/>
    <w:link w:val="Heading1"/>
    <w:rsid w:val="00E37C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7C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7CF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37CF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7"/>
    <w:qFormat/>
    <w:rsid w:val="00E37C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7CF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E37CF3"/>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E37CF3"/>
    <w:rPr>
      <w:color w:val="auto"/>
      <w:u w:val="none"/>
    </w:rPr>
  </w:style>
  <w:style w:type="character" w:styleId="FollowedHyperlink">
    <w:name w:val="FollowedHyperlink"/>
    <w:basedOn w:val="DefaultParagraphFont"/>
    <w:uiPriority w:val="99"/>
    <w:semiHidden/>
    <w:unhideWhenUsed/>
    <w:rsid w:val="00E37CF3"/>
    <w:rPr>
      <w:color w:val="auto"/>
      <w:u w:val="none"/>
    </w:rPr>
  </w:style>
  <w:style w:type="paragraph" w:customStyle="1" w:styleId="textbold">
    <w:name w:val="text bold"/>
    <w:basedOn w:val="Normal"/>
    <w:link w:val="Emphasis"/>
    <w:uiPriority w:val="7"/>
    <w:qFormat/>
    <w:rsid w:val="00AA78D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AA78DC"/>
    <w:pPr>
      <w:ind w:left="720"/>
      <w:contextualSpacing/>
    </w:pPr>
    <w:rPr>
      <w:rFonts w:asciiTheme="minorHAnsi" w:hAnsiTheme="minorHAns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
    <w:basedOn w:val="Heading1"/>
    <w:link w:val="Hyperlink"/>
    <w:autoRedefine/>
    <w:uiPriority w:val="99"/>
    <w:qFormat/>
    <w:rsid w:val="00AA78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AA78DC"/>
    <w:rPr>
      <w:vertAlign w:val="superscript"/>
    </w:rPr>
  </w:style>
  <w:style w:type="paragraph" w:styleId="FootnoteText">
    <w:name w:val="footnote text"/>
    <w:basedOn w:val="Normal"/>
    <w:link w:val="FootnoteTextChar"/>
    <w:uiPriority w:val="99"/>
    <w:unhideWhenUsed/>
    <w:qFormat/>
    <w:rsid w:val="00AA78DC"/>
    <w:rPr>
      <w:sz w:val="20"/>
      <w:szCs w:val="20"/>
    </w:rPr>
  </w:style>
  <w:style w:type="character" w:customStyle="1" w:styleId="FootnoteTextChar">
    <w:name w:val="Footnote Text Char"/>
    <w:basedOn w:val="DefaultParagraphFont"/>
    <w:link w:val="FootnoteText"/>
    <w:uiPriority w:val="99"/>
    <w:rsid w:val="00AA78DC"/>
    <w:rPr>
      <w:rFonts w:ascii="Calibri" w:hAnsi="Calibri"/>
      <w:sz w:val="20"/>
      <w:szCs w:val="20"/>
    </w:rPr>
  </w:style>
  <w:style w:type="character" w:customStyle="1" w:styleId="normaltextrun">
    <w:name w:val="normaltextrun"/>
    <w:basedOn w:val="DefaultParagraphFont"/>
    <w:rsid w:val="00FC29DF"/>
  </w:style>
  <w:style w:type="character" w:customStyle="1" w:styleId="eop">
    <w:name w:val="eop"/>
    <w:basedOn w:val="DefaultParagraphFont"/>
    <w:rsid w:val="00FC2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thewto_e/whatis_e/tif_e/org1_e.htm" TargetMode="External"/><Relationship Id="rId13" Type="http://schemas.openxmlformats.org/officeDocument/2006/relationships/hyperlink" Target="http://sitn.hms.harvard.edu/flash/2018/science-diplomacy-collaboration-rapidly-changing-worl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mericandiplomacy.web.unc.edu/2018/09/leveraging-diplomacy-for-managing-scientific-challenges-an-opportunity-to-navigate-the-future-of-scien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bulletin.org/2016/04/biodiversity-loss-an-existential-risk-comparable-to-climate-chang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reenmatters.com/p/how-overfishing-affects-biodiversity" TargetMode="External"/><Relationship Id="rId4" Type="http://schemas.openxmlformats.org/officeDocument/2006/relationships/settings" Target="settings.xml"/><Relationship Id="rId9" Type="http://schemas.openxmlformats.org/officeDocument/2006/relationships/hyperlink" Target="https://www.maritime-executive.com/editorials/wto-inches-towards-a-deal-to-end-harmful-fishing-subsidi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112</TotalTime>
  <Pages>1</Pages>
  <Words>7971</Words>
  <Characters>45437</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2021-09-25T23:46:00Z</dcterms:created>
  <dcterms:modified xsi:type="dcterms:W3CDTF">2021-09-26T15:32:00Z</dcterms:modified>
</cp:coreProperties>
</file>