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51DF" w14:textId="24A4E810" w:rsidR="0092357A" w:rsidRDefault="0092357A" w:rsidP="0092357A">
      <w:pPr>
        <w:pStyle w:val="Heading2"/>
      </w:pPr>
      <w:r>
        <w:t>1</w:t>
      </w:r>
    </w:p>
    <w:p w14:paraId="28582565" w14:textId="0BEF5F86" w:rsidR="007A7E0B" w:rsidRPr="00F04423" w:rsidRDefault="007A7E0B" w:rsidP="00F04423">
      <w:pPr>
        <w:pStyle w:val="Heading4"/>
      </w:pPr>
      <w:r w:rsidRPr="00F04423">
        <w:t xml:space="preserve">The standard is maximizing expected wellbeing </w:t>
      </w:r>
      <w:r w:rsidR="00F04423">
        <w:t>and t</w:t>
      </w:r>
      <w:r w:rsidR="00F04423" w:rsidRPr="00F04423">
        <w:t>he role of the ballot is to vote on whether the affirmative is better than the status quo or a competitive policy option</w:t>
      </w:r>
      <w:r w:rsidRPr="00F04423">
        <w:t xml:space="preserve"> Prefer:</w:t>
      </w:r>
    </w:p>
    <w:p w14:paraId="589F50C2" w14:textId="77777777" w:rsidR="007A7E0B" w:rsidRPr="001736B8" w:rsidRDefault="007A7E0B" w:rsidP="007A7E0B">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72E9FDBD" w14:textId="77777777" w:rsidR="007A7E0B" w:rsidRPr="001736B8" w:rsidRDefault="007A7E0B" w:rsidP="007A7E0B">
      <w:r w:rsidRPr="001736B8">
        <w:rPr>
          <w:b/>
          <w:bCs/>
          <w:sz w:val="26"/>
          <w:szCs w:val="26"/>
          <w:u w:val="single"/>
        </w:rPr>
        <w:t>Lutz and Lenman 18.</w:t>
      </w:r>
      <w:r w:rsidRPr="001736B8">
        <w:t xml:space="preserve"> Lutz, Matthew and Lenman, James, "Moral Naturalism", The Stanford Encyclopedia of Philosophy (Fall 2018 Edition), Edward N. Zalta (ed.), URL = &lt;https://plato.stanford</w:t>
      </w:r>
      <w:r w:rsidRPr="001736B8">
        <w:rPr>
          <w:szCs w:val="16"/>
        </w:rPr>
        <w:t>.edu/archives/fall2018/entries/naturalism-moral/&gt;. //Massa</w:t>
      </w:r>
    </w:p>
    <w:p w14:paraId="15B81EA5" w14:textId="77777777" w:rsidR="007A7E0B" w:rsidRPr="00781504" w:rsidRDefault="007A7E0B" w:rsidP="007A7E0B">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537C5178" w14:textId="77777777" w:rsidR="007A7E0B" w:rsidRPr="001736B8" w:rsidRDefault="007A7E0B" w:rsidP="007A7E0B">
      <w:pPr>
        <w:pStyle w:val="Heading4"/>
        <w:spacing w:line="276" w:lineRule="auto"/>
        <w:rPr>
          <w:rFonts w:cs="Calibri"/>
        </w:rPr>
      </w:pPr>
      <w:bookmarkStart w:id="0" w:name="_Hlk51986527"/>
      <w:r w:rsidRPr="001736B8">
        <w:rPr>
          <w:rFonts w:cs="Calibri"/>
        </w:rPr>
        <w:t>Pleasure and pain are intrinsically valuable.</w:t>
      </w:r>
    </w:p>
    <w:p w14:paraId="634E44E7" w14:textId="77777777" w:rsidR="007A7E0B" w:rsidRPr="001736B8" w:rsidRDefault="007A7E0B" w:rsidP="007A7E0B">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4CB649BA" w14:textId="77777777" w:rsidR="007A7E0B" w:rsidRPr="007A7E0B" w:rsidRDefault="007A7E0B" w:rsidP="007A7E0B">
      <w:pPr>
        <w:spacing w:line="276" w:lineRule="auto"/>
        <w:rPr>
          <w:sz w:val="14"/>
          <w:szCs w:val="26"/>
        </w:rPr>
      </w:pPr>
      <w:r w:rsidRPr="007A7E0B">
        <w:rPr>
          <w:sz w:val="14"/>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7A7E0B">
        <w:rPr>
          <w:sz w:val="14"/>
          <w:szCs w:val="26"/>
        </w:rPr>
        <w:t xml:space="preserve"> the way </w:t>
      </w:r>
      <w:r w:rsidRPr="001736B8">
        <w:rPr>
          <w:b/>
          <w:sz w:val="26"/>
          <w:szCs w:val="26"/>
          <w:highlight w:val="green"/>
          <w:u w:val="single"/>
        </w:rPr>
        <w:t>pleasure</w:t>
      </w:r>
      <w:r w:rsidRPr="001736B8">
        <w:rPr>
          <w:b/>
          <w:sz w:val="26"/>
          <w:szCs w:val="26"/>
          <w:u w:val="single"/>
        </w:rPr>
        <w:t xml:space="preserve"> </w:t>
      </w:r>
      <w:r w:rsidRPr="007A7E0B">
        <w:rPr>
          <w:sz w:val="14"/>
          <w:szCs w:val="26"/>
        </w:rPr>
        <w:t xml:space="preserve">feels </w:t>
      </w:r>
      <w:r w:rsidRPr="001736B8">
        <w:rPr>
          <w:b/>
          <w:sz w:val="26"/>
          <w:szCs w:val="26"/>
          <w:highlight w:val="green"/>
          <w:u w:val="single"/>
        </w:rPr>
        <w:t>and</w:t>
      </w:r>
      <w:r w:rsidRPr="001736B8">
        <w:rPr>
          <w:b/>
          <w:sz w:val="26"/>
          <w:szCs w:val="26"/>
          <w:u w:val="single"/>
        </w:rPr>
        <w:t xml:space="preserve"> </w:t>
      </w:r>
      <w:r w:rsidRPr="007A7E0B">
        <w:rPr>
          <w:sz w:val="14"/>
          <w:szCs w:val="26"/>
        </w:rPr>
        <w:t>something</w:t>
      </w:r>
      <w:r w:rsidRPr="001736B8">
        <w:rPr>
          <w:b/>
          <w:sz w:val="26"/>
          <w:szCs w:val="26"/>
          <w:u w:val="single"/>
        </w:rPr>
        <w:t xml:space="preserve"> </w:t>
      </w:r>
      <w:r w:rsidRPr="001736B8">
        <w:rPr>
          <w:b/>
          <w:sz w:val="26"/>
          <w:szCs w:val="26"/>
          <w:highlight w:val="green"/>
          <w:u w:val="single"/>
        </w:rPr>
        <w:t>undeniably bad about</w:t>
      </w:r>
      <w:r w:rsidRPr="007A7E0B">
        <w:rPr>
          <w:sz w:val="14"/>
          <w:szCs w:val="26"/>
        </w:rPr>
        <w:t xml:space="preserve"> the way </w:t>
      </w:r>
      <w:r w:rsidRPr="001736B8">
        <w:rPr>
          <w:b/>
          <w:sz w:val="26"/>
          <w:szCs w:val="26"/>
          <w:highlight w:val="green"/>
          <w:u w:val="single"/>
        </w:rPr>
        <w:t>pain</w:t>
      </w:r>
      <w:r w:rsidRPr="001736B8">
        <w:rPr>
          <w:b/>
          <w:sz w:val="26"/>
          <w:szCs w:val="26"/>
          <w:u w:val="single"/>
        </w:rPr>
        <w:t xml:space="preserve"> </w:t>
      </w:r>
      <w:r w:rsidRPr="007A7E0B">
        <w:rPr>
          <w:sz w:val="14"/>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7A7E0B">
        <w:rPr>
          <w:sz w:val="14"/>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736B8">
        <w:rPr>
          <w:b/>
          <w:sz w:val="26"/>
          <w:szCs w:val="26"/>
          <w:u w:val="single"/>
        </w:rPr>
        <w:t xml:space="preserve">But </w:t>
      </w:r>
      <w:r w:rsidRPr="007A7E0B">
        <w:rPr>
          <w:sz w:val="14"/>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7A7E0B">
        <w:rPr>
          <w:sz w:val="14"/>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7A7E0B">
        <w:rPr>
          <w:sz w:val="14"/>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7A7E0B">
        <w:rPr>
          <w:sz w:val="14"/>
          <w:szCs w:val="26"/>
        </w:rPr>
        <w:t xml:space="preserve">we assume that </w:t>
      </w:r>
      <w:r w:rsidRPr="001736B8">
        <w:rPr>
          <w:b/>
          <w:sz w:val="26"/>
          <w:szCs w:val="26"/>
          <w:highlight w:val="green"/>
          <w:u w:val="single"/>
        </w:rPr>
        <w:lastRenderedPageBreak/>
        <w:t>pleasure is</w:t>
      </w:r>
      <w:r w:rsidRPr="001736B8">
        <w:rPr>
          <w:b/>
          <w:sz w:val="26"/>
          <w:szCs w:val="26"/>
          <w:u w:val="single"/>
        </w:rPr>
        <w:t xml:space="preserve"> </w:t>
      </w:r>
      <w:r w:rsidRPr="007A7E0B">
        <w:rPr>
          <w:sz w:val="14"/>
          <w:szCs w:val="26"/>
        </w:rPr>
        <w:t xml:space="preserve">choice </w:t>
      </w:r>
      <w:r w:rsidRPr="001736B8">
        <w:rPr>
          <w:b/>
          <w:sz w:val="26"/>
          <w:szCs w:val="26"/>
          <w:highlight w:val="green"/>
          <w:u w:val="single"/>
        </w:rPr>
        <w:t>worthy in itself</w:t>
      </w:r>
      <w:r w:rsidRPr="001736B8">
        <w:rPr>
          <w:b/>
          <w:sz w:val="26"/>
          <w:szCs w:val="26"/>
          <w:u w:val="single"/>
        </w:rPr>
        <w:t>.”</w:t>
      </w:r>
      <w:r w:rsidRPr="007A7E0B">
        <w:rPr>
          <w:sz w:val="14"/>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7A7E0B">
        <w:rPr>
          <w:sz w:val="14"/>
          <w:szCs w:val="26"/>
        </w:rPr>
        <w:t xml:space="preserve"> </w:t>
      </w:r>
    </w:p>
    <w:bookmarkEnd w:id="0"/>
    <w:p w14:paraId="08374F6C" w14:textId="77777777" w:rsidR="007A7E0B" w:rsidRPr="009F214B" w:rsidRDefault="007A7E0B" w:rsidP="007A7E0B"/>
    <w:p w14:paraId="4CEE9675" w14:textId="77777777" w:rsidR="007A7E0B" w:rsidRDefault="007A7E0B" w:rsidP="007A7E0B">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780EF77E" w14:textId="77777777" w:rsidR="007A7E0B" w:rsidRPr="00C7794F" w:rsidRDefault="007A7E0B" w:rsidP="007A7E0B">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13999AD" w14:textId="77777777" w:rsidR="007A7E0B" w:rsidRPr="008A4BAE" w:rsidRDefault="007A7E0B" w:rsidP="007A7E0B">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 xml:space="preserve">criticisms of </w:t>
      </w:r>
      <w:r w:rsidRPr="00C7794F">
        <w:rPr>
          <w:b/>
          <w:highlight w:val="green"/>
          <w:u w:val="single"/>
        </w:rPr>
        <w:lastRenderedPageBreak/>
        <w:t>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49C97A42" w14:textId="202EB153" w:rsidR="007A7E0B" w:rsidRDefault="007A7E0B" w:rsidP="007A7E0B">
      <w:pPr>
        <w:pStyle w:val="Heading4"/>
        <w:rPr>
          <w:rFonts w:cs="Calibri"/>
        </w:rPr>
      </w:pPr>
      <w:r>
        <w:rPr>
          <w:rFonts w:cs="Calibri"/>
        </w:rPr>
        <w:t>[3</w:t>
      </w:r>
      <w:r w:rsidRPr="009F214B">
        <w:rPr>
          <w:rFonts w:cs="Calibri"/>
        </w:rPr>
        <w:t>] Extinction outweighs</w:t>
      </w:r>
    </w:p>
    <w:p w14:paraId="3A5574F9" w14:textId="1C5B6999" w:rsidR="00B22B3E" w:rsidRPr="00B22B3E" w:rsidRDefault="00B22B3E" w:rsidP="00B22B3E">
      <w:pPr>
        <w:pStyle w:val="Heading4"/>
      </w:pPr>
      <w:r>
        <w:t xml:space="preserve">[a] </w:t>
      </w:r>
      <w:r w:rsidR="00F105D4">
        <w:t>M</w:t>
      </w:r>
      <w:r>
        <w:t xml:space="preserve">oral uncertainty </w:t>
      </w:r>
      <w:r w:rsidR="00F105D4">
        <w:t>and</w:t>
      </w:r>
      <w:r>
        <w:t xml:space="preserve"> risk analysis</w:t>
      </w:r>
    </w:p>
    <w:p w14:paraId="51640BEB" w14:textId="77777777" w:rsidR="007A7E0B" w:rsidRPr="009F214B" w:rsidRDefault="007A7E0B" w:rsidP="007A7E0B">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062A1D54" w14:textId="77777777" w:rsidR="007A7E0B" w:rsidRDefault="007A7E0B" w:rsidP="007A7E0B">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1948D66" w14:textId="6A65481D" w:rsidR="00B22B3E" w:rsidRPr="00100679" w:rsidRDefault="00B22B3E" w:rsidP="00B22B3E">
      <w:pPr>
        <w:pStyle w:val="Heading4"/>
        <w:rPr>
          <w:rFonts w:cs="Arial"/>
        </w:rPr>
      </w:pPr>
      <w:r w:rsidRPr="00B22B3E">
        <w:lastRenderedPageBreak/>
        <w:t>[b] Apocalyptic images</w:t>
      </w:r>
      <w:r w:rsidRPr="00292257">
        <w:rPr>
          <w:rFonts w:cs="Arial"/>
        </w:rPr>
        <w:t xml:space="preserve"> challenge</w:t>
      </w:r>
      <w:r>
        <w:rPr>
          <w:rFonts w:cs="Arial"/>
        </w:rPr>
        <w:t xml:space="preserve"> dominant power structures to create futures of social justice </w:t>
      </w:r>
    </w:p>
    <w:p w14:paraId="3B01342F" w14:textId="77777777" w:rsidR="00B22B3E" w:rsidRPr="00292257" w:rsidRDefault="00B22B3E" w:rsidP="00B22B3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83BB668" w14:textId="77777777" w:rsidR="00B22B3E" w:rsidRPr="00B55AD5" w:rsidRDefault="00B22B3E" w:rsidP="00B22B3E">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where</w:t>
      </w:r>
      <w:r w:rsidRPr="00292257">
        <w:t xml:space="preserve"> environmental </w:t>
      </w:r>
      <w:r w:rsidRPr="00973948">
        <w:rPr>
          <w:rStyle w:val="StyleUnderline"/>
          <w:highlight w:val="green"/>
        </w:rPr>
        <w:t xml:space="preserve">catastrophe produces not only </w:t>
      </w:r>
      <w:r w:rsidRPr="00973948">
        <w:rPr>
          <w:rStyle w:val="Emphasis"/>
          <w:highlight w:val="green"/>
        </w:rPr>
        <w:t>unevenly distributed damage</w:t>
      </w:r>
      <w:r w:rsidRPr="00973948">
        <w:rPr>
          <w:highlight w:val="green"/>
        </w:rPr>
        <w:t xml:space="preserve"> </w:t>
      </w:r>
      <w:r w:rsidRPr="00973948">
        <w:rPr>
          <w:rStyle w:val="StyleUnderline"/>
          <w:highlight w:val="green"/>
        </w:rPr>
        <w:t>but also revolutionary forms of social justice</w:t>
      </w:r>
      <w:r w:rsidRPr="00292257">
        <w:rPr>
          <w:rStyle w:val="StyleUnderline"/>
        </w:rPr>
        <w:t xml:space="preserve"> that insist on a truth that probability modeling cannot contain: that </w:t>
      </w:r>
      <w:r w:rsidRPr="00973948">
        <w:rPr>
          <w:rStyle w:val="StyleUnderline"/>
          <w:highlight w:val="green"/>
        </w:rPr>
        <w:t>the future will be</w:t>
      </w:r>
      <w:r w:rsidRPr="00973948">
        <w:rPr>
          <w:highlight w:val="green"/>
        </w:rPr>
        <w:t xml:space="preserve"> </w:t>
      </w:r>
      <w:r w:rsidRPr="00973948">
        <w:rPr>
          <w:rStyle w:val="Emphasis"/>
          <w:highlight w:val="green"/>
        </w:rPr>
        <w:t>unimaginably different</w:t>
      </w:r>
      <w:r w:rsidRPr="00973948">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292257">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973948">
        <w:rPr>
          <w:rStyle w:val="StyleUnderline"/>
          <w:highlight w:val="green"/>
        </w:rPr>
        <w:t>apocalyptic mode</w:t>
      </w:r>
      <w:r w:rsidRPr="00292257">
        <w:t xml:space="preserve"> </w:t>
      </w:r>
      <w:r w:rsidRPr="00292257">
        <w:rPr>
          <w:rStyle w:val="StyleUnderline"/>
        </w:rPr>
        <w:t>in deep time</w:t>
      </w:r>
      <w:r w:rsidRPr="00292257">
        <w:t xml:space="preserve"> </w:t>
      </w:r>
      <w:r w:rsidRPr="00973948">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973948">
        <w:rPr>
          <w:rStyle w:val="StyleUnderline"/>
          <w:highlight w:val="green"/>
        </w:rPr>
        <w:t xml:space="preserve">to move beyond the </w:t>
      </w:r>
      <w:r w:rsidRPr="002E195D">
        <w:rPr>
          <w:rStyle w:val="StyleUnderline"/>
        </w:rPr>
        <w:t xml:space="preserve">paranoid </w:t>
      </w:r>
      <w:r w:rsidRPr="00973948">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973948">
        <w:rPr>
          <w:rStyle w:val="StyleUnderline"/>
          <w:highlight w:val="green"/>
        </w:rPr>
        <w:t>e impossibilities of our own deaths and the deaths of everything else will come.</w:t>
      </w:r>
      <w:r w:rsidRPr="00973948">
        <w:rPr>
          <w:highlight w:val="green"/>
        </w:rPr>
        <w:t xml:space="preserve"> </w:t>
      </w:r>
      <w:r w:rsidRPr="00973948">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973948">
        <w:rPr>
          <w:rStyle w:val="StyleUnderline"/>
          <w:highlight w:val="green"/>
        </w:rPr>
        <w:t>a</w:t>
      </w:r>
      <w:r w:rsidRPr="00292257">
        <w:rPr>
          <w:rStyle w:val="StyleUnderline"/>
        </w:rPr>
        <w:t xml:space="preserve"> </w:t>
      </w:r>
      <w:r w:rsidRPr="00292257">
        <w:rPr>
          <w:rStyle w:val="Emphasis"/>
        </w:rPr>
        <w:t xml:space="preserve">sudden </w:t>
      </w:r>
      <w:r w:rsidRPr="00973948">
        <w:rPr>
          <w:rStyle w:val="Emphasis"/>
          <w:highlight w:val="green"/>
        </w:rPr>
        <w:t>human determination</w:t>
      </w:r>
      <w:r w:rsidRPr="00973948">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6509142E" w14:textId="65D19616" w:rsidR="007A7E0B" w:rsidRPr="00B22B3E" w:rsidRDefault="007A7E0B" w:rsidP="007A7E0B">
      <w:pPr>
        <w:rPr>
          <w:rStyle w:val="Style13ptBold"/>
        </w:rPr>
      </w:pPr>
    </w:p>
    <w:p w14:paraId="6E39D9CE" w14:textId="16FEE6BF" w:rsidR="0092357A" w:rsidRDefault="007A7E0B" w:rsidP="0092357A">
      <w:pPr>
        <w:pStyle w:val="Heading4"/>
      </w:pPr>
      <w:r>
        <w:t xml:space="preserve">[4] </w:t>
      </w:r>
      <w:r w:rsidR="0092357A">
        <w:t xml:space="preserve">The subjective deliberation of a utilitarian requires one to look for a third-party perspective. This means there is no intent-foresight distinction. </w:t>
      </w:r>
    </w:p>
    <w:p w14:paraId="3C6598C4" w14:textId="6227F037" w:rsidR="0092357A" w:rsidRDefault="000906F1" w:rsidP="0092357A">
      <w:r>
        <w:rPr>
          <w:rStyle w:val="Style13ptBold"/>
        </w:rPr>
        <w:t>Driver</w:t>
      </w:r>
      <w:r w:rsidR="0092357A">
        <w:rPr>
          <w:rStyle w:val="Style13ptBold"/>
        </w:rPr>
        <w:t xml:space="preserve"> 11 </w:t>
      </w:r>
      <w:r w:rsidR="0092357A" w:rsidRPr="004841BF">
        <w:t>Driver, Julia</w:t>
      </w:r>
      <w:r w:rsidR="0092357A">
        <w:t xml:space="preserve"> (Julia Driver is a Professor of Philosophy at the University of Texas at Austin. She specializes in the integration of virtue theory with utilitarian thought)</w:t>
      </w:r>
      <w:r w:rsidR="0092357A" w:rsidRPr="004841BF">
        <w:t>. </w:t>
      </w:r>
      <w:r w:rsidR="0092357A" w:rsidRPr="004841BF">
        <w:rPr>
          <w:i/>
          <w:iCs/>
        </w:rPr>
        <w:t>Consequentialism</w:t>
      </w:r>
      <w:r w:rsidR="0092357A" w:rsidRPr="004841BF">
        <w:t>. Routledge, 2011.</w:t>
      </w:r>
    </w:p>
    <w:p w14:paraId="20A26475" w14:textId="77777777" w:rsidR="0092357A" w:rsidRPr="004F54C0" w:rsidRDefault="0092357A" w:rsidP="0092357A">
      <w:pPr>
        <w:rPr>
          <w:rStyle w:val="Emphasis"/>
        </w:rPr>
      </w:pPr>
      <w:r w:rsidRPr="00286BA0">
        <w:rPr>
          <w:rStyle w:val="Emphasis"/>
        </w:rPr>
        <w:t xml:space="preserve">There are different ways in which an </w:t>
      </w:r>
      <w:r w:rsidRPr="004F54C0">
        <w:rPr>
          <w:rStyle w:val="Emphasis"/>
          <w:highlight w:val="green"/>
        </w:rPr>
        <w:t>action</w:t>
      </w:r>
      <w:r w:rsidRPr="00286BA0">
        <w:rPr>
          <w:rStyle w:val="Emphasis"/>
        </w:rPr>
        <w:t xml:space="preserve"> can be </w:t>
      </w:r>
      <w:r w:rsidRPr="004F54C0">
        <w:rPr>
          <w:rStyle w:val="Emphasis"/>
          <w:highlight w:val="green"/>
        </w:rPr>
        <w:t>called ‘right’, though</w:t>
      </w:r>
      <w:r w:rsidRPr="00286BA0">
        <w:rPr>
          <w:rStyle w:val="Emphasis"/>
        </w:rPr>
        <w:t xml:space="preserve"> the guiding norm is that of </w:t>
      </w:r>
      <w:r w:rsidRPr="004F54C0">
        <w:rPr>
          <w:rStyle w:val="Emphasis"/>
          <w:highlight w:val="green"/>
        </w:rPr>
        <w:t>production of actual good</w:t>
      </w:r>
      <w:r w:rsidRPr="00286BA0">
        <w:rPr>
          <w:rStyle w:val="Emphasis"/>
        </w:rPr>
        <w:t>.</w:t>
      </w:r>
      <w:r w:rsidRPr="004F54C0">
        <w:rPr>
          <w:sz w:val="14"/>
        </w:rPr>
        <w:t xml:space="preserve"> However, I also argued that </w:t>
      </w:r>
      <w:r w:rsidRPr="004F54C0">
        <w:rPr>
          <w:rStyle w:val="Emphasis"/>
          <w:highlight w:val="green"/>
        </w:rPr>
        <w:t>‘praiseworthy’ is orthogonal</w:t>
      </w:r>
      <w:r w:rsidRPr="00286BA0">
        <w:rPr>
          <w:rStyle w:val="Emphasis"/>
        </w:rPr>
        <w:t xml:space="preserve"> to this.</w:t>
      </w:r>
      <w:r w:rsidRPr="004F54C0">
        <w:rPr>
          <w:sz w:val="14"/>
        </w:rPr>
        <w:t xml:space="preserve"> And, on my view, </w:t>
      </w:r>
      <w:r w:rsidRPr="00286BA0">
        <w:rPr>
          <w:rStyle w:val="Emphasis"/>
        </w:rPr>
        <w:t xml:space="preserve">it tracks the use of ‘right’ that </w:t>
      </w:r>
      <w:r w:rsidRPr="004F54C0">
        <w:rPr>
          <w:rStyle w:val="Emphasis"/>
          <w:highlight w:val="green"/>
        </w:rPr>
        <w:t>corresponds to production of foreseeable good.</w:t>
      </w:r>
      <w:r w:rsidRPr="00286BA0">
        <w:rPr>
          <w:rStyle w:val="Emphasis"/>
        </w:rPr>
        <w:t xml:space="preserve"> This is </w:t>
      </w:r>
      <w:r w:rsidRPr="004F54C0">
        <w:rPr>
          <w:rStyle w:val="Emphasis"/>
          <w:highlight w:val="green"/>
        </w:rPr>
        <w:t>compatible with</w:t>
      </w:r>
      <w:r w:rsidRPr="00286BA0">
        <w:rPr>
          <w:rStyle w:val="Emphasis"/>
        </w:rPr>
        <w:t xml:space="preserve"> an </w:t>
      </w:r>
      <w:r w:rsidRPr="004F54C0">
        <w:rPr>
          <w:rStyle w:val="Emphasis"/>
          <w:highlight w:val="green"/>
        </w:rPr>
        <w:t>objective standard</w:t>
      </w:r>
      <w:r w:rsidRPr="004F54C0">
        <w:rPr>
          <w:sz w:val="14"/>
        </w:rPr>
        <w:t xml:space="preserve">, recall, </w:t>
      </w:r>
      <w:r w:rsidRPr="00286BA0">
        <w:rPr>
          <w:rStyle w:val="Emphasis"/>
        </w:rPr>
        <w:t xml:space="preserve">since the standard of </w:t>
      </w:r>
      <w:r w:rsidRPr="004F54C0">
        <w:rPr>
          <w:rStyle w:val="Emphasis"/>
          <w:highlight w:val="green"/>
        </w:rPr>
        <w:t>praiseworthiness is justified by appeal to the objective standard.</w:t>
      </w:r>
      <w:r w:rsidRPr="00286BA0">
        <w:rPr>
          <w:rStyle w:val="Emphasis"/>
        </w:rPr>
        <w:t xml:space="preserve"> The </w:t>
      </w:r>
      <w:r w:rsidRPr="004F54C0">
        <w:rPr>
          <w:rStyle w:val="Emphasis"/>
          <w:highlight w:val="green"/>
        </w:rPr>
        <w:t>aim of moral action is success.</w:t>
      </w:r>
      <w:r w:rsidRPr="00286BA0">
        <w:rPr>
          <w:rStyle w:val="Emphasis"/>
        </w:rPr>
        <w:t xml:space="preserve"> We admire those who act with the aim of succeeding. There are two senses of ‘right’, though the primary sense is objective. While </w:t>
      </w:r>
      <w:r w:rsidRPr="004F54C0">
        <w:rPr>
          <w:rStyle w:val="Emphasis"/>
          <w:highlight w:val="green"/>
        </w:rPr>
        <w:t>foreseeable</w:t>
      </w:r>
      <w:r w:rsidRPr="00286BA0">
        <w:rPr>
          <w:rStyle w:val="Emphasis"/>
        </w:rPr>
        <w:t xml:space="preserve"> is not the same as ‘foreseen’, it often, </w:t>
      </w:r>
      <w:r w:rsidRPr="004F54C0">
        <w:rPr>
          <w:rStyle w:val="Emphasis"/>
          <w:highlight w:val="green"/>
        </w:rPr>
        <w:t>in</w:t>
      </w:r>
      <w:r w:rsidRPr="00286BA0">
        <w:rPr>
          <w:rStyle w:val="Emphasis"/>
        </w:rPr>
        <w:t xml:space="preserve"> actual </w:t>
      </w:r>
      <w:r w:rsidRPr="004F54C0">
        <w:rPr>
          <w:rStyle w:val="Emphasis"/>
          <w:highlight w:val="green"/>
        </w:rPr>
        <w:t>practice, corresponds to foreseen</w:t>
      </w:r>
      <w:r w:rsidRPr="00286BA0">
        <w:rPr>
          <w:rStyle w:val="Emphasis"/>
        </w:rPr>
        <w:t>.</w:t>
      </w:r>
      <w:r w:rsidRPr="004F54C0">
        <w:rPr>
          <w:sz w:val="14"/>
        </w:rPr>
        <w:t xml:space="preserve"> And </w:t>
      </w:r>
      <w:r w:rsidRPr="00286BA0">
        <w:rPr>
          <w:rStyle w:val="Emphasis"/>
        </w:rPr>
        <w:t xml:space="preserve">this </w:t>
      </w:r>
      <w:r w:rsidRPr="004F54C0">
        <w:rPr>
          <w:rStyle w:val="Emphasis"/>
          <w:highlight w:val="green"/>
        </w:rPr>
        <w:t>raises</w:t>
      </w:r>
      <w:r w:rsidRPr="00286BA0">
        <w:rPr>
          <w:rStyle w:val="Emphasis"/>
        </w:rPr>
        <w:t xml:space="preserve"> the </w:t>
      </w:r>
      <w:r w:rsidRPr="004F54C0">
        <w:rPr>
          <w:rStyle w:val="Emphasis"/>
          <w:highlight w:val="green"/>
        </w:rPr>
        <w:t>issue of what sorts of options agents ought to be considering</w:t>
      </w:r>
      <w:r w:rsidRPr="00286BA0">
        <w:rPr>
          <w:rStyle w:val="Emphasis"/>
        </w:rPr>
        <w:t xml:space="preserve"> when they do find themselves in a position of thinking in terms of deciding on the basis of consequences. </w:t>
      </w:r>
      <w:r w:rsidRPr="004F54C0">
        <w:rPr>
          <w:rStyle w:val="Emphasis"/>
          <w:highlight w:val="green"/>
        </w:rPr>
        <w:t>Consider</w:t>
      </w:r>
      <w:r w:rsidRPr="004F54C0">
        <w:rPr>
          <w:sz w:val="14"/>
        </w:rPr>
        <w:t xml:space="preserve">, for example, </w:t>
      </w:r>
      <w:r w:rsidRPr="004F54C0">
        <w:rPr>
          <w:rStyle w:val="Emphasis"/>
          <w:highlight w:val="green"/>
        </w:rPr>
        <w:t>someone</w:t>
      </w:r>
      <w:r w:rsidRPr="00286BA0">
        <w:rPr>
          <w:rStyle w:val="Emphasis"/>
        </w:rPr>
        <w:t xml:space="preserve"> who wants to be a good consequentialist</w:t>
      </w:r>
      <w:r w:rsidRPr="004F54C0">
        <w:rPr>
          <w:sz w:val="14"/>
        </w:rPr>
        <w:t xml:space="preserve"> moral agent </w:t>
      </w:r>
      <w:r w:rsidRPr="00286BA0">
        <w:rPr>
          <w:rStyle w:val="Emphasis"/>
        </w:rPr>
        <w:t xml:space="preserve">and </w:t>
      </w:r>
      <w:r w:rsidRPr="004F54C0">
        <w:rPr>
          <w:rStyle w:val="Emphasis"/>
          <w:highlight w:val="green"/>
        </w:rPr>
        <w:t>who</w:t>
      </w:r>
      <w:r w:rsidRPr="00286BA0">
        <w:rPr>
          <w:rStyle w:val="Emphasis"/>
        </w:rPr>
        <w:t xml:space="preserve"> would </w:t>
      </w:r>
      <w:r w:rsidRPr="004F54C0">
        <w:rPr>
          <w:rStyle w:val="Emphasis"/>
          <w:highlight w:val="green"/>
        </w:rPr>
        <w:t>like to live her life in the best way possible</w:t>
      </w:r>
      <w:r w:rsidRPr="004F54C0">
        <w:rPr>
          <w:sz w:val="14"/>
        </w:rPr>
        <w:t xml:space="preserve"> along consequentialist lines. </w:t>
      </w:r>
      <w:r w:rsidRPr="004F54C0">
        <w:rPr>
          <w:rStyle w:val="Emphasis"/>
        </w:rPr>
        <w:t>What should be ruled in or out for her in the area of options?</w:t>
      </w:r>
      <w:r w:rsidRPr="004F54C0">
        <w:rPr>
          <w:sz w:val="14"/>
        </w:rPr>
        <w:t xml:space="preserve"> Because the view that I favor (and that seems more in keeping with the spirit of the objective approach) is that </w:t>
      </w:r>
      <w:r w:rsidRPr="004F54C0">
        <w:rPr>
          <w:rStyle w:val="Emphasis"/>
        </w:rPr>
        <w:t xml:space="preserve">the </w:t>
      </w:r>
      <w:r w:rsidRPr="004F54C0">
        <w:rPr>
          <w:rStyle w:val="Emphasis"/>
          <w:highlight w:val="green"/>
        </w:rPr>
        <w:t>third-person evaluative viewpoint has priority</w:t>
      </w:r>
      <w:r w:rsidRPr="004F54C0">
        <w:rPr>
          <w:rStyle w:val="Emphasis"/>
        </w:rPr>
        <w:t xml:space="preserve">, the </w:t>
      </w:r>
      <w:r w:rsidRPr="004F54C0">
        <w:rPr>
          <w:rStyle w:val="Emphasis"/>
          <w:highlight w:val="green"/>
        </w:rPr>
        <w:t>agent</w:t>
      </w:r>
      <w:r w:rsidRPr="004F54C0">
        <w:rPr>
          <w:rStyle w:val="Emphasis"/>
        </w:rPr>
        <w:t xml:space="preserve"> should try to </w:t>
      </w:r>
      <w:r w:rsidRPr="004F54C0">
        <w:rPr>
          <w:rStyle w:val="Emphasis"/>
          <w:highlight w:val="green"/>
        </w:rPr>
        <w:t>consider</w:t>
      </w:r>
      <w:r w:rsidRPr="004F54C0">
        <w:rPr>
          <w:rStyle w:val="Emphasis"/>
        </w:rPr>
        <w:t xml:space="preserve"> the </w:t>
      </w:r>
      <w:r w:rsidRPr="004F54C0">
        <w:rPr>
          <w:rStyle w:val="Emphasis"/>
          <w:highlight w:val="green"/>
        </w:rPr>
        <w:t>advice she would be given by a third party</w:t>
      </w:r>
      <w:r w:rsidRPr="004F54C0">
        <w:rPr>
          <w:rStyle w:val="Emphasis"/>
        </w:rPr>
        <w:t xml:space="preserve">. </w:t>
      </w:r>
      <w:r w:rsidRPr="004F54C0">
        <w:rPr>
          <w:sz w:val="14"/>
        </w:rPr>
        <w:t xml:space="preserve">This is just a heuristic, though. The reason to consider how an advisor would advise one is that </w:t>
      </w:r>
      <w:r w:rsidRPr="004F54C0">
        <w:rPr>
          <w:rStyle w:val="Emphasis"/>
          <w:highlight w:val="green"/>
        </w:rPr>
        <w:t>there is a difference between an option that one can take and an option that one predicts</w:t>
      </w:r>
      <w:r w:rsidRPr="004F54C0">
        <w:rPr>
          <w:rStyle w:val="Emphasis"/>
        </w:rPr>
        <w:t xml:space="preserve"> quite reliably </w:t>
      </w:r>
      <w:r w:rsidRPr="004F54C0">
        <w:rPr>
          <w:rStyle w:val="Emphasis"/>
          <w:highlight w:val="green"/>
        </w:rPr>
        <w:t>one will take.</w:t>
      </w:r>
    </w:p>
    <w:p w14:paraId="10F49A66" w14:textId="77777777" w:rsidR="0092357A" w:rsidRDefault="0092357A" w:rsidP="00F04423">
      <w:pPr>
        <w:pStyle w:val="Heading4"/>
      </w:pPr>
      <w:r>
        <w:lastRenderedPageBreak/>
        <w:t>Hijacks the AC</w:t>
      </w:r>
    </w:p>
    <w:p w14:paraId="12D3EFE2" w14:textId="0A9CCDFA" w:rsidR="0092357A" w:rsidRDefault="00F04423" w:rsidP="00F04423">
      <w:pPr>
        <w:pStyle w:val="Heading4"/>
      </w:pPr>
      <w:r>
        <w:t xml:space="preserve">[a] </w:t>
      </w:r>
      <w:r w:rsidR="0092357A">
        <w:t xml:space="preserve">The subjective dimension of ethical experiences is still something we can relate to in the effort to overcome internalized oppression, but the move to an objective evaluation allows us to broaden into including a wider array of people in our calculations. </w:t>
      </w:r>
    </w:p>
    <w:p w14:paraId="67A666C0" w14:textId="11E6400E" w:rsidR="0092357A" w:rsidRDefault="00F04423" w:rsidP="00F04423">
      <w:pPr>
        <w:pStyle w:val="Heading4"/>
      </w:pPr>
      <w:r>
        <w:t xml:space="preserve">[b] </w:t>
      </w:r>
      <w:r w:rsidR="0092357A">
        <w:t xml:space="preserve">Objective utilitarian evaluation is a heuristic, it may sometimes go awry but it is a tool to be used for achieving justice in ethical deliberation. </w:t>
      </w:r>
    </w:p>
    <w:p w14:paraId="00519C56" w14:textId="320B39F1" w:rsidR="00F04423" w:rsidRDefault="00F04423" w:rsidP="00F04423"/>
    <w:p w14:paraId="73BAB155" w14:textId="3DCC5605" w:rsidR="00F04423" w:rsidRDefault="00F04423" w:rsidP="00F04423">
      <w:pPr>
        <w:pStyle w:val="Heading2"/>
      </w:pPr>
      <w:r>
        <w:lastRenderedPageBreak/>
        <w:t>2</w:t>
      </w:r>
    </w:p>
    <w:p w14:paraId="53FEAAF3" w14:textId="77777777" w:rsidR="00F25671" w:rsidRDefault="00F25671" w:rsidP="00F25671">
      <w:pPr>
        <w:pStyle w:val="Heading4"/>
      </w:pPr>
      <w:r>
        <w:t>Post-Covid economic recovery is fragile now- inflation is adding pressure.</w:t>
      </w:r>
    </w:p>
    <w:p w14:paraId="6BF10F2E" w14:textId="77777777" w:rsidR="00F25671" w:rsidRPr="00226A2A" w:rsidRDefault="00F25671" w:rsidP="00F25671">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6" w:history="1">
        <w:r w:rsidRPr="00A8041B">
          <w:rPr>
            <w:rStyle w:val="Hyperlink"/>
          </w:rPr>
          <w:t>https://www.washingtonpost.com/us-policy/2021/06/11/inflation-fed-biden-recovery/</w:t>
        </w:r>
      </w:hyperlink>
      <w:r>
        <w:t>] 6/13/2021</w:t>
      </w:r>
    </w:p>
    <w:p w14:paraId="19E04EED" w14:textId="77777777" w:rsidR="00F25671" w:rsidRPr="00E41B6A" w:rsidRDefault="00F25671" w:rsidP="00F25671">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the U.S. rebound has been anything but smooth. Labor market progress has disappointed</w:t>
      </w:r>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Hilfiger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fizzled and the authorities were vindicated. Indications that there remains enormous slack in the labor market, even as the 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w:t>
      </w:r>
      <w:r w:rsidRPr="00F24F6C">
        <w:rPr>
          <w:sz w:val="16"/>
        </w:rPr>
        <w:lastRenderedPageBreak/>
        <w:t xml:space="preserve">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4D408D46" w14:textId="77777777" w:rsidR="00F25671" w:rsidRDefault="00F25671" w:rsidP="00F25671">
      <w:pPr>
        <w:pStyle w:val="Heading4"/>
      </w:pPr>
      <w:r>
        <w:t xml:space="preserve">Unions’ demands for higher wages causes an </w:t>
      </w:r>
      <w:r w:rsidRPr="00887E4F">
        <w:rPr>
          <w:u w:val="single"/>
        </w:rPr>
        <w:t>inflationary spiral.</w:t>
      </w:r>
    </w:p>
    <w:p w14:paraId="40789297" w14:textId="77777777" w:rsidR="00F25671" w:rsidRDefault="00F25671" w:rsidP="00F25671">
      <w:r w:rsidRPr="00C401BF">
        <w:rPr>
          <w:rStyle w:val="Style13ptBold"/>
        </w:rPr>
        <w:t>Guida 6-4</w:t>
      </w:r>
      <w:r>
        <w:t xml:space="preserve"> </w:t>
      </w:r>
      <w:r w:rsidRPr="00C401BF">
        <w:t xml:space="preserve">Victoria Guida </w:t>
      </w:r>
      <w:r>
        <w:t>[an economics reporter covering the Federal Reserve, the Treasury Department and the broader economy. She has spent her Washington career writing about bank regulations, monetary policy and trade negotiations.</w:t>
      </w:r>
    </w:p>
    <w:p w14:paraId="6C9C94BA" w14:textId="77777777" w:rsidR="00F25671" w:rsidRDefault="00F25671" w:rsidP="00F25671">
      <w:r>
        <w:t xml:space="preserve">A Dallas native, she graduated from the University of Missouri with a double major in journalism and political science.] </w:t>
      </w:r>
      <w:r w:rsidRPr="00C401BF">
        <w:t>, 6-4-2021, "Biden’s back door to wage hikes," POLITICO, https://www.politico.com/news/2021/06/04/bidens-back-door-to-wage-hikes-491911</w:t>
      </w:r>
    </w:p>
    <w:p w14:paraId="4E0296A9" w14:textId="77777777" w:rsidR="00F25671" w:rsidRPr="00C60B08" w:rsidRDefault="00F25671" w:rsidP="00F25671">
      <w:pPr>
        <w:rPr>
          <w:sz w:val="16"/>
        </w:rPr>
      </w:pPr>
      <w:r w:rsidRPr="00C60B08">
        <w:rPr>
          <w:sz w:val="16"/>
        </w:rPr>
        <w:t xml:space="preserve">“The ‘shortages’ we are seeing in lower-wage jobs and the accompanying wage pressures are an early sign of success” for the president's agenda, said Julia Coronado, founder of MacroPolicy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Duy,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yr/yr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Department‘s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Duy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Shierholz,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Ozimek, chief economist at </w:t>
      </w:r>
      <w:r w:rsidRPr="00C60B08">
        <w:rPr>
          <w:sz w:val="16"/>
        </w:rPr>
        <w:lastRenderedPageBreak/>
        <w:t>Upwork. “</w:t>
      </w:r>
      <w:r w:rsidRPr="006836B6">
        <w:rPr>
          <w:rStyle w:val="Emphasis"/>
        </w:rPr>
        <w:t>If employers are raising wages right now due to temporary shortages, then that risks slowing job growth when those temporary shortages are gone</w:t>
      </w:r>
      <w:r w:rsidRPr="00C60B08">
        <w:rPr>
          <w:sz w:val="16"/>
        </w:rPr>
        <w:t xml:space="preserve">,” with millions still out of work, Ozimek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545AAB3C" w14:textId="77777777" w:rsidR="00F25671" w:rsidRPr="00097B55" w:rsidRDefault="00F25671" w:rsidP="00F25671">
      <w:pPr>
        <w:pStyle w:val="Heading4"/>
      </w:pPr>
      <w:r w:rsidRPr="00097B55">
        <w:t>That collapses the economy.</w:t>
      </w:r>
    </w:p>
    <w:p w14:paraId="3567EE78" w14:textId="77777777" w:rsidR="00F25671" w:rsidRDefault="00F25671" w:rsidP="00F25671">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“How Interest Rate Hikes Will Trigger The Next Financial Crisis”, Forbes, 9-27-18</w:t>
      </w:r>
      <w:r>
        <w:t xml:space="preserve">, </w:t>
      </w:r>
      <w:r w:rsidRPr="00243F7D">
        <w:t>https://www.forbes.com/sites/jessecolombo/2018/09/27/how-interest-rate-hikes-will-trigger-the-next-financial-crisis/?sh=5401bf966717</w:t>
      </w:r>
      <w:r w:rsidRPr="00097B55">
        <w:t xml:space="preserve"> </w:t>
      </w:r>
    </w:p>
    <w:p w14:paraId="6F344AFB" w14:textId="77777777" w:rsidR="00F25671" w:rsidRDefault="00F25671" w:rsidP="00F25671">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Similar to the situation in housing, higher interest rates made automobile financing much more expensive. As a result, automobile sales plunged, causing 310,000 jobs (or one-third) in the industry to be cut. Latin American debt crisis: Rising interest rates made it harder for heavily-indebted Latin American countries to pay back their debts. Mid-1980s rate hike cycle: Continental Illinois bank failure: In 1984, Continental Illinois became the largest bank failure in U.S. history (until Washington Mutual's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w:t>
      </w:r>
      <w:r w:rsidRPr="002E0EBB">
        <w:rPr>
          <w:sz w:val="14"/>
        </w:rPr>
        <w:lastRenderedPageBreak/>
        <w:t>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dot-coms,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that bursts.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dollars worth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high and the housing market is decelerating. U.S. stock market investors are dangerously exposed to coming busts in interest rate-sensitive sectors, which will spill over into the highly-inflated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442D73C6" w14:textId="77777777" w:rsidR="00F25671" w:rsidRPr="00991A47" w:rsidRDefault="00F25671" w:rsidP="00F25671">
      <w:pPr>
        <w:pStyle w:val="Heading4"/>
      </w:pPr>
      <w:r>
        <w:t>Causes global nuclear war</w:t>
      </w:r>
    </w:p>
    <w:p w14:paraId="1EBF3EAF" w14:textId="77777777" w:rsidR="00F25671" w:rsidRDefault="00F25671" w:rsidP="00F25671">
      <w:r w:rsidRPr="00917897">
        <w:rPr>
          <w:rStyle w:val="Style13ptBold"/>
        </w:rPr>
        <w:t>Tønnesson 15</w:t>
      </w:r>
      <w:r>
        <w:t xml:space="preserve">, Dr. Stein Tønnesson is a Norwegian peace researcher and historian. International Area Studies Review, 18(3), “Deterrence, interdependence and Sino–US peace.” </w:t>
      </w:r>
      <w:hyperlink r:id="rId7" w:history="1">
        <w:r w:rsidRPr="00A6070A">
          <w:rPr>
            <w:rStyle w:val="Hyperlink"/>
          </w:rPr>
          <w:t>https://journals.sagepub.com/doi/abs/10.1177/2233865915596660</w:t>
        </w:r>
      </w:hyperlink>
      <w:r>
        <w:t xml:space="preserve"> you know how to access it | ahsBC</w:t>
      </w:r>
    </w:p>
    <w:p w14:paraId="29D48B8E" w14:textId="77777777" w:rsidR="00F25671" w:rsidRPr="0034327C" w:rsidRDefault="00F25671" w:rsidP="00F25671">
      <w:pPr>
        <w:rPr>
          <w:sz w:val="10"/>
        </w:rPr>
      </w:pPr>
      <w:r w:rsidRPr="00991A47">
        <w:rPr>
          <w:rStyle w:val="StyleUnderline"/>
        </w:rPr>
        <w:t>Mutual economic dependence between China and the US</w:t>
      </w:r>
      <w:r w:rsidRPr="00991A47">
        <w:rPr>
          <w:sz w:val="10"/>
        </w:rPr>
        <w:t xml:space="preserve"> within an integrated global economic system including Japan, South Korea and the ASEAN countries </w:t>
      </w:r>
      <w:r w:rsidRPr="00991A47">
        <w:rPr>
          <w:rStyle w:val="StyleUnderline"/>
        </w:rPr>
        <w:t>is</w:t>
      </w:r>
      <w:r w:rsidRPr="00991A47">
        <w:rPr>
          <w:sz w:val="10"/>
        </w:rPr>
        <w:t xml:space="preserve"> probably </w:t>
      </w:r>
      <w:r w:rsidRPr="00991A47">
        <w:rPr>
          <w:rStyle w:val="StyleUnderline"/>
        </w:rPr>
        <w:t>the most cited reason for</w:t>
      </w:r>
      <w:r w:rsidRPr="00991A47">
        <w:rPr>
          <w:sz w:val="10"/>
        </w:rPr>
        <w:t xml:space="preserve"> expecting </w:t>
      </w:r>
      <w:r w:rsidRPr="00991A47">
        <w:rPr>
          <w:rStyle w:val="StyleUnderline"/>
        </w:rPr>
        <w:t>East Asia to remain peaceful</w:t>
      </w:r>
      <w:r w:rsidRPr="00991A47">
        <w:rPr>
          <w:sz w:val="10"/>
        </w:rPr>
        <w:t xml:space="preserve">. </w:t>
      </w:r>
      <w:r w:rsidRPr="00B166BA">
        <w:rPr>
          <w:rStyle w:val="StyleUnderline"/>
        </w:rPr>
        <w:t>The cost of conflict is</w:t>
      </w:r>
      <w:r w:rsidRPr="00B166BA">
        <w:rPr>
          <w:sz w:val="10"/>
        </w:rPr>
        <w:t xml:space="preserve"> assumed to be </w:t>
      </w:r>
      <w:r w:rsidRPr="00B166BA">
        <w:rPr>
          <w:rStyle w:val="Emphasis"/>
        </w:rPr>
        <w:t>prohibitive</w:t>
      </w:r>
      <w:r w:rsidRPr="00B166BA">
        <w:rPr>
          <w:sz w:val="10"/>
        </w:rPr>
        <w:t xml:space="preserve">. So </w:t>
      </w:r>
      <w:r w:rsidRPr="00B166BA">
        <w:rPr>
          <w:rStyle w:val="StyleUnderline"/>
        </w:rPr>
        <w:t>although East Asia does not derive its peace from</w:t>
      </w:r>
      <w:r w:rsidRPr="00B166BA">
        <w:rPr>
          <w:sz w:val="10"/>
        </w:rPr>
        <w:t xml:space="preserve"> strategic </w:t>
      </w:r>
      <w:r w:rsidRPr="00B166BA">
        <w:rPr>
          <w:rStyle w:val="StyleUnderline"/>
        </w:rPr>
        <w:t>trust</w:t>
      </w:r>
      <w:r w:rsidRPr="00B166BA">
        <w:rPr>
          <w:sz w:val="10"/>
        </w:rPr>
        <w:t xml:space="preserve">, institutional </w:t>
      </w:r>
      <w:r w:rsidRPr="00B166BA">
        <w:rPr>
          <w:rStyle w:val="StyleUnderline"/>
        </w:rPr>
        <w:t>integration or shared values</w:t>
      </w:r>
      <w:r w:rsidRPr="00B166BA">
        <w:rPr>
          <w:sz w:val="10"/>
        </w:rPr>
        <w:t xml:space="preserve">, </w:t>
      </w:r>
      <w:r w:rsidRPr="00B166BA">
        <w:rPr>
          <w:rStyle w:val="StyleUnderline"/>
        </w:rPr>
        <w:t>peace may still be preserved because national leaders give priority to</w:t>
      </w:r>
      <w:r w:rsidRPr="00B166BA">
        <w:rPr>
          <w:sz w:val="10"/>
        </w:rPr>
        <w:t xml:space="preserve"> their </w:t>
      </w:r>
      <w:r w:rsidRPr="00B166BA">
        <w:rPr>
          <w:rStyle w:val="Emphasis"/>
        </w:rPr>
        <w:t>economic development</w:t>
      </w:r>
      <w:r w:rsidRPr="00B166BA">
        <w:rPr>
          <w:sz w:val="10"/>
        </w:rPr>
        <w:t xml:space="preserve">, </w:t>
      </w:r>
      <w:r w:rsidRPr="00B166BA">
        <w:rPr>
          <w:rStyle w:val="StyleUnderline"/>
        </w:rPr>
        <w:t>realize how costly a conflict would be, and expect to make further gains from open trade</w:t>
      </w:r>
      <w:r w:rsidRPr="00B166BA">
        <w:rPr>
          <w:sz w:val="10"/>
        </w:rPr>
        <w:t xml:space="preserve">. Lampton (2014: 3, 7, 122, 136) holds that peace is enhanced by ‘the idea of global interdependence’, and puts forward an ‘interdependence theory’: institutional and </w:t>
      </w:r>
      <w:r w:rsidRPr="00B166BA">
        <w:rPr>
          <w:rStyle w:val="StyleUnderline"/>
        </w:rPr>
        <w:t xml:space="preserve">economic interdependence </w:t>
      </w:r>
      <w:r w:rsidRPr="00B166BA">
        <w:rPr>
          <w:rStyle w:val="Emphasis"/>
        </w:rPr>
        <w:t>dampens</w:t>
      </w:r>
      <w:r w:rsidRPr="00B166BA">
        <w:rPr>
          <w:rStyle w:val="StyleUnderline"/>
        </w:rPr>
        <w:t xml:space="preserve"> impulses toward conflict</w:t>
      </w:r>
      <w:r w:rsidRPr="00B166BA">
        <w:rPr>
          <w:sz w:val="10"/>
        </w:rPr>
        <w:t>. While it does not make conflict impossible, and makes war even more</w:t>
      </w:r>
      <w:r w:rsidRPr="00727360">
        <w:rPr>
          <w:sz w:val="10"/>
        </w:rPr>
        <w:t xml:space="preserve"> destructive should it occur, </w:t>
      </w:r>
      <w:r w:rsidRPr="00BB2DEF">
        <w:rPr>
          <w:rStyle w:val="StyleUnderline"/>
        </w:rPr>
        <w:t>it provides ‘</w:t>
      </w:r>
      <w:r w:rsidRPr="00BB2DEF">
        <w:rPr>
          <w:rStyle w:val="Emphasis"/>
        </w:rPr>
        <w:t>incentives</w:t>
      </w:r>
      <w:r w:rsidRPr="00BB2DEF">
        <w:rPr>
          <w:rStyle w:val="StyleUnderline"/>
        </w:rPr>
        <w:t xml:space="preserve"> to keep conflict with major partners manageable’</w:t>
      </w:r>
      <w:r w:rsidRPr="00727360">
        <w:rPr>
          <w:sz w:val="10"/>
        </w:rPr>
        <w:t xml:space="preserve">. There is now a ‘struggle for the soul of Chinese foreign policy between the realities of interdependence and the impulses of assertive nationalism’. Lampton does not go into detail about the question of when interdependence precludes war and when it does not. Christensen (2015: 41–46), however, is more specific as to why global </w:t>
      </w:r>
      <w:r w:rsidRPr="00E00CA7">
        <w:rPr>
          <w:rStyle w:val="Emphasis"/>
          <w:highlight w:val="green"/>
        </w:rPr>
        <w:t>interdependence</w:t>
      </w:r>
      <w:r w:rsidRPr="00B166BA">
        <w:rPr>
          <w:rStyle w:val="StyleUnderline"/>
        </w:rPr>
        <w:t xml:space="preserve"> today is</w:t>
      </w:r>
      <w:r w:rsidRPr="00BB2DEF">
        <w:rPr>
          <w:rStyle w:val="StyleUnderline"/>
        </w:rPr>
        <w:t xml:space="preserve"> of a different kind than in the past</w:t>
      </w:r>
      <w:r w:rsidRPr="00727360">
        <w:rPr>
          <w:sz w:val="10"/>
        </w:rPr>
        <w:t xml:space="preserve">, </w:t>
      </w:r>
      <w:r w:rsidRPr="00B166BA">
        <w:rPr>
          <w:rStyle w:val="StyleUnderline"/>
        </w:rPr>
        <w:t xml:space="preserve">and more likely to </w:t>
      </w:r>
      <w:r w:rsidRPr="00B166BA">
        <w:rPr>
          <w:rStyle w:val="Emphasis"/>
          <w:highlight w:val="green"/>
        </w:rPr>
        <w:t>hinder war:</w:t>
      </w:r>
      <w:r w:rsidRPr="00727360">
        <w:rPr>
          <w:sz w:val="10"/>
        </w:rPr>
        <w:t xml:space="preserve"> </w:t>
      </w:r>
      <w:r w:rsidRPr="00E00CA7">
        <w:rPr>
          <w:rStyle w:val="StyleUnderline"/>
          <w:highlight w:val="green"/>
        </w:rPr>
        <w:t>trans-national production</w:t>
      </w:r>
      <w:r w:rsidRPr="00BB2DEF">
        <w:rPr>
          <w:rStyle w:val="StyleUnderline"/>
        </w:rPr>
        <w:t xml:space="preserve"> chains </w:t>
      </w:r>
      <w:r w:rsidRPr="00E00CA7">
        <w:rPr>
          <w:rStyle w:val="StyleUnderline"/>
          <w:highlight w:val="green"/>
        </w:rPr>
        <w:t>make it necessary for an aggressor</w:t>
      </w:r>
      <w:r w:rsidRPr="00BB2DEF">
        <w:rPr>
          <w:rStyle w:val="StyleUnderline"/>
        </w:rPr>
        <w:t xml:space="preserve"> state </w:t>
      </w:r>
      <w:r w:rsidRPr="00E00CA7">
        <w:rPr>
          <w:rStyle w:val="StyleUnderline"/>
          <w:highlight w:val="green"/>
        </w:rPr>
        <w:t>to ‘persuade</w:t>
      </w:r>
      <w:r w:rsidRPr="00BB2DEF">
        <w:rPr>
          <w:rStyle w:val="StyleUnderline"/>
        </w:rPr>
        <w:t xml:space="preserve"> a </w:t>
      </w:r>
      <w:r w:rsidRPr="00991A47">
        <w:rPr>
          <w:rStyle w:val="StyleUnderline"/>
        </w:rPr>
        <w:t>diverse</w:t>
      </w:r>
      <w:r w:rsidRPr="00BB2DEF">
        <w:rPr>
          <w:rStyle w:val="StyleUnderline"/>
        </w:rPr>
        <w:t xml:space="preserve"> </w:t>
      </w:r>
      <w:r w:rsidRPr="00991A47">
        <w:rPr>
          <w:rStyle w:val="StyleUnderline"/>
        </w:rPr>
        <w:t xml:space="preserve">set of foreign </w:t>
      </w:r>
      <w:r w:rsidRPr="00E00CA7">
        <w:rPr>
          <w:rStyle w:val="StyleUnderline"/>
          <w:highlight w:val="green"/>
        </w:rPr>
        <w:t>investors</w:t>
      </w:r>
      <w:r w:rsidRPr="00BB2DEF">
        <w:rPr>
          <w:rStyle w:val="StyleUnderline"/>
        </w:rPr>
        <w:t xml:space="preserve">, suppliers of key components, </w:t>
      </w:r>
      <w:r w:rsidRPr="00E00CA7">
        <w:rPr>
          <w:rStyle w:val="StyleUnderline"/>
          <w:highlight w:val="green"/>
        </w:rPr>
        <w:t>and</w:t>
      </w:r>
      <w:r w:rsidRPr="00BB2DEF">
        <w:rPr>
          <w:rStyle w:val="StyleUnderline"/>
        </w:rPr>
        <w:t xml:space="preserve"> logistics </w:t>
      </w:r>
      <w:r w:rsidRPr="00E00CA7">
        <w:rPr>
          <w:rStyle w:val="StyleUnderline"/>
          <w:highlight w:val="green"/>
        </w:rPr>
        <w:t>companies</w:t>
      </w:r>
      <w:r w:rsidRPr="00BB2DEF">
        <w:rPr>
          <w:rStyle w:val="StyleUnderline"/>
        </w:rPr>
        <w:t xml:space="preserve"> to continue doing business’ </w:t>
      </w:r>
      <w:r w:rsidRPr="00E00CA7">
        <w:rPr>
          <w:rStyle w:val="StyleUnderline"/>
          <w:highlight w:val="green"/>
        </w:rPr>
        <w:t>after it has invaded a territory</w:t>
      </w:r>
      <w:r w:rsidRPr="00BB2DEF">
        <w:rPr>
          <w:rStyle w:val="StyleUnderline"/>
        </w:rPr>
        <w:t>, and it is easy to see how difficult this may be</w:t>
      </w:r>
      <w:r w:rsidRPr="00727360">
        <w:rPr>
          <w:sz w:val="10"/>
        </w:rPr>
        <w:t>.1 Thus it is less tempting than in the past to go to war: ‘While transnational production and interdependence is certainly no guarantee against war’, says Christensen, ‘it is still a major force for peace’ (Christenen, 2015: 46). The Russian invasions of Georgia and the Crimea, and the US invasions of Afghanistan and Iraq prove Christensen’s point about how difficult and costly it is to reconstitute a functioning economy after invading a territory, but show also that some governments disregard the costs when they see weighty geopolitical reasons for resorting to force against an inferior country with no nuclear arms. While conceding that interdependence restrains ambition and rivalry, White (2012: 50–52, 55, 116) doubts that restraints will prove stronger than pressures going the other way. He points at a psychological factor: ‘…most often people see it as shameful to put economic concerns first when issues of power and status are engaged’. When a choice has to be made in the glare of an international crisis, ‘it is very hard to put economics first’. And if both sides think the costs will be worse for their adversary than for themselves, they may wait for the other to blink. Since there is now just ‘one big global economy’ no major power can slam economic sanctions on another without hurting itself severely, but the momentum of rivalry could build up ‘before leaders or public wake up to the economic consequences’. Escalating rivalry could ‘begin to erode economic interdependence, rather than interdependence curbing escalation’, White adds. This must mean that interdependence actually does prevent or delay open conflict; only after governments have taken action to reduce their dependence are they willing to risk war. Steve Chan’s Enduring Rivalries in the Asia-Pacific (2013) is very optimistic: the general trend in East Asia, he says, is toward abatement rather than exacerbation of rivalries</w:t>
      </w:r>
      <w:r w:rsidRPr="00BB2DEF">
        <w:rPr>
          <w:rStyle w:val="StyleUnderline"/>
        </w:rPr>
        <w:t xml:space="preserve">. </w:t>
      </w:r>
      <w:r w:rsidRPr="00BB2DEF">
        <w:rPr>
          <w:rStyle w:val="StyleUnderline"/>
        </w:rPr>
        <w:lastRenderedPageBreak/>
        <w:t xml:space="preserve">Territorial </w:t>
      </w:r>
      <w:r w:rsidRPr="00E00CA7">
        <w:rPr>
          <w:rStyle w:val="StyleUnderline"/>
          <w:highlight w:val="green"/>
        </w:rPr>
        <w:t>disputes are less likely to escalate</w:t>
      </w:r>
      <w:r w:rsidRPr="00BB2DEF">
        <w:rPr>
          <w:rStyle w:val="StyleUnderline"/>
        </w:rPr>
        <w:t xml:space="preserve"> today than during the Cold War </w:t>
      </w:r>
      <w:r w:rsidRPr="00E00CA7">
        <w:rPr>
          <w:rStyle w:val="StyleUnderline"/>
          <w:highlight w:val="green"/>
        </w:rPr>
        <w:t>since</w:t>
      </w:r>
      <w:r w:rsidRPr="00727360">
        <w:rPr>
          <w:sz w:val="10"/>
        </w:rPr>
        <w:t xml:space="preserve"> East Asian </w:t>
      </w:r>
      <w:r w:rsidRPr="00E00CA7">
        <w:rPr>
          <w:rStyle w:val="StyleUnderline"/>
          <w:highlight w:val="green"/>
        </w:rPr>
        <w:t>states</w:t>
      </w:r>
      <w:r w:rsidRPr="00BB2DEF">
        <w:rPr>
          <w:rStyle w:val="StyleUnderline"/>
        </w:rPr>
        <w:t xml:space="preserve"> have shifted to policies </w:t>
      </w:r>
      <w:r w:rsidRPr="00E00CA7">
        <w:rPr>
          <w:rStyle w:val="StyleUnderline"/>
          <w:highlight w:val="green"/>
        </w:rPr>
        <w:t>emphasizing economic development</w:t>
      </w:r>
      <w:r w:rsidRPr="00727360">
        <w:rPr>
          <w:sz w:val="10"/>
        </w:rPr>
        <w:t xml:space="preserve">. This has created a ‘synergistic effect that restrains interstate tension and rivalry’. Ties have been multilateralized, with many third parties gaining a vested stake in interstate stability. While </w:t>
      </w:r>
      <w:r w:rsidRPr="00BB2DEF">
        <w:rPr>
          <w:rStyle w:val="StyleUnderline"/>
        </w:rPr>
        <w:t>China</w:t>
      </w:r>
      <w:r w:rsidRPr="00727360">
        <w:rPr>
          <w:sz w:val="10"/>
        </w:rPr>
        <w:t xml:space="preserve"> has increased its military capabilities it has also </w:t>
      </w:r>
      <w:r w:rsidRPr="00BB2DEF">
        <w:rPr>
          <w:rStyle w:val="StyleUnderline"/>
        </w:rPr>
        <w:t>acquired an interest in preserving regional stability</w:t>
      </w:r>
      <w:r w:rsidRPr="00727360">
        <w:rPr>
          <w:sz w:val="10"/>
        </w:rPr>
        <w:t xml:space="preserve">. On its side, </w:t>
      </w:r>
      <w:r w:rsidRPr="00BB2DEF">
        <w:rPr>
          <w:rStyle w:val="StyleUnderline"/>
        </w:rPr>
        <w:t>the US faces resource constraints that make it wary of providing too strong support to its allies</w:t>
      </w:r>
      <w:r w:rsidRPr="00727360">
        <w:rPr>
          <w:sz w:val="10"/>
        </w:rPr>
        <w:t xml:space="preserve">. </w:t>
      </w:r>
      <w:r w:rsidRPr="00BB2DEF">
        <w:rPr>
          <w:rStyle w:val="StyleUnderline"/>
        </w:rPr>
        <w:t>This should work against bipolarization of regional relations</w:t>
      </w:r>
      <w:r w:rsidRPr="00727360">
        <w:rPr>
          <w:sz w:val="10"/>
        </w:rPr>
        <w:t xml:space="preserve">. Chan’s optimism is not derived from recent events but from an assumption that underlying long-range forces create interests securing the peace: ‘Economic </w:t>
      </w:r>
      <w:r w:rsidRPr="00BB2DEF">
        <w:rPr>
          <w:rStyle w:val="StyleUnderline"/>
        </w:rPr>
        <w:t>interdependence</w:t>
      </w:r>
      <w:r w:rsidRPr="00727360">
        <w:rPr>
          <w:sz w:val="10"/>
        </w:rPr>
        <w:t xml:space="preserve"> and political </w:t>
      </w:r>
      <w:r w:rsidRPr="00BB2DEF">
        <w:rPr>
          <w:rStyle w:val="StyleUnderline"/>
        </w:rPr>
        <w:t>pluralism promote stakeholders that have a vested interest in stabilizing and expanding foreign ties, and these stakeholders are, in turn, self-motivated to lobby their government to undertake policies that abate rivalry’</w:t>
      </w:r>
      <w:r w:rsidRPr="00727360">
        <w:rPr>
          <w:sz w:val="10"/>
        </w:rPr>
        <w:t xml:space="preserve"> (Chan, 2013: 20). Chan finds that the normal mechanism behind the outbreak and escalation of large wars is that a smaller state in an asymmetrical relationship chooses a confrontational behaviour in the hope of gaining support from a major patron; those with little or no hope of receiving foreign support and those with a great deal of confidence in their ally’s commitment ‘are less likely to initiate such confrontation than those that are in an intermediate position’ (Chan, 2013: 108, 114, 186). Given the nature of Sino–US relations, no provocation by a smaller state in East Asia is likely to escalate. North Korea cannot count on Chinese support against South Korea. South Korea, Japan, and the Philippines are subjected to US ‘escalation control’. From the perspective of power balance theory, says Chan, greater power parity between China and the US should have ‘a stabilizing rather than a destabilizing effect’. This defies Mearsheimer’s reasoning but conforms to Yan’s analysis. Chan thinks China’s rise should stabilize regional relations by ‘curtailing any US tendency toward assertive unilateralism … the last thing Beijing wants to do is to trigger a costly arms race or precipitate forces that will pressure its neighbors to choose between it and Washington’ (2013: 82, 102, 104). While this seems reasonable, China’s behaviour in the last few years does not quite confirm Chan’s argument. The ways and the conditions under which cost concerns enter into Beijing’s decision-making need to be gauged. Who calls for caution? At which stage in a crisis? According to Chan the people and governments of East Asia have turned away from being garrison states to a model of political economy emphasizing </w:t>
      </w:r>
      <w:r w:rsidRPr="00BB2DEF">
        <w:rPr>
          <w:rStyle w:val="StyleUnderline"/>
        </w:rPr>
        <w:t>economic growth</w:t>
      </w:r>
      <w:r w:rsidRPr="00727360">
        <w:rPr>
          <w:sz w:val="10"/>
        </w:rPr>
        <w:t xml:space="preserve">. This </w:t>
      </w:r>
      <w:r w:rsidRPr="00BB2DEF">
        <w:rPr>
          <w:rStyle w:val="StyleUnderline"/>
        </w:rPr>
        <w:t>presents ‘the most powerful firebreak against conflict contagion’</w:t>
      </w:r>
      <w:r w:rsidRPr="00727360">
        <w:rPr>
          <w:sz w:val="10"/>
        </w:rPr>
        <w:t>. The region-wide transition to ‘economy first’ policies has been successful, and ‘successful policies are likely to be continued … emulated and replicated’. But can they continue to be successful if Western markets are no longer able to absorb huge quantities of Asian goods? Chan qualifies his argument: ‘…</w:t>
      </w:r>
      <w:r w:rsidRPr="00E00CA7">
        <w:rPr>
          <w:rStyle w:val="StyleUnderline"/>
          <w:highlight w:val="green"/>
        </w:rPr>
        <w:t>when states expect</w:t>
      </w:r>
      <w:r w:rsidRPr="00BB2DEF">
        <w:rPr>
          <w:rStyle w:val="StyleUnderline"/>
        </w:rPr>
        <w:t xml:space="preserve"> future </w:t>
      </w:r>
      <w:r w:rsidRPr="00E00CA7">
        <w:rPr>
          <w:rStyle w:val="StyleUnderline"/>
          <w:highlight w:val="green"/>
        </w:rPr>
        <w:t>economic relations to be disrupted</w:t>
      </w:r>
      <w:r w:rsidRPr="00727360">
        <w:rPr>
          <w:sz w:val="10"/>
        </w:rPr>
        <w:t xml:space="preserve"> or curtailed, </w:t>
      </w:r>
      <w:r w:rsidRPr="00E00CA7">
        <w:rPr>
          <w:rStyle w:val="StyleUnderline"/>
          <w:highlight w:val="green"/>
        </w:rPr>
        <w:t>they are likely to stop cooperating and</w:t>
      </w:r>
      <w:r w:rsidRPr="00BB2DEF">
        <w:rPr>
          <w:rStyle w:val="StyleUnderline"/>
        </w:rPr>
        <w:t xml:space="preserve"> might even </w:t>
      </w:r>
      <w:r w:rsidRPr="00E00CA7">
        <w:rPr>
          <w:rStyle w:val="Emphasis"/>
          <w:highlight w:val="green"/>
        </w:rPr>
        <w:t>lash out in war’</w:t>
      </w:r>
      <w:r w:rsidRPr="00727360">
        <w:rPr>
          <w:sz w:val="10"/>
        </w:rPr>
        <w:t xml:space="preserve"> (2013: 135, 140, 147, 149). This same argument forms the nucleus of Dale </w:t>
      </w:r>
      <w:r w:rsidRPr="00E00CA7">
        <w:rPr>
          <w:rStyle w:val="StyleUnderline"/>
          <w:highlight w:val="green"/>
        </w:rPr>
        <w:t>Copeland’s</w:t>
      </w:r>
      <w:r w:rsidRPr="00727360">
        <w:rPr>
          <w:rStyle w:val="StyleUnderline"/>
        </w:rPr>
        <w:t xml:space="preserve"> </w:t>
      </w:r>
      <w:r w:rsidRPr="00727360">
        <w:rPr>
          <w:sz w:val="10"/>
        </w:rPr>
        <w:t xml:space="preserve">‘trade expectation theory’ (Copeland, 2015), which builds on his ‘dynamic differentials theory’ (Copeland, 2000). Copeland does not include nuclear deterrence as a part of his theory (he treats nuclear as no different from conventional deterrence), and has not studied Sino–US relations in particular. What he has done is to develop a comprehensive theory of major war, based on defensive realism while including liberal elements, and paying particular emphasis to the security–economy nexus. His </w:t>
      </w:r>
      <w:r w:rsidRPr="00E00CA7">
        <w:rPr>
          <w:rStyle w:val="StyleUnderline"/>
          <w:highlight w:val="green"/>
        </w:rPr>
        <w:t>findings</w:t>
      </w:r>
      <w:r w:rsidRPr="00727360">
        <w:rPr>
          <w:rStyle w:val="StyleUnderline"/>
        </w:rPr>
        <w:t>,</w:t>
      </w:r>
      <w:r w:rsidRPr="00727360">
        <w:rPr>
          <w:sz w:val="10"/>
        </w:rPr>
        <w:t xml:space="preserve"> which are </w:t>
      </w:r>
      <w:r w:rsidRPr="00E00CA7">
        <w:rPr>
          <w:rStyle w:val="StyleUnderline"/>
          <w:highlight w:val="green"/>
        </w:rPr>
        <w:t>based on</w:t>
      </w:r>
      <w:r w:rsidRPr="00727360">
        <w:rPr>
          <w:sz w:val="10"/>
        </w:rPr>
        <w:t xml:space="preserve"> a number of </w:t>
      </w:r>
      <w:r w:rsidRPr="00E00CA7">
        <w:rPr>
          <w:rStyle w:val="StyleUnderline"/>
          <w:highlight w:val="green"/>
        </w:rPr>
        <w:t>historic</w:t>
      </w:r>
      <w:r w:rsidRPr="00727360">
        <w:rPr>
          <w:rStyle w:val="StyleUnderline"/>
        </w:rPr>
        <w:t xml:space="preserve">al </w:t>
      </w:r>
      <w:r w:rsidRPr="00E00CA7">
        <w:rPr>
          <w:rStyle w:val="StyleUnderline"/>
          <w:highlight w:val="green"/>
        </w:rPr>
        <w:t>case studies</w:t>
      </w:r>
      <w:r w:rsidRPr="00727360">
        <w:rPr>
          <w:rStyle w:val="StyleUnderline"/>
        </w:rPr>
        <w:t>, are of considerable interest</w:t>
      </w:r>
      <w:r w:rsidRPr="00727360">
        <w:rPr>
          <w:sz w:val="10"/>
        </w:rPr>
        <w:t xml:space="preserve"> in the context of this paper. Copeland includes three kinds of power in his theory: military; economic; and ‘potential’. The latter includes several elements, such as size, age and education of the population, access to natural resources, and economic growth prospects. In Copeland’s most recent books he focuses more narrowly on just the economic aspect of potential power, namely ‘trade expectations’. His The Origins of Major War (2000) and Economic Interdependence and War (2015) include a number of elements and findings from which interesting implications for Sino–US relations today may be seen. As in the </w:t>
      </w:r>
      <w:r w:rsidRPr="00727360">
        <w:rPr>
          <w:sz w:val="10"/>
          <w:szCs w:val="16"/>
        </w:rPr>
        <w:t>Th</w:t>
      </w:r>
      <w:r w:rsidRPr="00727360">
        <w:rPr>
          <w:sz w:val="10"/>
        </w:rPr>
        <w:t xml:space="preserve">ucydides trap (see below), third parties can play a significant role in provoking wars between major powers (Copeland, 2015: 443–444). Hence the need to cautiously manage the disputes between the two Korean states, China and Taiwan, China and Japan, and China and the Philippines has lost none of its importance. National leaders act on the basis of their beliefs about phenomena not necessarily on accurate knowledge (Copeland, 2000: 31–32; Copeland, 2015: 17). </w:t>
      </w:r>
      <w:r w:rsidRPr="00727360">
        <w:rPr>
          <w:rStyle w:val="StyleUnderline"/>
        </w:rPr>
        <w:t>Beliefs about likely future trends are particularly salient</w:t>
      </w:r>
      <w:r w:rsidRPr="00727360">
        <w:rPr>
          <w:sz w:val="10"/>
        </w:rPr>
        <w:t xml:space="preserve">, and the future cannot of course be accurately known. In bipolar systems a state believing itself to be in decline is much more likely than a rising power to initiate conflict: ‘rising states should want to avoid war while they are still rising, since by waiting they can fight later with more power’ (Copeland, 2000: 2–3, 14, 20). Hence </w:t>
      </w:r>
      <w:r w:rsidRPr="00727360">
        <w:rPr>
          <w:rStyle w:val="StyleUnderline"/>
        </w:rPr>
        <w:t>China and the US have a mutual interest in preventing each other from fearing decline</w:t>
      </w:r>
      <w:r w:rsidRPr="00727360">
        <w:rPr>
          <w:sz w:val="10"/>
        </w:rPr>
        <w:t xml:space="preserve">. </w:t>
      </w:r>
      <w:r w:rsidRPr="00B166BA">
        <w:rPr>
          <w:rStyle w:val="StyleUnderline"/>
        </w:rPr>
        <w:t>Strong military powers who believe themselves to be in decline</w:t>
      </w:r>
      <w:r w:rsidRPr="00B166BA">
        <w:rPr>
          <w:sz w:val="10"/>
        </w:rPr>
        <w:t xml:space="preserve"> (have negative trade expectations) </w:t>
      </w:r>
      <w:r w:rsidRPr="00B166BA">
        <w:rPr>
          <w:rStyle w:val="StyleUnderline"/>
        </w:rPr>
        <w:t>are particularly dangerous</w:t>
      </w:r>
      <w:r w:rsidRPr="00B166BA">
        <w:rPr>
          <w:sz w:val="10"/>
        </w:rPr>
        <w:t xml:space="preserve"> (Copeland, 2000: 5, 13, 22, 237, 241, 244; Copeland, 2015: 429). Thus Beijing must be weary of tying itself up too closely with a declining Russia and even more weary of American fears of decline. Dynamic relational factors such as ‘potential power’</w:t>
      </w:r>
      <w:r w:rsidRPr="00727360">
        <w:rPr>
          <w:sz w:val="10"/>
        </w:rPr>
        <w:t xml:space="preserve"> or ‘</w:t>
      </w:r>
      <w:r w:rsidRPr="00E00CA7">
        <w:rPr>
          <w:rStyle w:val="Emphasis"/>
          <w:highlight w:val="green"/>
        </w:rPr>
        <w:t>trade expectations’</w:t>
      </w:r>
      <w:r w:rsidRPr="00E00CA7">
        <w:rPr>
          <w:rStyle w:val="StyleUnderline"/>
          <w:highlight w:val="green"/>
        </w:rPr>
        <w:t xml:space="preserve"> are more important in determining choice between war and peace</w:t>
      </w:r>
      <w:r w:rsidRPr="00727360">
        <w:rPr>
          <w:sz w:val="10"/>
        </w:rPr>
        <w:t xml:space="preserve"> than static factors, such as the actual level of trade, or a state’s form of governance on the ‘unit level’ (Copeland, 2000: 235–236, 238, 245; Copeland, 2015: 12, 14, 27–50, 435–436). To the extent that unit level differences count, the character of the target state is more important than that of the aggressor; while the liberal assumption that some kinds of regimes are more likely to initiate war than others is wrong, it is true that some kinds of regimes are more likely to be targetted than others.2 To avoid becoming a target it may help to be seen as predictable, transparent, respectful of international law, and open to trade and investments. In the conclusion to his exhaustive examination of how trade expectations have influenced various decisions for war in the period 1790–1991, Copeland is optimistic about today’s prospects: ‘there are strong reasons to believe that China will stay peacefully engaged in the system over the long term, at least as long as the United States proves willing to maintain an open and free-flowing global economic system’; ‘the reasons for optimistic economic expectations in both China and the United States should outweigh the reasons for pessimism for at least a couple more decades’ (Copeland, 2015: 432, 444). Chan’s and Copeland’s </w:t>
      </w:r>
      <w:r w:rsidRPr="00727360">
        <w:rPr>
          <w:rStyle w:val="StyleUnderline"/>
        </w:rPr>
        <w:t>optimism depends on the continued success of globalization</w:t>
      </w:r>
      <w:r w:rsidRPr="00727360">
        <w:rPr>
          <w:sz w:val="10"/>
        </w:rPr>
        <w:t xml:space="preserve">. If trade expectations falter on any or both sides of the Pacific the unit-level economy-first policies may lose their pacifying effect. Chan confirms that </w:t>
      </w:r>
      <w:r w:rsidRPr="00727360">
        <w:rPr>
          <w:rStyle w:val="StyleUnderline"/>
        </w:rPr>
        <w:t>the dampening effect of economic inter-dependence on conflict behaviour depends on policies of economic openness and integration</w:t>
      </w:r>
      <w:r w:rsidRPr="00727360">
        <w:rPr>
          <w:sz w:val="10"/>
        </w:rPr>
        <w:t>. Hence there is need to understand global financial politics, global trends and economic expectations in Beijing, Washington, Tokyo and other East Asian capitals before assessing the likelihood that economic interdependence will continue to ensure peace among major nuclear powers.</w:t>
      </w:r>
    </w:p>
    <w:p w14:paraId="51717AF8" w14:textId="77777777" w:rsidR="00B22B3E" w:rsidRDefault="00B22B3E" w:rsidP="00B22B3E"/>
    <w:p w14:paraId="630CE344" w14:textId="35779513" w:rsidR="00F04423" w:rsidRDefault="00AA30A0" w:rsidP="00F25671">
      <w:pPr>
        <w:pStyle w:val="Heading2"/>
      </w:pPr>
      <w:r>
        <w:lastRenderedPageBreak/>
        <w:t>3</w:t>
      </w:r>
    </w:p>
    <w:p w14:paraId="1A276D11" w14:textId="77777777" w:rsidR="00F25671" w:rsidRPr="00DA0671" w:rsidRDefault="00F25671" w:rsidP="00F25671">
      <w:pPr>
        <w:pStyle w:val="Heading4"/>
      </w:pPr>
      <w:r w:rsidRPr="00DA0671">
        <w:t>Counter-Plan Text:</w:t>
      </w:r>
      <w:r>
        <w:t xml:space="preserve"> “A just government”</w:t>
      </w:r>
      <w:r w:rsidRPr="00DA0671">
        <w:t xml:space="preserve"> ought to recognize a right of workers to strike with a condition that strikes not relate to inter-union disputes. </w:t>
      </w:r>
    </w:p>
    <w:p w14:paraId="758FEB61" w14:textId="77777777" w:rsidR="00F25671" w:rsidRPr="00DA0671" w:rsidRDefault="00F25671" w:rsidP="00F25671">
      <w:r w:rsidRPr="00DA0671">
        <w:rPr>
          <w:rStyle w:val="Style13ptBold"/>
        </w:rPr>
        <w:t>Waas 13</w:t>
      </w:r>
      <w:r>
        <w:t xml:space="preserve"> </w:t>
      </w:r>
      <w:r w:rsidRPr="00DA0671">
        <w:rPr>
          <w:sz w:val="14"/>
          <w:szCs w:val="14"/>
        </w:rPr>
        <w:t xml:space="preserve">Bernd Waas (Goethe University Frankfurt, Germany). “Strike as a Fundamental Right of the Workers and its Risks of Conflicting with other Fundamental Rights of the Citizens,” XX World Congress, Santiago de Chile, September 2012, General Report III. </w:t>
      </w:r>
      <w:hyperlink r:id="rId8" w:history="1">
        <w:r w:rsidRPr="00DA0671">
          <w:rPr>
            <w:rStyle w:val="Hyperlink"/>
            <w:sz w:val="14"/>
            <w:szCs w:val="14"/>
          </w:rPr>
          <w:t>https://www.islssl.org/wp-content/uploads/2013/01/Strike-Waas.pdf</w:t>
        </w:r>
      </w:hyperlink>
      <w:r w:rsidRPr="00DA0671">
        <w:rPr>
          <w:sz w:val="14"/>
          <w:szCs w:val="14"/>
        </w:rPr>
        <w:t xml:space="preserve"> SJMS</w:t>
      </w:r>
    </w:p>
    <w:p w14:paraId="2D45F003" w14:textId="77777777" w:rsidR="00F25671" w:rsidRPr="00DA0671" w:rsidRDefault="00F25671" w:rsidP="00F25671">
      <w:pPr>
        <w:rPr>
          <w:rStyle w:val="Emphasis"/>
        </w:rPr>
      </w:pPr>
      <w:r w:rsidRPr="00DA0671">
        <w:rPr>
          <w:sz w:val="8"/>
        </w:rPr>
        <w:t xml:space="preserve">In Australia, </w:t>
      </w:r>
      <w:r w:rsidRPr="00DA0671">
        <w:rPr>
          <w:rStyle w:val="Emphasis"/>
        </w:rPr>
        <w:t xml:space="preserve">the law explicitly states that industrial </w:t>
      </w:r>
      <w:r w:rsidRPr="00DA0671">
        <w:rPr>
          <w:rStyle w:val="Emphasis"/>
          <w:highlight w:val="green"/>
        </w:rPr>
        <w:t>action must not “relate to</w:t>
      </w:r>
      <w:r w:rsidRPr="00DA0671">
        <w:rPr>
          <w:rStyle w:val="Emphasis"/>
        </w:rPr>
        <w:t xml:space="preserve"> a significant extent to a </w:t>
      </w:r>
      <w:r w:rsidRPr="00DA0671">
        <w:rPr>
          <w:rStyle w:val="Emphasis"/>
          <w:highlight w:val="green"/>
        </w:rPr>
        <w:t>demarcation dispute”</w:t>
      </w:r>
      <w:r w:rsidRPr="00DA0671">
        <w:rPr>
          <w:sz w:val="8"/>
        </w:rPr>
        <w:t xml:space="preserve">17. In Ireland, </w:t>
      </w:r>
      <w:r w:rsidRPr="00DA0671">
        <w:rPr>
          <w:rStyle w:val="Emphasis"/>
        </w:rPr>
        <w:t xml:space="preserve">strikes arising from </w:t>
      </w:r>
      <w:r w:rsidRPr="00DA0671">
        <w:rPr>
          <w:rStyle w:val="Emphasis"/>
          <w:highlight w:val="green"/>
        </w:rPr>
        <w:t>inter-union disputes</w:t>
      </w:r>
      <w:r w:rsidRPr="00DA0671">
        <w:rPr>
          <w:rStyle w:val="Emphasis"/>
        </w:rPr>
        <w:t xml:space="preserve"> would </w:t>
      </w:r>
      <w:r w:rsidRPr="00DA0671">
        <w:rPr>
          <w:rStyle w:val="Emphasis"/>
          <w:highlight w:val="green"/>
        </w:rPr>
        <w:t>not fall within</w:t>
      </w:r>
      <w:r w:rsidRPr="00DA0671">
        <w:rPr>
          <w:rStyle w:val="Emphasis"/>
        </w:rPr>
        <w:t xml:space="preserve"> the </w:t>
      </w:r>
      <w:r w:rsidRPr="00DA0671">
        <w:rPr>
          <w:rStyle w:val="Emphasis"/>
          <w:highlight w:val="green"/>
        </w:rPr>
        <w:t>scope of statutory immunities</w:t>
      </w:r>
      <w:r w:rsidRPr="00DA0671">
        <w:rPr>
          <w:rStyle w:val="Emphasis"/>
        </w:rPr>
        <w:t>, because the definition of “trade dispute” is restricted to disputes between employers and workers</w:t>
      </w:r>
      <w:r w:rsidRPr="00DA0671">
        <w:rPr>
          <w:sz w:val="8"/>
        </w:rPr>
        <w:t xml:space="preserve">, and, accordingly, </w:t>
      </w:r>
      <w:r w:rsidRPr="00DA0671">
        <w:rPr>
          <w:rStyle w:val="Emphasis"/>
        </w:rPr>
        <w:t>does not apply to disputes between workers.</w:t>
      </w:r>
      <w:r w:rsidRPr="00DA0671">
        <w:rPr>
          <w:sz w:val="8"/>
        </w:rPr>
        <w:t xml:space="preserve"> The </w:t>
      </w:r>
      <w:r w:rsidRPr="00DA0671">
        <w:rPr>
          <w:rStyle w:val="Emphasis"/>
        </w:rPr>
        <w:t>same is true for Colombia</w:t>
      </w:r>
      <w:r w:rsidRPr="00DA0671">
        <w:rPr>
          <w:sz w:val="8"/>
        </w:rPr>
        <w:t xml:space="preserve">, where it is acknowledged that </w:t>
      </w:r>
      <w:r w:rsidRPr="00DA0671">
        <w:rPr>
          <w:rStyle w:val="Emphasis"/>
          <w:highlight w:val="green"/>
        </w:rPr>
        <w:t>strikes</w:t>
      </w:r>
      <w:r w:rsidRPr="00DA0671">
        <w:rPr>
          <w:rStyle w:val="Emphasis"/>
        </w:rPr>
        <w:t xml:space="preserve"> may </w:t>
      </w:r>
      <w:r w:rsidRPr="00DA0671">
        <w:rPr>
          <w:rStyle w:val="Emphasis"/>
          <w:highlight w:val="green"/>
        </w:rPr>
        <w:t>not</w:t>
      </w:r>
      <w:r w:rsidRPr="00DA0671">
        <w:rPr>
          <w:rStyle w:val="Emphasis"/>
        </w:rPr>
        <w:t xml:space="preserve"> be </w:t>
      </w:r>
      <w:r w:rsidRPr="00DA0671">
        <w:rPr>
          <w:rStyle w:val="Emphasis"/>
          <w:highlight w:val="green"/>
        </w:rPr>
        <w:t>aimed at settling disputes between unions</w:t>
      </w:r>
      <w:r w:rsidRPr="00DA0671">
        <w:rPr>
          <w:rStyle w:val="Emphasis"/>
        </w:rPr>
        <w:t>.</w:t>
      </w:r>
      <w:r w:rsidRPr="00DA0671">
        <w:rPr>
          <w:sz w:val="8"/>
        </w:rPr>
        <w:t xml:space="preserve"> In Turkey, </w:t>
      </w:r>
      <w:r w:rsidRPr="00DA0671">
        <w:rPr>
          <w:rStyle w:val="Emphasis"/>
        </w:rPr>
        <w:t xml:space="preserve">strikes over such issues are not permissible because they cannot be dealt with by collective bargaining. </w:t>
      </w:r>
      <w:r w:rsidRPr="00DA0671">
        <w:rPr>
          <w:rStyle w:val="Emphasis"/>
          <w:highlight w:val="green"/>
        </w:rPr>
        <w:t>In the U</w:t>
      </w:r>
      <w:r w:rsidRPr="00DA0671">
        <w:rPr>
          <w:rStyle w:val="Emphasis"/>
        </w:rPr>
        <w:t xml:space="preserve">nited </w:t>
      </w:r>
      <w:r w:rsidRPr="00DA0671">
        <w:rPr>
          <w:rStyle w:val="Emphasis"/>
          <w:highlight w:val="green"/>
        </w:rPr>
        <w:t>S</w:t>
      </w:r>
      <w:r w:rsidRPr="00DA0671">
        <w:rPr>
          <w:rStyle w:val="Emphasis"/>
        </w:rPr>
        <w:t xml:space="preserve">tates, </w:t>
      </w:r>
      <w:r w:rsidRPr="00DA0671">
        <w:rPr>
          <w:rStyle w:val="Emphasis"/>
          <w:highlight w:val="green"/>
        </w:rPr>
        <w:t>strikes</w:t>
      </w:r>
      <w:r w:rsidRPr="00DA0671">
        <w:rPr>
          <w:rStyle w:val="Emphasis"/>
        </w:rPr>
        <w:t xml:space="preserve"> occasionally </w:t>
      </w:r>
      <w:r w:rsidRPr="00DA0671">
        <w:rPr>
          <w:rStyle w:val="Emphasis"/>
          <w:highlight w:val="green"/>
        </w:rPr>
        <w:t>arise over</w:t>
      </w:r>
      <w:r w:rsidRPr="00DA0671">
        <w:rPr>
          <w:rStyle w:val="Emphasis"/>
        </w:rPr>
        <w:t xml:space="preserve"> disputes between labour unions over the </w:t>
      </w:r>
      <w:r w:rsidRPr="00DA0671">
        <w:rPr>
          <w:rStyle w:val="Emphasis"/>
          <w:highlight w:val="green"/>
        </w:rPr>
        <w:t>right to perform specific work</w:t>
      </w:r>
      <w:r w:rsidRPr="00DA0671">
        <w:rPr>
          <w:rStyle w:val="Emphasis"/>
        </w:rPr>
        <w:t xml:space="preserve"> which both entities believe should be </w:t>
      </w:r>
      <w:r w:rsidRPr="00DA0671">
        <w:rPr>
          <w:rStyle w:val="Emphasis"/>
          <w:highlight w:val="green"/>
        </w:rPr>
        <w:t>assigned to members of their own bargaining unit</w:t>
      </w:r>
      <w:r w:rsidRPr="00DA0671">
        <w:rPr>
          <w:rStyle w:val="Emphasis"/>
        </w:rPr>
        <w:t>.</w:t>
      </w:r>
      <w:r w:rsidRPr="00DA0671">
        <w:rPr>
          <w:sz w:val="8"/>
        </w:rPr>
        <w:t xml:space="preserve"> If employees of a unit strike once an employer assigns given work to the members of another unit, </w:t>
      </w:r>
      <w:r w:rsidRPr="00DA0671">
        <w:rPr>
          <w:rStyle w:val="Emphasis"/>
        </w:rPr>
        <w:t xml:space="preserve">such a jurisdictional </w:t>
      </w:r>
      <w:r w:rsidRPr="00DA0671">
        <w:rPr>
          <w:rStyle w:val="Emphasis"/>
          <w:highlight w:val="green"/>
        </w:rPr>
        <w:t>dispute</w:t>
      </w:r>
      <w:r w:rsidRPr="00DA0671">
        <w:rPr>
          <w:rStyle w:val="Emphasis"/>
        </w:rPr>
        <w:t xml:space="preserve"> constitutes a </w:t>
      </w:r>
      <w:r w:rsidRPr="00DA0671">
        <w:rPr>
          <w:rStyle w:val="Emphasis"/>
          <w:highlight w:val="green"/>
        </w:rPr>
        <w:t>violation of</w:t>
      </w:r>
      <w:r w:rsidRPr="00DA0671">
        <w:rPr>
          <w:rStyle w:val="Emphasis"/>
        </w:rPr>
        <w:t xml:space="preserve"> the </w:t>
      </w:r>
      <w:r w:rsidRPr="00DA0671">
        <w:rPr>
          <w:rStyle w:val="Emphasis"/>
          <w:highlight w:val="green"/>
        </w:rPr>
        <w:t>National Labour Relations Act</w:t>
      </w:r>
      <w:r w:rsidRPr="00DA0671">
        <w:rPr>
          <w:rStyle w:val="Emphasis"/>
        </w:rPr>
        <w:t>18.</w:t>
      </w:r>
    </w:p>
    <w:p w14:paraId="6F155BA8" w14:textId="77777777" w:rsidR="00F25671" w:rsidRPr="00DA0671" w:rsidRDefault="00F25671" w:rsidP="00F25671">
      <w:pPr>
        <w:rPr>
          <w:rStyle w:val="Emphasis"/>
        </w:rPr>
      </w:pPr>
    </w:p>
    <w:p w14:paraId="216A418E" w14:textId="77777777" w:rsidR="00F25671" w:rsidRPr="00DA0671" w:rsidRDefault="00F25671" w:rsidP="00F25671">
      <w:pPr>
        <w:pStyle w:val="Heading4"/>
      </w:pPr>
      <w:r w:rsidRPr="00DA0671">
        <w:t>Empirical evidence proves – inter-union rivalries hurt the labor movement.</w:t>
      </w:r>
    </w:p>
    <w:p w14:paraId="0461B271" w14:textId="77777777" w:rsidR="00F25671" w:rsidRPr="00DA0671" w:rsidRDefault="00F25671" w:rsidP="00F25671">
      <w:pPr>
        <w:rPr>
          <w:sz w:val="14"/>
          <w:szCs w:val="14"/>
        </w:rPr>
      </w:pPr>
      <w:r w:rsidRPr="00DA0671">
        <w:rPr>
          <w:rStyle w:val="Style13ptBold"/>
        </w:rPr>
        <w:t>Ncube 16</w:t>
      </w:r>
      <w:r w:rsidRPr="00DA0671">
        <w:t xml:space="preserve"> </w:t>
      </w:r>
      <w:r w:rsidRPr="00DA0671">
        <w:rPr>
          <w:sz w:val="14"/>
          <w:szCs w:val="14"/>
        </w:rPr>
        <w:t xml:space="preserve">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doi: 10.11648/j.ijefm.20160406.18 </w:t>
      </w:r>
      <w:hyperlink r:id="rId9" w:history="1">
        <w:r w:rsidRPr="00DA0671">
          <w:rPr>
            <w:rStyle w:val="Hyperlink"/>
            <w:sz w:val="14"/>
            <w:szCs w:val="14"/>
          </w:rPr>
          <w:t>http://article.sciencepublishinggroup.com/html/10.11648.j.ijefm.20160406.18.html</w:t>
        </w:r>
      </w:hyperlink>
      <w:r w:rsidRPr="00DA0671">
        <w:rPr>
          <w:sz w:val="14"/>
          <w:szCs w:val="14"/>
        </w:rPr>
        <w:t xml:space="preserve"> SJMS</w:t>
      </w:r>
    </w:p>
    <w:p w14:paraId="330741F6" w14:textId="77777777" w:rsidR="00F25671" w:rsidRDefault="00F25671" w:rsidP="00F25671">
      <w:pPr>
        <w:rPr>
          <w:rStyle w:val="Emphasis"/>
        </w:rPr>
      </w:pPr>
      <w:r w:rsidRPr="00DA0671">
        <w:rPr>
          <w:sz w:val="8"/>
        </w:rPr>
        <w:t xml:space="preserve">From the discussion above it is clear that </w:t>
      </w:r>
      <w:r w:rsidRPr="00DA0671">
        <w:rPr>
          <w:rStyle w:val="Emphasis"/>
          <w:highlight w:val="green"/>
        </w:rPr>
        <w:t>union rivalry affects workers</w:t>
      </w:r>
      <w:r w:rsidRPr="00DA0671">
        <w:rPr>
          <w:rStyle w:val="Emphasis"/>
        </w:rPr>
        <w:t xml:space="preserve"> who suffer because of union officials in power struggles</w:t>
      </w:r>
      <w:r w:rsidRPr="00DA0671">
        <w:rPr>
          <w:sz w:val="8"/>
        </w:rPr>
        <w:t xml:space="preserve">. While it is clear that unions may be politically affiliated, in our view there is nothing wrong with this but when </w:t>
      </w:r>
      <w:r w:rsidRPr="00DA0671">
        <w:rPr>
          <w:rStyle w:val="Emphasis"/>
        </w:rPr>
        <w:t xml:space="preserve">they </w:t>
      </w:r>
      <w:r w:rsidRPr="00DA0671">
        <w:rPr>
          <w:rStyle w:val="Emphasis"/>
          <w:highlight w:val="green"/>
        </w:rPr>
        <w:t>lose focus</w:t>
      </w:r>
      <w:r w:rsidRPr="00DA0671">
        <w:rPr>
          <w:rStyle w:val="Emphasis"/>
        </w:rPr>
        <w:t xml:space="preserve">, they then fail to justify their existence. </w:t>
      </w:r>
      <w:r w:rsidRPr="00DA0671">
        <w:rPr>
          <w:sz w:val="8"/>
        </w:rPr>
        <w:t>Unions through shop stewards exist at the grass root to promote, protect and improve the economic, the social and the political interests of their members both in the workplaces and in society [</w:t>
      </w:r>
      <w:hyperlink r:id="rId10" w:anchor="reference_11" w:history="1">
        <w:r w:rsidRPr="00DA0671">
          <w:rPr>
            <w:rStyle w:val="Hyperlink"/>
            <w:sz w:val="8"/>
          </w:rPr>
          <w:t>11</w:t>
        </w:r>
      </w:hyperlink>
      <w:r w:rsidRPr="00DA0671">
        <w:rPr>
          <w:sz w:val="8"/>
        </w:rPr>
        <w:t xml:space="preserve">]. </w:t>
      </w:r>
      <w:r w:rsidRPr="00DA0671">
        <w:rPr>
          <w:rStyle w:val="Emphasis"/>
        </w:rPr>
        <w:t>These should be the interest of workers and not unions per-se.</w:t>
      </w:r>
      <w:r w:rsidRPr="00DA0671">
        <w:rPr>
          <w:sz w:val="8"/>
        </w:rPr>
        <w:t xml:space="preserve"> The </w:t>
      </w:r>
      <w:r w:rsidRPr="00DA0671">
        <w:rPr>
          <w:rStyle w:val="Emphasis"/>
        </w:rPr>
        <w:t xml:space="preserve">performance of trade unions is closely bound up with questions of identity, but the identity showed reveal benefits to union members. If it fails to do so then there is </w:t>
      </w:r>
      <w:r w:rsidRPr="00066057">
        <w:rPr>
          <w:rStyle w:val="Emphasis"/>
          <w:highlight w:val="green"/>
        </w:rPr>
        <w:t>no basis for unionisation</w:t>
      </w:r>
      <w:r w:rsidRPr="00DA0671">
        <w:rPr>
          <w:sz w:val="8"/>
        </w:rPr>
        <w:t xml:space="preserve"> [</w:t>
      </w:r>
      <w:hyperlink r:id="rId11" w:anchor="reference_4" w:history="1">
        <w:r w:rsidRPr="00DA0671">
          <w:rPr>
            <w:rStyle w:val="Hyperlink"/>
            <w:sz w:val="8"/>
          </w:rPr>
          <w:t>4</w:t>
        </w:r>
      </w:hyperlink>
      <w:r w:rsidRPr="00DA0671">
        <w:rPr>
          <w:sz w:val="8"/>
        </w:rPr>
        <w:t>]. There is little doubt that politics matters to unions</w:t>
      </w:r>
      <w:r w:rsidRPr="00DA0671">
        <w:rPr>
          <w:rStyle w:val="Emphasis"/>
        </w:rPr>
        <w:t>; the strength of a union is a product of membership, and actual `clout at the bargaining table and in politics</w:t>
      </w:r>
      <w:r w:rsidRPr="00DA0671">
        <w:rPr>
          <w:sz w:val="8"/>
        </w:rPr>
        <w:t xml:space="preserve"> [</w:t>
      </w:r>
      <w:hyperlink r:id="rId12" w:anchor="reference_10" w:history="1">
        <w:r w:rsidRPr="00DA0671">
          <w:rPr>
            <w:rStyle w:val="Hyperlink"/>
            <w:sz w:val="8"/>
          </w:rPr>
          <w:t>10</w:t>
        </w:r>
      </w:hyperlink>
      <w:r w:rsidRPr="00DA0671">
        <w:rPr>
          <w:sz w:val="8"/>
        </w:rPr>
        <w:t xml:space="preserve">]. But </w:t>
      </w:r>
      <w:r w:rsidRPr="00DA0671">
        <w:rPr>
          <w:rStyle w:val="Emphasis"/>
        </w:rPr>
        <w:t xml:space="preserve">while this is key </w:t>
      </w:r>
      <w:r w:rsidRPr="00066057">
        <w:rPr>
          <w:rStyle w:val="Emphasis"/>
          <w:highlight w:val="green"/>
        </w:rPr>
        <w:t>unions should not lose focus of pursing their member’s interest</w:t>
      </w:r>
      <w:r w:rsidRPr="00DA0671">
        <w:rPr>
          <w:rStyle w:val="Emphasis"/>
        </w:rPr>
        <w:t xml:space="preserve"> which then results in the maintenance of harmonious industrial relations.</w:t>
      </w:r>
      <w:r>
        <w:rPr>
          <w:rStyle w:val="Emphasis"/>
        </w:rPr>
        <w:t xml:space="preserve"> </w:t>
      </w:r>
      <w:r w:rsidRPr="00066057">
        <w:rPr>
          <w:rStyle w:val="Emphasis"/>
          <w:highlight w:val="green"/>
        </w:rPr>
        <w:t>Employers can easily ignore a weak union as it hardly represents the workers</w:t>
      </w:r>
      <w:r w:rsidRPr="00DA0671">
        <w:rPr>
          <w:sz w:val="8"/>
        </w:rPr>
        <w:t xml:space="preserve"> [</w:t>
      </w:r>
      <w:hyperlink r:id="rId13" w:anchor="reference_13" w:history="1">
        <w:r w:rsidRPr="00DA0671">
          <w:rPr>
            <w:rStyle w:val="Hyperlink"/>
            <w:sz w:val="8"/>
          </w:rPr>
          <w:t>13</w:t>
        </w:r>
      </w:hyperlink>
      <w:r w:rsidRPr="00DA0671">
        <w:rPr>
          <w:sz w:val="8"/>
        </w:rPr>
        <w:t xml:space="preserve">]. They went on to explain that the agreement with </w:t>
      </w:r>
      <w:r w:rsidRPr="00DA0671">
        <w:rPr>
          <w:rStyle w:val="Emphasis"/>
        </w:rPr>
        <w:t xml:space="preserve">such a union </w:t>
      </w:r>
      <w:r w:rsidRPr="00066057">
        <w:rPr>
          <w:rStyle w:val="Emphasis"/>
          <w:highlight w:val="green"/>
        </w:rPr>
        <w:t>will hardly be honoured by management</w:t>
      </w:r>
      <w:r w:rsidRPr="00DA0671">
        <w:rPr>
          <w:rStyle w:val="Emphasis"/>
        </w:rPr>
        <w:t xml:space="preserve"> a situation that was revealed equally by respondents from both unions.</w:t>
      </w:r>
      <w:r w:rsidRPr="00DA0671">
        <w:rPr>
          <w:sz w:val="8"/>
        </w:rPr>
        <w:t xml:space="preserve"> The free riders concept which typified the council may prove failure by unions to maintain effective shop-floor industrial relations by effectively representing worker interest. Management given such a window of opportunity end up making decisions that are go uncontested. The paper concludes that </w:t>
      </w:r>
      <w:r w:rsidRPr="00DA0671">
        <w:rPr>
          <w:rStyle w:val="Emphasis"/>
        </w:rPr>
        <w:t xml:space="preserve">the absence of a workers committee to represent workers in the works council is affecting workers grossly hence defying logic of the union existence. This may explain why the </w:t>
      </w:r>
      <w:r w:rsidRPr="00066057">
        <w:rPr>
          <w:rStyle w:val="Emphasis"/>
          <w:highlight w:val="green"/>
        </w:rPr>
        <w:t>unions</w:t>
      </w:r>
      <w:r w:rsidRPr="00DA0671">
        <w:rPr>
          <w:rStyle w:val="Emphasis"/>
        </w:rPr>
        <w:t xml:space="preserve"> are </w:t>
      </w:r>
      <w:r w:rsidRPr="00066057">
        <w:rPr>
          <w:rStyle w:val="Emphasis"/>
          <w:highlight w:val="green"/>
        </w:rPr>
        <w:t>failing to garner membership</w:t>
      </w:r>
      <w:r w:rsidRPr="00DA0671">
        <w:rPr>
          <w:rStyle w:val="Emphasis"/>
        </w:rPr>
        <w:t xml:space="preserve"> so as </w:t>
      </w:r>
      <w:r w:rsidRPr="00066057">
        <w:rPr>
          <w:rStyle w:val="Emphasis"/>
          <w:highlight w:val="green"/>
        </w:rPr>
        <w:t>to gain 50% majority</w:t>
      </w:r>
      <w:r w:rsidRPr="00DA0671">
        <w:rPr>
          <w:rStyle w:val="Emphasis"/>
        </w:rPr>
        <w:t>.</w:t>
      </w:r>
      <w:r w:rsidRPr="00DA0671">
        <w:rPr>
          <w:sz w:val="8"/>
        </w:rPr>
        <w:t xml:space="preserve"> Trade unions, worldwide, are experiencing difficulties on many counts in general and retention of quality membership in particular. There has </w:t>
      </w:r>
      <w:r w:rsidRPr="00DA0671">
        <w:rPr>
          <w:rStyle w:val="Emphasis"/>
        </w:rPr>
        <w:t xml:space="preserve">been </w:t>
      </w:r>
      <w:r w:rsidRPr="00066057">
        <w:rPr>
          <w:rStyle w:val="Emphasis"/>
          <w:highlight w:val="green"/>
        </w:rPr>
        <w:t>substantial erosion</w:t>
      </w:r>
      <w:r w:rsidRPr="00DA0671">
        <w:rPr>
          <w:rStyle w:val="Emphasis"/>
        </w:rPr>
        <w:t xml:space="preserve"> both in </w:t>
      </w:r>
      <w:r w:rsidRPr="00066057">
        <w:rPr>
          <w:rStyle w:val="Emphasis"/>
          <w:highlight w:val="green"/>
        </w:rPr>
        <w:t>membership as well as bargaining power of unions</w:t>
      </w:r>
      <w:r w:rsidRPr="00DA0671">
        <w:rPr>
          <w:sz w:val="8"/>
        </w:rPr>
        <w:t xml:space="preserve"> [</w:t>
      </w:r>
      <w:hyperlink r:id="rId14" w:anchor="reference_13" w:history="1">
        <w:r w:rsidRPr="00DA0671">
          <w:rPr>
            <w:rStyle w:val="Hyperlink"/>
            <w:sz w:val="8"/>
          </w:rPr>
          <w:t>13</w:t>
        </w:r>
      </w:hyperlink>
      <w:r w:rsidRPr="00DA0671">
        <w:rPr>
          <w:sz w:val="8"/>
        </w:rPr>
        <w:t xml:space="preserve">]. The paper maintains that the identified trend by the author above is heralded through the experience of the </w:t>
      </w:r>
      <w:r w:rsidRPr="00066057">
        <w:rPr>
          <w:rStyle w:val="Emphasis"/>
          <w:highlight w:val="green"/>
        </w:rPr>
        <w:t>3 trade unions who have lost tremendously legitimacy as evidenced by free managerial will and prerogatives.</w:t>
      </w:r>
      <w:r w:rsidRPr="00DA0671">
        <w:rPr>
          <w:rStyle w:val="Emphasis"/>
        </w:rPr>
        <w:t xml:space="preserve"> For many industrial relations theories, the founding principle of trade unionism resides in the existence of objective interests shared by members of the workforce </w:t>
      </w:r>
      <w:r w:rsidRPr="00DA0671">
        <w:rPr>
          <w:sz w:val="8"/>
        </w:rPr>
        <w:t>[</w:t>
      </w:r>
      <w:hyperlink r:id="rId15" w:anchor="reference_12" w:history="1">
        <w:r w:rsidRPr="00DA0671">
          <w:rPr>
            <w:rStyle w:val="Hyperlink"/>
            <w:sz w:val="8"/>
          </w:rPr>
          <w:t>12</w:t>
        </w:r>
      </w:hyperlink>
      <w:r w:rsidRPr="00DA0671">
        <w:rPr>
          <w:sz w:val="8"/>
        </w:rPr>
        <w:t xml:space="preserve">]. </w:t>
      </w:r>
      <w:r w:rsidRPr="00DA0671">
        <w:rPr>
          <w:rStyle w:val="Emphasis"/>
        </w:rPr>
        <w:t>The emergence and longevity of collective organizations flows from the strength and significance of these interests</w:t>
      </w:r>
      <w:r w:rsidRPr="00DA0671">
        <w:rPr>
          <w:sz w:val="8"/>
        </w:rPr>
        <w:t xml:space="preserve"> [</w:t>
      </w:r>
      <w:hyperlink r:id="rId16" w:anchor="reference_12" w:history="1">
        <w:r w:rsidRPr="00DA0671">
          <w:rPr>
            <w:rStyle w:val="Hyperlink"/>
            <w:sz w:val="8"/>
          </w:rPr>
          <w:t>12</w:t>
        </w:r>
      </w:hyperlink>
      <w:r w:rsidRPr="00DA0671">
        <w:rPr>
          <w:sz w:val="8"/>
        </w:rPr>
        <w:t xml:space="preserve">]. Union rivalry in </w:t>
      </w:r>
      <w:r w:rsidRPr="00DA0671">
        <w:rPr>
          <w:rStyle w:val="Emphasis"/>
        </w:rPr>
        <w:t xml:space="preserve">this regard tempers against such interest and </w:t>
      </w:r>
      <w:r w:rsidRPr="00DA0671">
        <w:rPr>
          <w:rStyle w:val="Emphasis"/>
        </w:rPr>
        <w:lastRenderedPageBreak/>
        <w:t>management take advantage of this situation which therefore create disharmony and discord thus grossly affecting unionism. The task of union organizations therefore is first to identify and interpret these collective interests and then to organize, in accordance with the circumstances, the appropriate forms of mediation in the relation to the common interest, a situation that is lacking hence challenging union legimacy and adversely affecting shop-floor industrial relations.</w:t>
      </w:r>
      <w:r>
        <w:rPr>
          <w:rStyle w:val="Emphasis"/>
        </w:rPr>
        <w:t xml:space="preserve"> </w:t>
      </w:r>
      <w:r w:rsidRPr="00DA0671">
        <w:rPr>
          <w:sz w:val="8"/>
        </w:rPr>
        <w:t xml:space="preserve">The paper concludes by identifying that </w:t>
      </w:r>
      <w:r w:rsidRPr="00C52297">
        <w:rPr>
          <w:rStyle w:val="Emphasis"/>
          <w:highlight w:val="green"/>
        </w:rPr>
        <w:t>union rivalry</w:t>
      </w:r>
      <w:r w:rsidRPr="00DA0671">
        <w:rPr>
          <w:rStyle w:val="Emphasis"/>
        </w:rPr>
        <w:t xml:space="preserve"> is mainly </w:t>
      </w:r>
      <w:r w:rsidRPr="00C52297">
        <w:rPr>
          <w:rStyle w:val="Emphasis"/>
          <w:highlight w:val="green"/>
        </w:rPr>
        <w:t>exacerbated by</w:t>
      </w:r>
      <w:r w:rsidRPr="00DA0671">
        <w:rPr>
          <w:rStyle w:val="Emphasis"/>
        </w:rPr>
        <w:t xml:space="preserve"> the </w:t>
      </w:r>
      <w:r w:rsidRPr="00C52297">
        <w:rPr>
          <w:rStyle w:val="Emphasis"/>
          <w:highlight w:val="green"/>
        </w:rPr>
        <w:t>political alliance</w:t>
      </w:r>
      <w:r w:rsidRPr="00DA0671">
        <w:rPr>
          <w:rStyle w:val="Emphasis"/>
        </w:rPr>
        <w:t xml:space="preserve"> of trade unions and political protagonists.</w:t>
      </w:r>
      <w:r w:rsidRPr="00DA0671">
        <w:rPr>
          <w:sz w:val="8"/>
        </w:rPr>
        <w:t xml:space="preserve"> This makes the unions to lose vision and focus towards achieving the sole purpose of their existence. At the end </w:t>
      </w:r>
      <w:r w:rsidRPr="00066057">
        <w:rPr>
          <w:rStyle w:val="Emphasis"/>
          <w:highlight w:val="green"/>
        </w:rPr>
        <w:t>unions spend a lot of time fighting each other</w:t>
      </w:r>
      <w:r w:rsidRPr="00DA0671">
        <w:rPr>
          <w:rStyle w:val="Emphasis"/>
        </w:rPr>
        <w:t xml:space="preserve">, painting each other in the darkest colour. This equally affects union density where potential members see no value addition in joining unions. </w:t>
      </w:r>
      <w:r w:rsidRPr="00DA0671">
        <w:rPr>
          <w:sz w:val="8"/>
        </w:rPr>
        <w:t xml:space="preserve">Union rivalry creates an avenue for union fragmentation which management capitalise on to maintain a divide and rule tactic. Workers are therefore left exposed as unions will be focusing on power games and not bread and butter issues. </w:t>
      </w:r>
      <w:r w:rsidRPr="00DA0671">
        <w:rPr>
          <w:rStyle w:val="Emphasis"/>
        </w:rPr>
        <w:t xml:space="preserve">Given the intensity of </w:t>
      </w:r>
      <w:r w:rsidRPr="00C52297">
        <w:rPr>
          <w:rStyle w:val="Emphasis"/>
          <w:highlight w:val="green"/>
        </w:rPr>
        <w:t>competition</w:t>
      </w:r>
      <w:r w:rsidRPr="00DA0671">
        <w:rPr>
          <w:rStyle w:val="Emphasis"/>
        </w:rPr>
        <w:t xml:space="preserve"> for legitimacy, acceptance </w:t>
      </w:r>
      <w:r w:rsidRPr="00C52297">
        <w:rPr>
          <w:rStyle w:val="Emphasis"/>
          <w:highlight w:val="green"/>
        </w:rPr>
        <w:t>and recognition clear battle lines between unions are created</w:t>
      </w:r>
      <w:r w:rsidRPr="00DA0671">
        <w:rPr>
          <w:rStyle w:val="Emphasis"/>
        </w:rPr>
        <w:t xml:space="preserve"> and at the end of the day </w:t>
      </w:r>
      <w:r w:rsidRPr="00C52297">
        <w:rPr>
          <w:rStyle w:val="Emphasis"/>
          <w:highlight w:val="green"/>
        </w:rPr>
        <w:t>workers wail and lament while management always have the last laugh.</w:t>
      </w:r>
    </w:p>
    <w:p w14:paraId="387A5AF3" w14:textId="77777777" w:rsidR="00F25671" w:rsidRDefault="00F25671" w:rsidP="00F25671">
      <w:pPr>
        <w:rPr>
          <w:rStyle w:val="Emphasis"/>
        </w:rPr>
      </w:pPr>
    </w:p>
    <w:p w14:paraId="48FFFB49" w14:textId="77777777" w:rsidR="00F25671" w:rsidRPr="00C52297" w:rsidRDefault="00F25671" w:rsidP="00F25671">
      <w:pPr>
        <w:pStyle w:val="Heading4"/>
      </w:pPr>
      <w:r w:rsidRPr="00C52297">
        <w:t>Methodology in doc</w:t>
      </w:r>
    </w:p>
    <w:p w14:paraId="1F5805A6" w14:textId="77777777" w:rsidR="00F25671" w:rsidRPr="00C52297" w:rsidRDefault="00F25671" w:rsidP="00F25671">
      <w:r w:rsidRPr="00C52297">
        <w:t xml:space="preserve">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doi: 10.11648/j.ijefm.20160406.18 </w:t>
      </w:r>
      <w:hyperlink r:id="rId17" w:history="1">
        <w:r w:rsidRPr="00C52297">
          <w:rPr>
            <w:rStyle w:val="Hyperlink"/>
          </w:rPr>
          <w:t>http://article.sciencepublishinggroup.com/html/10.11648.j.ijefm.20160406.18.html</w:t>
        </w:r>
      </w:hyperlink>
      <w:r w:rsidRPr="00C52297">
        <w:t xml:space="preserve"> </w:t>
      </w:r>
    </w:p>
    <w:p w14:paraId="0EDD7AE3" w14:textId="77777777" w:rsidR="00F25671" w:rsidRPr="00C52297" w:rsidRDefault="00F25671" w:rsidP="00F25671">
      <w:r w:rsidRPr="00C52297">
        <w:t>Primary and secondary sources of data were utilised for data collection. The study was conducted through the use of both questionnaires and interviews with key informants from the two dominant unions, the Zimbabwe Urban Council Worker’s Union (ZUCWU) and the Zimbabwe Rural Council Worker’s Union (ZRCWU). Given the nature of the study union officials were targeted and selected through the use judgemental sampling technique by focusing on those appropriate to the study. In total 51 union officials, paralegals and shop stewards participated in the study. Of the 51 participants 30 belonged to ZUCWU obviously because it had more members hence possessing a bigger committee and 21 respondents were ZRUWU members. Of the 51 combined together 18(35.3%) were female and 33(64.7%) male.</w:t>
      </w:r>
    </w:p>
    <w:p w14:paraId="61C0182D" w14:textId="77777777" w:rsidR="00F25671" w:rsidRDefault="00F25671" w:rsidP="00F25671">
      <w:pPr>
        <w:rPr>
          <w:rFonts w:ascii="Times New Roman" w:hAnsi="Times New Roman" w:cs="Times New Roman"/>
          <w:sz w:val="24"/>
          <w:szCs w:val="24"/>
        </w:rPr>
      </w:pPr>
    </w:p>
    <w:p w14:paraId="4570F9AE" w14:textId="77777777" w:rsidR="00F25671" w:rsidRPr="00F25671" w:rsidRDefault="00F25671" w:rsidP="00F25671"/>
    <w:p w14:paraId="41C58197" w14:textId="5551411F" w:rsidR="00A95652" w:rsidRDefault="0092357A" w:rsidP="0092357A">
      <w:pPr>
        <w:pStyle w:val="Heading2"/>
      </w:pPr>
      <w:r>
        <w:lastRenderedPageBreak/>
        <w:t>Case</w:t>
      </w:r>
    </w:p>
    <w:p w14:paraId="213ED629" w14:textId="77777777" w:rsidR="00B22B3E" w:rsidRDefault="00B22B3E" w:rsidP="00B22B3E">
      <w:pPr>
        <w:pStyle w:val="Heading4"/>
      </w:pPr>
      <w:r>
        <w:t>New report proves --- statistical analysis finds systemic racism in unions</w:t>
      </w:r>
    </w:p>
    <w:p w14:paraId="02AAA536" w14:textId="77777777" w:rsidR="00B22B3E" w:rsidRPr="00831F42" w:rsidRDefault="00B22B3E" w:rsidP="00B22B3E">
      <w:r w:rsidRPr="00821017">
        <w:rPr>
          <w:rStyle w:val="Style13ptBold"/>
        </w:rPr>
        <w:t xml:space="preserve">Ihejirika 20 </w:t>
      </w:r>
      <w:r w:rsidRPr="00D27C7C">
        <w:t>[Maudlyne Iherjirika, reporter, Chicago Sun Times.  “As nation fights systemic racism, report finds pattern of exclusion in Illinois trade unions.”  Sep. 7, 2020.  https://chicago.suntimes.com/2020/9/7/21426285/nation-fights-systemic-racism-report-finds-pattern-exclusion-illinois-trade-unions]</w:t>
      </w:r>
    </w:p>
    <w:p w14:paraId="6790B293" w14:textId="77777777" w:rsidR="00B22B3E" w:rsidRPr="00F20482" w:rsidRDefault="00B22B3E" w:rsidP="00B22B3E">
      <w:pPr>
        <w:rPr>
          <w:sz w:val="14"/>
        </w:rPr>
      </w:pPr>
      <w:r w:rsidRPr="00F20482">
        <w:rPr>
          <w:sz w:val="14"/>
        </w:rPr>
        <w:t xml:space="preserve">Activists called it a “No Labor Day” event, gathering with unemployed Black men and women Monday as they </w:t>
      </w:r>
      <w:r w:rsidRPr="00A84406">
        <w:rPr>
          <w:u w:val="single"/>
        </w:rPr>
        <w:t xml:space="preserve">unveiled </w:t>
      </w:r>
      <w:r w:rsidRPr="0032163F">
        <w:rPr>
          <w:highlight w:val="green"/>
          <w:u w:val="single"/>
        </w:rPr>
        <w:t>appalling</w:t>
      </w:r>
      <w:r w:rsidRPr="00A84406">
        <w:rPr>
          <w:u w:val="single"/>
        </w:rPr>
        <w:t xml:space="preserve"> diversity </w:t>
      </w:r>
      <w:r w:rsidRPr="0032163F">
        <w:rPr>
          <w:highlight w:val="green"/>
          <w:u w:val="single"/>
        </w:rPr>
        <w:t>statistics</w:t>
      </w:r>
      <w:r w:rsidRPr="00A84406">
        <w:rPr>
          <w:u w:val="single"/>
        </w:rPr>
        <w:t xml:space="preserve"> in a new report that </w:t>
      </w:r>
      <w:r w:rsidRPr="0032163F">
        <w:rPr>
          <w:highlight w:val="green"/>
          <w:u w:val="single"/>
        </w:rPr>
        <w:t>turns a spotlight on systemic racism within trade unions</w:t>
      </w:r>
      <w:r w:rsidRPr="00F20482">
        <w:rPr>
          <w:sz w:val="14"/>
        </w:rPr>
        <w:t xml:space="preserve">, specifically, those operating in Illinois. “These </w:t>
      </w:r>
      <w:r w:rsidRPr="00297D1C">
        <w:rPr>
          <w:rStyle w:val="Emphasis"/>
        </w:rPr>
        <w:t>statistics are shocking,</w:t>
      </w:r>
      <w:r w:rsidRPr="00F20482">
        <w:rPr>
          <w:sz w:val="14"/>
        </w:rPr>
        <w:t xml:space="preserve">” said U.S. Rep. Danny K. Davis, D-Ill., at the news conference with Chicago Black United Communities, the stalwart South Side organization founded by the legendary Lu Palmer. CBUC brought the issue into prominence as far back as the 1970s by shutting down construction sites. Based on U.S. Department of Labor statistics from 1999-2018, the CBUC report finds apprenticeship programs of 62 Illinois trade unions remain mostly white — five of them completely segregated; 15 with less than 20% persons of color; and 13 with 20 to 30% persons of color. “I couldn’t believe that in the year 2020, after all the marching, all the demonstrations, </w:t>
      </w:r>
      <w:r w:rsidRPr="006478FC">
        <w:rPr>
          <w:u w:val="single"/>
        </w:rPr>
        <w:t>there are still unions that have frozen out African Americans</w:t>
      </w:r>
      <w:r w:rsidRPr="00F20482">
        <w:rPr>
          <w:sz w:val="14"/>
        </w:rPr>
        <w:t xml:space="preserve">. I had to get a magnifying glass to make sure I was seeing these numbers right,” said Davis, who called for federal and state hearings, reaching out to the Department of Labor and Office of Civil Rights. “We’re going to have to do something about it. Don’t tell us there is no room at the inn, because if there’s no room, then we just have to kick the door down and come on in anyway. I’m tired of seeing young men on my block standing around with nothing to do, because they can’t get into these trade unions.” Davis, who turned 79 on Sunday, has long battled the issue since his days as an alderman, alongside Palmer, current CBUC Chairman Eddie Read and Soft Sheen founder Ed Gardner. Such efforts advanced under former Mayor Harold Washington in the 1980s, then fell off. Eddie Read, Chairman of Chicago Black United Communities (l), with unemployed trades workers at a Labor Day press conference, where </w:t>
      </w:r>
      <w:r w:rsidRPr="00D3383E">
        <w:rPr>
          <w:u w:val="single"/>
        </w:rPr>
        <w:t xml:space="preserve">Read unveiled a report finding appalling diversity </w:t>
      </w:r>
      <w:r w:rsidRPr="00EB5838">
        <w:rPr>
          <w:u w:val="single"/>
        </w:rPr>
        <w:t>statistics in apprenticeship programs</w:t>
      </w:r>
      <w:r w:rsidRPr="00F20482">
        <w:rPr>
          <w:sz w:val="14"/>
        </w:rPr>
        <w:t xml:space="preserve"> run by Illinois trades unions. U.S. Rep. Danny Davis called for federal and state hearings on the </w:t>
      </w:r>
      <w:r w:rsidRPr="009852B0">
        <w:rPr>
          <w:u w:val="single"/>
        </w:rPr>
        <w:t xml:space="preserve">data that </w:t>
      </w:r>
      <w:r w:rsidRPr="0032163F">
        <w:rPr>
          <w:highlight w:val="green"/>
          <w:u w:val="single"/>
        </w:rPr>
        <w:t>underscores a historic complaint of exclusion</w:t>
      </w:r>
      <w:r w:rsidRPr="009852B0">
        <w:rPr>
          <w:u w:val="single"/>
        </w:rPr>
        <w:t xml:space="preserve"> of people of color by those unions</w:t>
      </w:r>
      <w:r w:rsidRPr="00F20482">
        <w:rPr>
          <w:sz w:val="14"/>
        </w:rPr>
        <w:t xml:space="preserve">. Eddie Read, Chairman of Chicago Black United Communities (l), with unemployed trades workers at a Labor Day press conference, where Read unveiled a report finding appalling diversity statistics in apprenticeship programs run by Illinois trades unions. U.S. Rep. Danny Davis called for federal and state hearings on the data that underscores a historic complaint of exclusion of people of color by those unions. Taniya Scott for CBUC Apprenticeship programs in Illinois for asphalt paving machine operator, rough carpenter, gas utility worker, stained-glass glazier, industrial coating painter, sign painter and sprinkling fitter are glaringly all-white, the report said. Trades like boilermaker, electric meter installer, electrician, elevator constructor, glazier, </w:t>
      </w:r>
      <w:r w:rsidRPr="00362222">
        <w:rPr>
          <w:u w:val="single"/>
        </w:rPr>
        <w:t xml:space="preserve">heating and air-conditioning installer, HVAC, line installer, maintenance mechanic, millwright, operating engineer, pipe fitter, plumber, sheet metal worker, structural steel worker and welder include </w:t>
      </w:r>
      <w:r w:rsidRPr="0032163F">
        <w:rPr>
          <w:highlight w:val="green"/>
          <w:u w:val="single"/>
        </w:rPr>
        <w:t>less than 20% persons of color</w:t>
      </w:r>
      <w:r w:rsidRPr="00362222">
        <w:rPr>
          <w:u w:val="single"/>
        </w:rPr>
        <w:t xml:space="preserve">. </w:t>
      </w:r>
      <w:r w:rsidRPr="00F77AE5">
        <w:rPr>
          <w:u w:val="single"/>
        </w:rPr>
        <w:t>Some of the unemployed at Monday’s event are certified in skill trades but hi</w:t>
      </w:r>
      <w:r w:rsidRPr="0032163F">
        <w:rPr>
          <w:highlight w:val="green"/>
          <w:u w:val="single"/>
        </w:rPr>
        <w:t>t brick walls in seeking union work</w:t>
      </w:r>
      <w:r w:rsidRPr="00F20482">
        <w:rPr>
          <w:sz w:val="14"/>
        </w:rPr>
        <w:t xml:space="preserve">. </w:t>
      </w:r>
      <w:r w:rsidRPr="00141178">
        <w:rPr>
          <w:u w:val="single"/>
        </w:rPr>
        <w:t>Others were unable to apply for the apprenticeships that lead to living-wage careers.</w:t>
      </w:r>
      <w:r w:rsidRPr="00F20482">
        <w:rPr>
          <w:sz w:val="14"/>
        </w:rPr>
        <w:t xml:space="preserve"> “I’m just disgusted, angered that we’re still fighting for something we were fighting for in the ’90s, when my mother was alive,” said Guana Stamps, 55, of Humboldt Park, whose three sons are seeking pathways to becoming electricians or plumbers. Stamps is daughter of the late legendary activist Marion Stamps, who fought for public housing residents during the 1980s and 1990s, and in July, she testified before the City Council, saying that eradicating racism in unions would create jobs and help solve Chicago violence. </w:t>
      </w:r>
      <w:r w:rsidRPr="00F14AEA">
        <w:rPr>
          <w:u w:val="single"/>
        </w:rPr>
        <w:t>“A gun won’t fit in a hand that’s got a hammer in it,”</w:t>
      </w:r>
      <w:r w:rsidRPr="00F20482">
        <w:rPr>
          <w:sz w:val="14"/>
        </w:rPr>
        <w:t xml:space="preserve"> Read said Monday. Read hopes the post-George Floyd spotlight on racism will finally force the unions to change. To help that along, CBUC is currently compiling testimony from workers denied jobs, for a potential class-action lawsuit. “</w:t>
      </w:r>
      <w:r w:rsidRPr="00FF386B">
        <w:rPr>
          <w:u w:val="single"/>
        </w:rPr>
        <w:t>An ordinance passed under Mayor Washington stipulated workers on public works jobs must be 50% city residents. We don’t believe that’s enforced,”</w:t>
      </w:r>
      <w:r w:rsidRPr="00F20482">
        <w:rPr>
          <w:sz w:val="14"/>
        </w:rPr>
        <w:t xml:space="preserve"> Read said. “All the </w:t>
      </w:r>
      <w:r w:rsidRPr="004A5991">
        <w:rPr>
          <w:u w:val="single"/>
        </w:rPr>
        <w:t>Black children who graduated from trade programs at high schools like Dunbar, CVS and Simeon between 1999 and 2018 believed they could enter the trades. These numbers clearly show they could not</w:t>
      </w:r>
      <w:r w:rsidRPr="00F20482">
        <w:rPr>
          <w:sz w:val="14"/>
        </w:rPr>
        <w:t>. So we believe they too have standing in a class-action lawsuit.”</w:t>
      </w:r>
    </w:p>
    <w:p w14:paraId="4ED4D8D9" w14:textId="77777777" w:rsidR="00B22B3E" w:rsidRDefault="00B22B3E" w:rsidP="00B22B3E">
      <w:pPr>
        <w:pStyle w:val="Heading4"/>
      </w:pPr>
      <w:bookmarkStart w:id="1" w:name="_Hlk75377663"/>
      <w:r>
        <w:t xml:space="preserve">Unions are </w:t>
      </w:r>
      <w:r w:rsidRPr="00D5489F">
        <w:rPr>
          <w:u w:val="single"/>
        </w:rPr>
        <w:t>inaccessible</w:t>
      </w:r>
      <w:r>
        <w:t xml:space="preserve"> to minorities – that leads to </w:t>
      </w:r>
      <w:r w:rsidRPr="00D5489F">
        <w:rPr>
          <w:u w:val="single"/>
        </w:rPr>
        <w:t>increasing inequality</w:t>
      </w:r>
      <w:r>
        <w:t>.</w:t>
      </w:r>
    </w:p>
    <w:p w14:paraId="568FEA87" w14:textId="77777777" w:rsidR="00B22B3E" w:rsidRPr="00D5489F" w:rsidRDefault="00B22B3E" w:rsidP="00B22B3E">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AnnualReviews; </w:t>
      </w:r>
      <w:r w:rsidRPr="00716F72">
        <w:t>https://www.annualreviews.org/doi/pdf/10.1146/annurev-polisci-051215-023225</w:t>
      </w:r>
      <w:r>
        <w:t>] Justin</w:t>
      </w:r>
    </w:p>
    <w:p w14:paraId="6A2513E2" w14:textId="77777777" w:rsidR="00B22B3E" w:rsidRPr="006F1CE2" w:rsidRDefault="00B22B3E" w:rsidP="00B22B3E">
      <w:pPr>
        <w:rPr>
          <w:sz w:val="16"/>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A45562">
        <w:rPr>
          <w:highlight w:val="green"/>
          <w:u w:val="single"/>
        </w:rPr>
        <w:t xml:space="preserve">immigrants take </w:t>
      </w:r>
      <w:r w:rsidRPr="00A45562">
        <w:rPr>
          <w:rStyle w:val="Emphasis"/>
          <w:highlight w:val="green"/>
        </w:rPr>
        <w:t>jobs</w:t>
      </w:r>
      <w:r w:rsidRPr="00A45562">
        <w:rPr>
          <w:highlight w:val="green"/>
          <w:u w:val="single"/>
        </w:rPr>
        <w:t xml:space="preserve"> for </w:t>
      </w:r>
      <w:r w:rsidRPr="00A45562">
        <w:rPr>
          <w:rStyle w:val="Emphasis"/>
          <w:highlight w:val="green"/>
        </w:rPr>
        <w:t>lower</w:t>
      </w:r>
      <w:r w:rsidRPr="00A45562">
        <w:rPr>
          <w:highlight w:val="green"/>
          <w:u w:val="single"/>
        </w:rPr>
        <w:t xml:space="preserve"> </w:t>
      </w:r>
      <w:r w:rsidRPr="00A45562">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A45562">
        <w:rPr>
          <w:highlight w:val="green"/>
          <w:u w:val="single"/>
        </w:rPr>
        <w:t xml:space="preserve">put </w:t>
      </w:r>
      <w:r w:rsidRPr="00A45562">
        <w:rPr>
          <w:rStyle w:val="Emphasis"/>
          <w:highlight w:val="green"/>
        </w:rPr>
        <w:t>pressure</w:t>
      </w:r>
      <w:r w:rsidRPr="00A45562">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r w:rsidRPr="00A45562">
        <w:rPr>
          <w:rStyle w:val="Emphasis"/>
          <w:highlight w:val="green"/>
        </w:rPr>
        <w:t>unions</w:t>
      </w:r>
      <w:r w:rsidRPr="006F1CE2">
        <w:rPr>
          <w:sz w:val="16"/>
        </w:rPr>
        <w:t xml:space="preserve">, since </w:t>
      </w:r>
      <w:r w:rsidRPr="00A45562">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A45562">
        <w:rPr>
          <w:rStyle w:val="Emphasis"/>
          <w:highlight w:val="green"/>
        </w:rPr>
        <w:t>linguistic</w:t>
      </w:r>
      <w:r w:rsidRPr="00A45562">
        <w:rPr>
          <w:highlight w:val="green"/>
          <w:u w:val="single"/>
        </w:rPr>
        <w:t xml:space="preserve"> or </w:t>
      </w:r>
      <w:r w:rsidRPr="00A45562">
        <w:rPr>
          <w:rStyle w:val="Emphasis"/>
          <w:highlight w:val="green"/>
        </w:rPr>
        <w:t>cultural</w:t>
      </w:r>
      <w:r w:rsidRPr="00A45562">
        <w:rPr>
          <w:highlight w:val="green"/>
          <w:u w:val="single"/>
        </w:rPr>
        <w:t xml:space="preserve"> </w:t>
      </w:r>
      <w:r w:rsidRPr="00A45562">
        <w:rPr>
          <w:rStyle w:val="Emphasis"/>
          <w:highlight w:val="green"/>
        </w:rPr>
        <w:t>differences</w:t>
      </w:r>
      <w:r w:rsidRPr="006F1CE2">
        <w:rPr>
          <w:sz w:val="16"/>
        </w:rPr>
        <w:t>. For these reasons—along with simple prejudice—</w:t>
      </w:r>
      <w:r w:rsidRPr="00A45562">
        <w:rPr>
          <w:highlight w:val="green"/>
          <w:u w:val="single"/>
        </w:rPr>
        <w:t>unions</w:t>
      </w:r>
      <w:r w:rsidRPr="006F1CE2">
        <w:rPr>
          <w:u w:val="single"/>
        </w:rPr>
        <w:t xml:space="preserve"> </w:t>
      </w:r>
      <w:r w:rsidRPr="006F1CE2">
        <w:rPr>
          <w:u w:val="single"/>
        </w:rPr>
        <w:lastRenderedPageBreak/>
        <w:t xml:space="preserve">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A45562">
        <w:rPr>
          <w:rStyle w:val="Emphasis"/>
          <w:highlight w:val="green"/>
        </w:rPr>
        <w:t>opposed</w:t>
      </w:r>
      <w:r w:rsidRPr="00A45562">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Kleykamp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w:t>
      </w:r>
    </w:p>
    <w:p w14:paraId="2B78B2F3" w14:textId="7157C5F9" w:rsidR="00B22B3E" w:rsidRDefault="00B22B3E" w:rsidP="00B22B3E">
      <w:pPr>
        <w:rPr>
          <w:u w:val="single"/>
        </w:rPr>
      </w:pPr>
      <w:r w:rsidRPr="006F1CE2">
        <w:rPr>
          <w:sz w:val="16"/>
        </w:rPr>
        <w:t xml:space="preserve">The </w:t>
      </w:r>
      <w:r w:rsidRPr="00A45562">
        <w:rPr>
          <w:highlight w:val="green"/>
          <w:u w:val="single"/>
        </w:rPr>
        <w:t xml:space="preserve">situation for </w:t>
      </w:r>
      <w:r w:rsidRPr="00A45562">
        <w:rPr>
          <w:rStyle w:val="Emphasis"/>
          <w:highlight w:val="green"/>
        </w:rPr>
        <w:t>female</w:t>
      </w:r>
      <w:r w:rsidRPr="00A45562">
        <w:rPr>
          <w:highlight w:val="green"/>
          <w:u w:val="single"/>
        </w:rPr>
        <w:t xml:space="preserve"> </w:t>
      </w:r>
      <w:r w:rsidRPr="00A45562">
        <w:rPr>
          <w:rStyle w:val="Emphasis"/>
          <w:highlight w:val="green"/>
        </w:rPr>
        <w:t>workers</w:t>
      </w:r>
      <w:r w:rsidRPr="00A45562">
        <w:rPr>
          <w:highlight w:val="green"/>
          <w:u w:val="single"/>
        </w:rPr>
        <w:t xml:space="preserve"> is</w:t>
      </w:r>
      <w:r w:rsidRPr="006F1CE2">
        <w:rPr>
          <w:u w:val="single"/>
        </w:rPr>
        <w:t xml:space="preserve"> more </w:t>
      </w:r>
      <w:r w:rsidRPr="00A45562">
        <w:rPr>
          <w:rStyle w:val="Emphasis"/>
          <w:highlight w:val="green"/>
        </w:rPr>
        <w:t>complicated</w:t>
      </w:r>
      <w:r w:rsidRPr="006F1CE2">
        <w:rPr>
          <w:sz w:val="16"/>
        </w:rPr>
        <w:t xml:space="preserve">. The </w:t>
      </w:r>
      <w:r w:rsidRPr="00A45562">
        <w:rPr>
          <w:rStyle w:val="Emphasis"/>
          <w:highlight w:val="green"/>
        </w:rPr>
        <w:t>gendering</w:t>
      </w:r>
      <w:r w:rsidRPr="006F1CE2">
        <w:rPr>
          <w:u w:val="single"/>
        </w:rPr>
        <w:t xml:space="preserve"> of </w:t>
      </w:r>
      <w:r w:rsidRPr="00A45562">
        <w:rPr>
          <w:rStyle w:val="Emphasis"/>
          <w:highlight w:val="green"/>
        </w:rPr>
        <w:t>employment</w:t>
      </w:r>
      <w:r w:rsidRPr="00A45562">
        <w:rPr>
          <w:highlight w:val="green"/>
          <w:u w:val="single"/>
        </w:rPr>
        <w:t xml:space="preserve"> and the </w:t>
      </w:r>
      <w:r w:rsidRPr="00A45562">
        <w:rPr>
          <w:rStyle w:val="Emphasis"/>
          <w:highlight w:val="green"/>
        </w:rPr>
        <w:t>expectation</w:t>
      </w:r>
      <w:r w:rsidRPr="006F1CE2">
        <w:rPr>
          <w:u w:val="single"/>
        </w:rPr>
        <w:t xml:space="preserve"> that </w:t>
      </w:r>
      <w:r w:rsidRPr="00A45562">
        <w:rPr>
          <w:rStyle w:val="Emphasis"/>
          <w:highlight w:val="green"/>
        </w:rPr>
        <w:t>women</w:t>
      </w:r>
      <w:r w:rsidRPr="00A45562">
        <w:rPr>
          <w:highlight w:val="green"/>
          <w:u w:val="single"/>
        </w:rPr>
        <w:t xml:space="preserve"> would leave the </w:t>
      </w:r>
      <w:r w:rsidRPr="00A45562">
        <w:rPr>
          <w:rStyle w:val="Emphasis"/>
          <w:highlight w:val="green"/>
        </w:rPr>
        <w:t>labor</w:t>
      </w:r>
      <w:r w:rsidRPr="00A45562">
        <w:rPr>
          <w:highlight w:val="green"/>
          <w:u w:val="single"/>
        </w:rPr>
        <w:t xml:space="preserve"> </w:t>
      </w:r>
      <w:r w:rsidRPr="00A45562">
        <w:rPr>
          <w:rStyle w:val="Emphasis"/>
          <w:highlight w:val="green"/>
        </w:rPr>
        <w:t>force</w:t>
      </w:r>
      <w:r w:rsidRPr="006F1CE2">
        <w:rPr>
          <w:u w:val="single"/>
        </w:rPr>
        <w:t xml:space="preserve"> after marriage </w:t>
      </w:r>
      <w:r w:rsidRPr="00A45562">
        <w:rPr>
          <w:highlight w:val="green"/>
          <w:u w:val="single"/>
        </w:rPr>
        <w:t>have</w:t>
      </w:r>
      <w:r w:rsidRPr="006F1CE2">
        <w:rPr>
          <w:u w:val="single"/>
        </w:rPr>
        <w:t xml:space="preserve"> </w:t>
      </w:r>
      <w:r w:rsidRPr="00D5489F">
        <w:rPr>
          <w:rStyle w:val="Emphasis"/>
        </w:rPr>
        <w:t>long</w:t>
      </w:r>
      <w:r w:rsidRPr="006F1CE2">
        <w:rPr>
          <w:u w:val="single"/>
        </w:rPr>
        <w:t xml:space="preserve"> </w:t>
      </w:r>
      <w:r w:rsidRPr="00A45562">
        <w:rPr>
          <w:highlight w:val="green"/>
          <w:u w:val="single"/>
        </w:rPr>
        <w:t xml:space="preserve">limited </w:t>
      </w:r>
      <w:r w:rsidRPr="00A45562">
        <w:rPr>
          <w:rStyle w:val="Emphasis"/>
          <w:highlight w:val="green"/>
        </w:rPr>
        <w:t>women’s</w:t>
      </w:r>
      <w:r w:rsidRPr="00A45562">
        <w:rPr>
          <w:highlight w:val="green"/>
          <w:u w:val="single"/>
        </w:rPr>
        <w:t xml:space="preserve"> </w:t>
      </w:r>
      <w:r w:rsidRPr="00A45562">
        <w:rPr>
          <w:rStyle w:val="Emphasis"/>
          <w:highlight w:val="green"/>
        </w:rPr>
        <w:t>access</w:t>
      </w:r>
      <w:r w:rsidRPr="00A45562">
        <w:rPr>
          <w:highlight w:val="green"/>
          <w:u w:val="single"/>
        </w:rPr>
        <w:t xml:space="preserve"> to </w:t>
      </w:r>
      <w:r w:rsidRPr="00A45562">
        <w:rPr>
          <w:rStyle w:val="Emphasis"/>
          <w:highlight w:val="green"/>
        </w:rPr>
        <w:t>unionized</w:t>
      </w:r>
      <w:r w:rsidRPr="006F1CE2">
        <w:rPr>
          <w:u w:val="single"/>
        </w:rPr>
        <w:t xml:space="preserve"> parts of the </w:t>
      </w:r>
      <w:r w:rsidRPr="00A45562">
        <w:rPr>
          <w:rStyle w:val="Emphasis"/>
          <w:highlight w:val="green"/>
        </w:rPr>
        <w:t>economy</w:t>
      </w:r>
      <w:r w:rsidRPr="006F1CE2">
        <w:rPr>
          <w:sz w:val="16"/>
        </w:rPr>
        <w:t xml:space="preserve"> (Iversen &amp; Rosenbluth 2011). In some countries union bargaining objectives, </w:t>
      </w:r>
      <w:r w:rsidRPr="00A45562">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A45562">
        <w:rPr>
          <w:highlight w:val="green"/>
          <w:u w:val="single"/>
        </w:rPr>
        <w:t>were predicated on</w:t>
      </w:r>
      <w:r w:rsidRPr="006F1CE2">
        <w:rPr>
          <w:u w:val="single"/>
        </w:rPr>
        <w:t xml:space="preserve"> an assumed </w:t>
      </w:r>
      <w:r w:rsidRPr="00A45562">
        <w:rPr>
          <w:rStyle w:val="Emphasis"/>
          <w:highlight w:val="green"/>
        </w:rPr>
        <w:t>singleearner</w:t>
      </w:r>
      <w:r w:rsidRPr="00A45562">
        <w:rPr>
          <w:highlight w:val="green"/>
          <w:u w:val="single"/>
        </w:rPr>
        <w:t xml:space="preserve"> </w:t>
      </w:r>
      <w:r w:rsidRPr="00A45562">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A45562">
        <w:rPr>
          <w:highlight w:val="green"/>
          <w:u w:val="single"/>
        </w:rPr>
        <w:t xml:space="preserve">effect of </w:t>
      </w:r>
      <w:r w:rsidRPr="00A45562">
        <w:rPr>
          <w:rStyle w:val="Emphasis"/>
          <w:highlight w:val="green"/>
        </w:rPr>
        <w:t>unionization</w:t>
      </w:r>
      <w:r w:rsidRPr="00A45562">
        <w:rPr>
          <w:highlight w:val="green"/>
          <w:u w:val="single"/>
        </w:rPr>
        <w:t xml:space="preserve"> on wage inequality</w:t>
      </w:r>
      <w:r w:rsidRPr="006F1CE2">
        <w:rPr>
          <w:u w:val="single"/>
        </w:rPr>
        <w:t xml:space="preserve"> between men and women </w:t>
      </w:r>
      <w:r w:rsidRPr="00A45562">
        <w:rPr>
          <w:highlight w:val="green"/>
          <w:u w:val="single"/>
        </w:rPr>
        <w:t xml:space="preserve">is therefore </w:t>
      </w:r>
      <w:r w:rsidRPr="00A45562">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A45562">
        <w:rPr>
          <w:rStyle w:val="Emphasis"/>
          <w:highlight w:val="green"/>
        </w:rPr>
        <w:t>no</w:t>
      </w:r>
      <w:r w:rsidRPr="00A45562">
        <w:rPr>
          <w:highlight w:val="green"/>
          <w:u w:val="single"/>
        </w:rPr>
        <w:t xml:space="preserve"> </w:t>
      </w:r>
      <w:r w:rsidRPr="00A45562">
        <w:rPr>
          <w:rStyle w:val="Emphasis"/>
          <w:highlight w:val="green"/>
        </w:rPr>
        <w:t>association</w:t>
      </w:r>
      <w:r w:rsidRPr="00A45562">
        <w:rPr>
          <w:highlight w:val="green"/>
          <w:u w:val="single"/>
        </w:rPr>
        <w:t xml:space="preserve"> with</w:t>
      </w:r>
      <w:r w:rsidRPr="006F1CE2">
        <w:rPr>
          <w:u w:val="single"/>
        </w:rPr>
        <w:t xml:space="preserve"> the </w:t>
      </w:r>
      <w:r w:rsidRPr="00A45562">
        <w:rPr>
          <w:highlight w:val="green"/>
          <w:u w:val="single"/>
        </w:rPr>
        <w:t>gap between</w:t>
      </w:r>
      <w:r w:rsidRPr="006F1CE2">
        <w:rPr>
          <w:u w:val="single"/>
        </w:rPr>
        <w:t xml:space="preserve"> </w:t>
      </w:r>
      <w:r w:rsidRPr="00D5489F">
        <w:rPr>
          <w:rStyle w:val="Emphasis"/>
        </w:rPr>
        <w:t>median</w:t>
      </w:r>
      <w:r w:rsidRPr="006F1CE2">
        <w:rPr>
          <w:u w:val="single"/>
        </w:rPr>
        <w:t xml:space="preserve"> </w:t>
      </w:r>
      <w:r w:rsidRPr="00A45562">
        <w:rPr>
          <w:rStyle w:val="Emphasis"/>
          <w:highlight w:val="green"/>
        </w:rPr>
        <w:t>male</w:t>
      </w:r>
      <w:r w:rsidRPr="00A45562">
        <w:rPr>
          <w:highlight w:val="green"/>
          <w:u w:val="single"/>
        </w:rPr>
        <w:t xml:space="preserve"> and </w:t>
      </w:r>
      <w:r w:rsidRPr="00A45562">
        <w:rPr>
          <w:rStyle w:val="Emphasis"/>
          <w:highlight w:val="green"/>
        </w:rPr>
        <w:t>female</w:t>
      </w:r>
      <w:r w:rsidRPr="00A45562">
        <w:rPr>
          <w:highlight w:val="green"/>
          <w:u w:val="single"/>
        </w:rPr>
        <w:t xml:space="preserve"> wages</w:t>
      </w:r>
      <w:r w:rsidRPr="006F1CE2">
        <w:rPr>
          <w:sz w:val="16"/>
        </w:rPr>
        <w:t xml:space="preserve">. However, in the United States and United Kingdom, the </w:t>
      </w:r>
      <w:r w:rsidRPr="00A45562">
        <w:rPr>
          <w:highlight w:val="green"/>
          <w:u w:val="single"/>
        </w:rPr>
        <w:t xml:space="preserve">gender wage gap </w:t>
      </w:r>
      <w:r w:rsidRPr="00A45562">
        <w:rPr>
          <w:rStyle w:val="Emphasis"/>
          <w:highlight w:val="green"/>
        </w:rPr>
        <w:t>narrowed</w:t>
      </w:r>
      <w:r w:rsidRPr="006F1CE2">
        <w:rPr>
          <w:u w:val="single"/>
        </w:rPr>
        <w:t xml:space="preserve"> at </w:t>
      </w:r>
      <w:r w:rsidRPr="00A45562">
        <w:rPr>
          <w:highlight w:val="green"/>
          <w:u w:val="single"/>
        </w:rPr>
        <w:t xml:space="preserve">the same time </w:t>
      </w:r>
      <w:r w:rsidRPr="00A45562">
        <w:rPr>
          <w:rStyle w:val="Emphasis"/>
          <w:highlight w:val="green"/>
        </w:rPr>
        <w:t>unionization</w:t>
      </w:r>
      <w:r w:rsidRPr="00A45562">
        <w:rPr>
          <w:highlight w:val="green"/>
          <w:u w:val="single"/>
        </w:rPr>
        <w:t xml:space="preserve"> </w:t>
      </w:r>
      <w:r w:rsidRPr="00A45562">
        <w:rPr>
          <w:rStyle w:val="Emphasis"/>
          <w:highlight w:val="green"/>
        </w:rPr>
        <w:t>fell</w:t>
      </w:r>
      <w:r w:rsidRPr="00A45562">
        <w:rPr>
          <w:highlight w:val="green"/>
          <w:u w:val="single"/>
        </w:rPr>
        <w:t>.</w:t>
      </w:r>
    </w:p>
    <w:bookmarkEnd w:id="1"/>
    <w:p w14:paraId="381A91C7" w14:textId="47090129" w:rsidR="00F96985" w:rsidRPr="00B22B3E" w:rsidRDefault="00F96985" w:rsidP="00B22B3E"/>
    <w:sectPr w:rsidR="00F96985" w:rsidRPr="00B22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F633E4"/>
    <w:multiLevelType w:val="hybridMultilevel"/>
    <w:tmpl w:val="1BD4E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357A"/>
    <w:rsid w:val="000139A3"/>
    <w:rsid w:val="000906F1"/>
    <w:rsid w:val="00100833"/>
    <w:rsid w:val="00104529"/>
    <w:rsid w:val="00105942"/>
    <w:rsid w:val="00107396"/>
    <w:rsid w:val="00144A4C"/>
    <w:rsid w:val="00154D35"/>
    <w:rsid w:val="00170DE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1F56"/>
    <w:rsid w:val="004F39E0"/>
    <w:rsid w:val="0051123C"/>
    <w:rsid w:val="00537BD5"/>
    <w:rsid w:val="0057268A"/>
    <w:rsid w:val="00591110"/>
    <w:rsid w:val="005B64A5"/>
    <w:rsid w:val="005D2912"/>
    <w:rsid w:val="005F770A"/>
    <w:rsid w:val="00604BFC"/>
    <w:rsid w:val="006065BD"/>
    <w:rsid w:val="00645FA9"/>
    <w:rsid w:val="00647866"/>
    <w:rsid w:val="00665003"/>
    <w:rsid w:val="006A2AD0"/>
    <w:rsid w:val="006B1EB8"/>
    <w:rsid w:val="006C2375"/>
    <w:rsid w:val="006D4ECC"/>
    <w:rsid w:val="00722258"/>
    <w:rsid w:val="007243E5"/>
    <w:rsid w:val="00766EA0"/>
    <w:rsid w:val="00775160"/>
    <w:rsid w:val="007A2226"/>
    <w:rsid w:val="007A7E0B"/>
    <w:rsid w:val="007F5B66"/>
    <w:rsid w:val="00823A1C"/>
    <w:rsid w:val="00845B9D"/>
    <w:rsid w:val="00860984"/>
    <w:rsid w:val="008B3ECB"/>
    <w:rsid w:val="008B4E85"/>
    <w:rsid w:val="008C1B2E"/>
    <w:rsid w:val="0091627E"/>
    <w:rsid w:val="0092357A"/>
    <w:rsid w:val="0097032B"/>
    <w:rsid w:val="009D2EAD"/>
    <w:rsid w:val="009D54B2"/>
    <w:rsid w:val="009E1922"/>
    <w:rsid w:val="009F7ED2"/>
    <w:rsid w:val="00A47139"/>
    <w:rsid w:val="00A93661"/>
    <w:rsid w:val="00A95652"/>
    <w:rsid w:val="00AA30A0"/>
    <w:rsid w:val="00AC0AB8"/>
    <w:rsid w:val="00B22B3E"/>
    <w:rsid w:val="00B33C6D"/>
    <w:rsid w:val="00B4508F"/>
    <w:rsid w:val="00B55AD5"/>
    <w:rsid w:val="00B8057C"/>
    <w:rsid w:val="00BD6238"/>
    <w:rsid w:val="00BF593B"/>
    <w:rsid w:val="00BF773A"/>
    <w:rsid w:val="00BF7E81"/>
    <w:rsid w:val="00C13773"/>
    <w:rsid w:val="00C17CC8"/>
    <w:rsid w:val="00C52BA0"/>
    <w:rsid w:val="00C83417"/>
    <w:rsid w:val="00C9604F"/>
    <w:rsid w:val="00CA19AA"/>
    <w:rsid w:val="00CC5298"/>
    <w:rsid w:val="00CD736E"/>
    <w:rsid w:val="00CD798D"/>
    <w:rsid w:val="00CE161E"/>
    <w:rsid w:val="00CF59A8"/>
    <w:rsid w:val="00D325A9"/>
    <w:rsid w:val="00D36A8A"/>
    <w:rsid w:val="00D61409"/>
    <w:rsid w:val="00D6462E"/>
    <w:rsid w:val="00D6691E"/>
    <w:rsid w:val="00D71170"/>
    <w:rsid w:val="00D7238C"/>
    <w:rsid w:val="00DA1C92"/>
    <w:rsid w:val="00DA25D4"/>
    <w:rsid w:val="00DA6538"/>
    <w:rsid w:val="00E15E75"/>
    <w:rsid w:val="00E30979"/>
    <w:rsid w:val="00E5262C"/>
    <w:rsid w:val="00EC7DC4"/>
    <w:rsid w:val="00ED30CF"/>
    <w:rsid w:val="00EF37A1"/>
    <w:rsid w:val="00F04423"/>
    <w:rsid w:val="00F105D4"/>
    <w:rsid w:val="00F176EF"/>
    <w:rsid w:val="00F25671"/>
    <w:rsid w:val="00F45E10"/>
    <w:rsid w:val="00F6364A"/>
    <w:rsid w:val="00F9113A"/>
    <w:rsid w:val="00F969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FB7DB"/>
  <w15:chartTrackingRefBased/>
  <w15:docId w15:val="{2C6A7DC1-48D8-4AE0-BE3B-555C2D76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238C"/>
    <w:rPr>
      <w:rFonts w:ascii="Calibri" w:hAnsi="Calibri"/>
    </w:rPr>
  </w:style>
  <w:style w:type="paragraph" w:styleId="Heading1">
    <w:name w:val="heading 1"/>
    <w:aliases w:val="Pocket"/>
    <w:basedOn w:val="Normal"/>
    <w:next w:val="Normal"/>
    <w:link w:val="Heading1Char"/>
    <w:qFormat/>
    <w:rsid w:val="00D723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23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23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723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23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38C"/>
  </w:style>
  <w:style w:type="character" w:customStyle="1" w:styleId="Heading1Char">
    <w:name w:val="Heading 1 Char"/>
    <w:aliases w:val="Pocket Char"/>
    <w:basedOn w:val="DefaultParagraphFont"/>
    <w:link w:val="Heading1"/>
    <w:rsid w:val="00D723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23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238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7238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7238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7238C"/>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D7238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D7238C"/>
    <w:rPr>
      <w:color w:val="auto"/>
      <w:u w:val="none"/>
    </w:rPr>
  </w:style>
  <w:style w:type="character" w:styleId="FollowedHyperlink">
    <w:name w:val="FollowedHyperlink"/>
    <w:basedOn w:val="DefaultParagraphFont"/>
    <w:uiPriority w:val="99"/>
    <w:semiHidden/>
    <w:unhideWhenUsed/>
    <w:rsid w:val="00D7238C"/>
    <w:rPr>
      <w:color w:val="auto"/>
      <w:u w:val="none"/>
    </w:rPr>
  </w:style>
  <w:style w:type="paragraph" w:styleId="ListParagraph">
    <w:name w:val="List Paragraph"/>
    <w:basedOn w:val="Normal"/>
    <w:uiPriority w:val="34"/>
    <w:qFormat/>
    <w:rsid w:val="0092357A"/>
    <w:pPr>
      <w:ind w:left="720"/>
      <w:contextualSpacing/>
    </w:pPr>
  </w:style>
  <w:style w:type="paragraph" w:customStyle="1" w:styleId="textbold">
    <w:name w:val="text bold"/>
    <w:basedOn w:val="Normal"/>
    <w:link w:val="Emphasis"/>
    <w:autoRedefine/>
    <w:uiPriority w:val="7"/>
    <w:qFormat/>
    <w:rsid w:val="0092357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IntenseEmphasis">
    <w:name w:val="Intense Emphasis"/>
    <w:aliases w:val="Block Heading Char,Read This Char"/>
    <w:uiPriority w:val="5"/>
    <w:qFormat/>
    <w:rsid w:val="00F04423"/>
    <w:rPr>
      <w:bCs/>
      <w:sz w:val="20"/>
      <w:u w:val="single"/>
    </w:rPr>
  </w:style>
  <w:style w:type="paragraph" w:customStyle="1" w:styleId="Emphasis1">
    <w:name w:val="Emphasis1"/>
    <w:basedOn w:val="Normal"/>
    <w:autoRedefine/>
    <w:uiPriority w:val="7"/>
    <w:qFormat/>
    <w:rsid w:val="00F25671"/>
    <w:pPr>
      <w:widowControl w:val="0"/>
      <w:pBdr>
        <w:top w:val="single" w:sz="4" w:space="1" w:color="auto"/>
        <w:left w:val="single" w:sz="4" w:space="4" w:color="auto"/>
        <w:bottom w:val="single" w:sz="4" w:space="1" w:color="auto"/>
        <w:right w:val="single" w:sz="4" w:space="4" w:color="auto"/>
      </w:pBdr>
      <w:ind w:left="720"/>
      <w:jc w:val="both"/>
    </w:pPr>
    <w:rPr>
      <w:rFonts w:eastAsiaTheme="minorEastAsia" w:cs="Times New Roman (Headings CS)"/>
      <w:b/>
      <w:iCs/>
      <w:szCs w:val="26"/>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tag"/>
    <w:basedOn w:val="Heading1"/>
    <w:link w:val="Hyperlink"/>
    <w:autoRedefine/>
    <w:uiPriority w:val="99"/>
    <w:qFormat/>
    <w:rsid w:val="00F2567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lssl.org/wp-content/uploads/2013/01/Strike-Waas.pdf" TargetMode="External"/><Relationship Id="rId13" Type="http://schemas.openxmlformats.org/officeDocument/2006/relationships/hyperlink" Target="http://article.sciencepublishinggroup.com/html/10.11648.j.ijefm.20160406.18.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sagepub.com/doi/abs/10.1177/2233865915596660" TargetMode="External"/><Relationship Id="rId12" Type="http://schemas.openxmlformats.org/officeDocument/2006/relationships/hyperlink" Target="http://article.sciencepublishinggroup.com/html/10.11648.j.ijefm.20160406.18.html" TargetMode="External"/><Relationship Id="rId17" Type="http://schemas.openxmlformats.org/officeDocument/2006/relationships/hyperlink" Target="http://article.sciencepublishinggroup.com/html/10.11648.j.ijefm.20160406.18.html" TargetMode="External"/><Relationship Id="rId2" Type="http://schemas.openxmlformats.org/officeDocument/2006/relationships/numbering" Target="numbering.xml"/><Relationship Id="rId16" Type="http://schemas.openxmlformats.org/officeDocument/2006/relationships/hyperlink" Target="http://article.sciencepublishinggroup.com/html/10.11648.j.ijefm.20160406.18.html" TargetMode="External"/><Relationship Id="rId1" Type="http://schemas.openxmlformats.org/officeDocument/2006/relationships/customXml" Target="../customXml/item1.xml"/><Relationship Id="rId6" Type="http://schemas.openxmlformats.org/officeDocument/2006/relationships/hyperlink" Target="https://www.washingtonpost.com/us-policy/2021/06/11/inflation-fed-biden-recovery/" TargetMode="External"/><Relationship Id="rId11" Type="http://schemas.openxmlformats.org/officeDocument/2006/relationships/hyperlink" Target="http://article.sciencepublishinggroup.com/html/10.11648.j.ijefm.20160406.18.html" TargetMode="External"/><Relationship Id="rId5" Type="http://schemas.openxmlformats.org/officeDocument/2006/relationships/webSettings" Target="webSettings.xml"/><Relationship Id="rId15" Type="http://schemas.openxmlformats.org/officeDocument/2006/relationships/hyperlink" Target="http://article.sciencepublishinggroup.com/html/10.11648.j.ijefm.20160406.18.html" TargetMode="External"/><Relationship Id="rId10" Type="http://schemas.openxmlformats.org/officeDocument/2006/relationships/hyperlink" Target="http://article.sciencepublishinggroup.com/html/10.11648.j.ijefm.20160406.18.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ticle.sciencepublishinggroup.com/html/10.11648.j.ijefm.20160406.18.html" TargetMode="External"/><Relationship Id="rId14" Type="http://schemas.openxmlformats.org/officeDocument/2006/relationships/hyperlink" Target="http://article.sciencepublishinggroup.com/html/10.11648.j.ijefm.20160406.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11171</Words>
  <Characters>63679</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2021-11-21T19:32:00Z</dcterms:created>
  <dcterms:modified xsi:type="dcterms:W3CDTF">2021-12-03T01:48:00Z</dcterms:modified>
</cp:coreProperties>
</file>