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36DD2" w14:textId="77777777" w:rsidR="00C024F9" w:rsidRDefault="00C024F9" w:rsidP="00C024F9">
      <w:pPr>
        <w:pStyle w:val="Heading3"/>
      </w:pPr>
      <w:r>
        <w:t>FW</w:t>
      </w:r>
    </w:p>
    <w:p w14:paraId="57D8CECE" w14:textId="77777777" w:rsidR="00C024F9" w:rsidRPr="00A00964" w:rsidRDefault="00C024F9" w:rsidP="00C024F9">
      <w:pPr>
        <w:pStyle w:val="Heading4"/>
      </w:pPr>
      <w:r w:rsidRPr="00A00964">
        <w:t xml:space="preserve">The meta-ethic is </w:t>
      </w:r>
      <w:r w:rsidRPr="00A00964">
        <w:rPr>
          <w:u w:val="single"/>
        </w:rPr>
        <w:t>practical reasoning</w:t>
      </w:r>
    </w:p>
    <w:p w14:paraId="3382938C" w14:textId="77777777" w:rsidR="00C024F9" w:rsidRPr="00A00964" w:rsidRDefault="00C024F9" w:rsidP="00C024F9">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33632C1D" w14:textId="77777777" w:rsidR="00C024F9" w:rsidRPr="00A00964" w:rsidRDefault="00C024F9" w:rsidP="00C024F9">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7EA02E98" w14:textId="77777777" w:rsidR="00C024F9" w:rsidRPr="00305237" w:rsidRDefault="00C024F9" w:rsidP="00C024F9">
      <w:pPr>
        <w:widowControl w:val="0"/>
        <w:rPr>
          <w:rStyle w:val="Style13ptBold"/>
          <w:rFonts w:asciiTheme="minorHAnsi" w:hAnsiTheme="minorHAnsi" w:cstheme="minorHAnsi"/>
          <w:bCs w:val="0"/>
        </w:rPr>
      </w:pPr>
    </w:p>
    <w:p w14:paraId="62288A28" w14:textId="77777777" w:rsidR="00C024F9" w:rsidRPr="00305237" w:rsidRDefault="00C024F9" w:rsidP="00C024F9">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484913FF" w14:textId="77777777" w:rsidR="00C024F9" w:rsidRPr="00CD7645" w:rsidRDefault="00C024F9" w:rsidP="00C024F9">
      <w:pPr>
        <w:rPr>
          <w:rStyle w:val="Style13ptBold"/>
        </w:rPr>
      </w:pPr>
      <w:r w:rsidRPr="00CD7645">
        <w:rPr>
          <w:rStyle w:val="Style13ptBold"/>
        </w:rPr>
        <w:t>Korsgaard // 96</w:t>
      </w:r>
    </w:p>
    <w:p w14:paraId="3690F3F4" w14:textId="77777777" w:rsidR="00C024F9" w:rsidRPr="009F5C23" w:rsidRDefault="00C024F9" w:rsidP="00C024F9">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71EBBB11" w14:textId="77777777" w:rsidR="00C024F9" w:rsidRPr="00305237" w:rsidRDefault="00C024F9" w:rsidP="00C024F9">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reflection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7B747CCC" w14:textId="77777777" w:rsidR="00C024F9" w:rsidRPr="00305237" w:rsidRDefault="00C024F9" w:rsidP="00C024F9"/>
    <w:p w14:paraId="3EE4A79A" w14:textId="77777777" w:rsidR="00C024F9" w:rsidRPr="00305237" w:rsidRDefault="00C024F9" w:rsidP="00C024F9">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64FEA4C5" w14:textId="77777777" w:rsidR="00C024F9" w:rsidRPr="00305237" w:rsidRDefault="00C024F9" w:rsidP="00C024F9">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18041401" w14:textId="77777777" w:rsidR="00C024F9" w:rsidRPr="00305237" w:rsidRDefault="00C024F9" w:rsidP="00C024F9">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Korsgaard, C. M. (1999). Self-Constitution in the Ethics of Plato and Kant (1st ed., Vol. 3). Spinger.</w:t>
      </w:r>
    </w:p>
    <w:p w14:paraId="6F801632" w14:textId="77777777" w:rsidR="00C024F9" w:rsidRPr="00305237" w:rsidRDefault="00C024F9" w:rsidP="00C024F9">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8"/>
          <w:szCs w:val="24"/>
          <w:vertAlign w:val="subscript"/>
        </w:rPr>
        <w:t>particularistically</w:t>
      </w:r>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It’s important to see that if you had a particularistic will</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So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1FE05FF9" w14:textId="77777777" w:rsidR="00C024F9" w:rsidRPr="005664D4" w:rsidRDefault="00C024F9" w:rsidP="00C024F9">
      <w:pPr>
        <w:pStyle w:val="Heading4"/>
      </w:pPr>
      <w:r w:rsidRPr="005664D4">
        <w:t xml:space="preserve">If an agent regards their purpose as important, they must regard the means as important, one of which is freedom. </w:t>
      </w:r>
    </w:p>
    <w:p w14:paraId="7DCE84D5" w14:textId="77777777" w:rsidR="00C024F9" w:rsidRPr="00305237" w:rsidRDefault="00C024F9" w:rsidP="00C024F9">
      <w:pPr>
        <w:spacing w:line="240" w:lineRule="auto"/>
        <w:rPr>
          <w:rFonts w:asciiTheme="minorHAnsi" w:hAnsiTheme="minorHAnsi" w:cstheme="minorHAnsi"/>
          <w:b/>
          <w:sz w:val="24"/>
          <w:szCs w:val="24"/>
        </w:rPr>
      </w:pPr>
    </w:p>
    <w:p w14:paraId="76CAD41D" w14:textId="77777777" w:rsidR="00C024F9" w:rsidRPr="00305237" w:rsidRDefault="00C024F9" w:rsidP="00C024F9">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5E385CBC" w14:textId="77777777" w:rsidR="00C024F9" w:rsidRDefault="00C024F9" w:rsidP="00C024F9">
      <w:pPr>
        <w:rPr>
          <w:rFonts w:asciiTheme="minorHAnsi" w:hAnsiTheme="minorHAnsi" w:cstheme="minorHAnsi"/>
          <w:bCs/>
          <w:u w:val="single"/>
        </w:rPr>
      </w:pPr>
    </w:p>
    <w:p w14:paraId="334A9068" w14:textId="77777777" w:rsidR="00C024F9" w:rsidRPr="00305237" w:rsidRDefault="00C024F9" w:rsidP="00C024F9">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4E92C623" w14:textId="77777777" w:rsidR="00C024F9" w:rsidRPr="00CD7645" w:rsidRDefault="00C024F9" w:rsidP="00C024F9">
      <w:pPr>
        <w:rPr>
          <w:rStyle w:val="Style13ptBold"/>
        </w:rPr>
      </w:pPr>
      <w:r w:rsidRPr="00CD7645">
        <w:rPr>
          <w:rStyle w:val="Style13ptBold"/>
        </w:rPr>
        <w:t>Ripstein // 04</w:t>
      </w:r>
    </w:p>
    <w:p w14:paraId="6FC81D2E" w14:textId="77777777" w:rsidR="00C024F9" w:rsidRPr="00305237" w:rsidRDefault="00C024F9" w:rsidP="00C024F9">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6B146033" w14:textId="77777777" w:rsidR="00C024F9" w:rsidRDefault="00C024F9" w:rsidP="00C024F9">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do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07BB735A" w14:textId="77777777" w:rsidR="00C024F9" w:rsidRDefault="00C024F9" w:rsidP="00C024F9">
      <w:pPr>
        <w:rPr>
          <w:rFonts w:asciiTheme="minorHAnsi" w:eastAsia="Calibri" w:hAnsiTheme="minorHAnsi" w:cstheme="minorHAnsi"/>
          <w:bCs/>
          <w:sz w:val="8"/>
        </w:rPr>
      </w:pPr>
    </w:p>
    <w:p w14:paraId="3D44E9AF" w14:textId="77777777" w:rsidR="00C024F9" w:rsidRPr="00305237" w:rsidRDefault="00C024F9" w:rsidP="00C024F9">
      <w:pPr>
        <w:spacing w:line="276" w:lineRule="auto"/>
        <w:rPr>
          <w:rFonts w:asciiTheme="minorHAnsi" w:hAnsiTheme="minorHAnsi" w:cstheme="minorHAnsi"/>
          <w:bCs/>
        </w:rPr>
      </w:pPr>
    </w:p>
    <w:p w14:paraId="17C5BBF0" w14:textId="77777777" w:rsidR="00C024F9" w:rsidRDefault="00C024F9" w:rsidP="00C024F9">
      <w:pPr>
        <w:pStyle w:val="Heading4"/>
        <w:rPr>
          <w:rFonts w:asciiTheme="minorHAnsi" w:hAnsiTheme="minorHAnsi" w:cstheme="minorHAnsi"/>
          <w:u w:val="single"/>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Pr>
          <w:rFonts w:asciiTheme="minorHAnsi" w:hAnsiTheme="minorHAnsi" w:cstheme="minorHAnsi"/>
          <w:u w:val="single"/>
        </w:rPr>
        <w:t xml:space="preserve"> Prefer:</w:t>
      </w:r>
    </w:p>
    <w:p w14:paraId="17C7A61B" w14:textId="77777777" w:rsidR="00C024F9" w:rsidRDefault="00C024F9" w:rsidP="00C024F9"/>
    <w:p w14:paraId="613C0AF6" w14:textId="77777777" w:rsidR="00C024F9" w:rsidRDefault="00C024F9" w:rsidP="00C024F9">
      <w:pPr>
        <w:pStyle w:val="Heading4"/>
        <w:rPr>
          <w:rFonts w:asciiTheme="minorHAnsi" w:hAnsiTheme="minorHAnsi" w:cstheme="minorHAnsi"/>
        </w:rPr>
      </w:pPr>
      <w:r>
        <w:rPr>
          <w:rFonts w:asciiTheme="minorHAnsi" w:hAnsiTheme="minorHAnsi" w:cstheme="minorHAnsi"/>
        </w:rPr>
        <w:t xml:space="preserve">[1] </w:t>
      </w:r>
      <w:r w:rsidRPr="00305237">
        <w:rPr>
          <w:rFonts w:asciiTheme="minorHAnsi" w:hAnsiTheme="minorHAnsi" w:cstheme="minorHAnsi"/>
        </w:rPr>
        <w:t xml:space="preserve">Performativity—freedom is the key to the process of justification of arguments. </w:t>
      </w:r>
      <w:r>
        <w:rPr>
          <w:rFonts w:asciiTheme="minorHAnsi" w:hAnsiTheme="minorHAnsi" w:cstheme="minorHAnsi"/>
        </w:rPr>
        <w:t>You presuppose we’re free – thus it’s</w:t>
      </w:r>
      <w:r w:rsidRPr="00305237">
        <w:rPr>
          <w:rFonts w:asciiTheme="minorHAnsi" w:hAnsiTheme="minorHAnsi" w:cstheme="minorHAnsi"/>
        </w:rPr>
        <w:t xml:space="preserve"> incoherent to justify a standard without first willing that we can pursue ends free from others.</w:t>
      </w:r>
    </w:p>
    <w:p w14:paraId="25C97DD9" w14:textId="77777777" w:rsidR="00C024F9" w:rsidRPr="006F15C5" w:rsidRDefault="00C024F9" w:rsidP="00C024F9">
      <w:pPr>
        <w:pStyle w:val="Heading3"/>
        <w:rPr>
          <w:rStyle w:val="Heading4Char"/>
          <w:b/>
          <w:iCs w:val="0"/>
          <w:sz w:val="32"/>
        </w:rPr>
      </w:pPr>
      <w:r>
        <w:t>Advocacy</w:t>
      </w:r>
    </w:p>
    <w:p w14:paraId="3DEDC4E6" w14:textId="77777777" w:rsidR="00C024F9" w:rsidRDefault="00C024F9" w:rsidP="00C024F9">
      <w:pPr>
        <w:pStyle w:val="Heading4"/>
      </w:pPr>
      <w:r w:rsidRPr="006F15C5">
        <w:t>Thus, the plan – Resolved: The member nations of the World Trade Organization ought to reduce intellectual property protections for medicines. CP and PICs affirm because they do not disprove my general thesis.</w:t>
      </w:r>
      <w:r>
        <w:t xml:space="preserve"> CX checks on spec shells and spec doesn’t matter under Ripstein because it’s a general statement.</w:t>
      </w:r>
    </w:p>
    <w:p w14:paraId="65A787F0" w14:textId="77777777" w:rsidR="00C024F9" w:rsidRPr="00305C79" w:rsidRDefault="00C024F9" w:rsidP="00C024F9">
      <w:pPr>
        <w:pStyle w:val="Heading3"/>
        <w:rPr>
          <w:rFonts w:cs="Calibri"/>
        </w:rPr>
      </w:pPr>
      <w:r w:rsidRPr="00305C79">
        <w:rPr>
          <w:rFonts w:cs="Calibri"/>
        </w:rPr>
        <w:t xml:space="preserve">Offense </w:t>
      </w:r>
    </w:p>
    <w:p w14:paraId="671700F7" w14:textId="77777777" w:rsidR="00C024F9" w:rsidRPr="00305C79" w:rsidRDefault="00C024F9" w:rsidP="00C024F9">
      <w:pPr>
        <w:pStyle w:val="Heading4"/>
        <w:rPr>
          <w:rFonts w:cs="Calibri"/>
        </w:rPr>
      </w:pPr>
      <w:r>
        <w:rPr>
          <w:rFonts w:cs="Calibri"/>
        </w:rPr>
        <w:t xml:space="preserve">1] </w:t>
      </w:r>
      <w:r w:rsidRPr="00305C79">
        <w:rPr>
          <w:rFonts w:cs="Calibri"/>
        </w:rPr>
        <w:t xml:space="preserve">The </w:t>
      </w:r>
      <w:r>
        <w:rPr>
          <w:rFonts w:cs="Calibri"/>
        </w:rPr>
        <w:t>omnilateral will</w:t>
      </w:r>
      <w:r w:rsidRPr="00305C79">
        <w:rPr>
          <w:rFonts w:cs="Calibri"/>
        </w:rPr>
        <w:t xml:space="preserve"> rejects the idea of intellectual property as it suppresses freedom by preventing others from innovating and suppressing speech in the name of a copyright.</w:t>
      </w:r>
    </w:p>
    <w:p w14:paraId="788CEA74" w14:textId="77777777" w:rsidR="00C024F9" w:rsidRPr="00305C79" w:rsidRDefault="00C024F9" w:rsidP="00C024F9">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510B6577" w14:textId="77777777" w:rsidR="00C024F9" w:rsidRPr="00327055" w:rsidRDefault="00C024F9" w:rsidP="00C024F9">
      <w:pPr>
        <w:rPr>
          <w:sz w:val="8"/>
        </w:rPr>
      </w:pPr>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27055">
        <w:rPr>
          <w:sz w:val="8"/>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sidRPr="00327055">
          <w:rPr>
            <w:rStyle w:val="Hyperlink"/>
            <w:sz w:val="8"/>
          </w:rPr>
          <w:t>33</w:t>
        </w:r>
      </w:hyperlink>
      <w:r w:rsidRPr="00327055">
        <w:rPr>
          <w:sz w:val="8"/>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0" w:tgtFrame="_top" w:history="1">
        <w:r w:rsidRPr="00327055">
          <w:rPr>
            <w:rStyle w:val="Hyperlink"/>
            <w:sz w:val="8"/>
          </w:rPr>
          <w:t>249:5-7</w:t>
        </w:r>
      </w:hyperlink>
      <w:r w:rsidRPr="00327055">
        <w:rPr>
          <w:sz w:val="8"/>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1" w:tgtFrame="_top" w:history="1">
        <w:r w:rsidRPr="00327055">
          <w:rPr>
            <w:rStyle w:val="Hyperlink"/>
            <w:sz w:val="8"/>
          </w:rPr>
          <w:t>237:24-25</w:t>
        </w:r>
      </w:hyperlink>
      <w:r w:rsidRPr="00327055">
        <w:rPr>
          <w:sz w:val="8"/>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sidRPr="00327055">
          <w:rPr>
            <w:rStyle w:val="Hyperlink"/>
            <w:sz w:val="8"/>
          </w:rPr>
          <w:t>237-238</w:t>
        </w:r>
      </w:hyperlink>
      <w:r w:rsidRPr="00327055">
        <w:rPr>
          <w:sz w:val="8"/>
        </w:rPr>
        <w:t xml:space="preserve">) </w:t>
      </w:r>
      <w:hyperlink r:id="rId13" w:anchor="ftn.id2533617" w:history="1">
        <w:r w:rsidRPr="00327055">
          <w:rPr>
            <w:rStyle w:val="Hyperlink"/>
            <w:sz w:val="8"/>
          </w:rPr>
          <w:t>34</w:t>
        </w:r>
      </w:hyperlink>
      <w:r w:rsidRPr="00327055">
        <w:rPr>
          <w:sz w:val="8"/>
        </w:rPr>
        <w:t xml:space="preserve"> </w:t>
      </w:r>
      <w:r w:rsidRPr="00305C79">
        <w:rPr>
          <w:rStyle w:val="Emphasis"/>
        </w:rPr>
        <w:t xml:space="preserve">In spite of his intellectual theory of property, </w:t>
      </w:r>
      <w:hyperlink r:id="rId1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5"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D4073DA" w14:textId="77777777" w:rsidR="00C024F9" w:rsidRPr="00305C79" w:rsidRDefault="00C024F9" w:rsidP="00C024F9"/>
    <w:p w14:paraId="6CA94211" w14:textId="77777777" w:rsidR="00C024F9" w:rsidRPr="00305C79" w:rsidRDefault="00C024F9" w:rsidP="00C024F9">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34587825" w14:textId="77777777" w:rsidR="00C024F9" w:rsidRPr="00305C79" w:rsidRDefault="00C024F9" w:rsidP="00C024F9">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4105E18F" w14:textId="77777777" w:rsidR="00C024F9" w:rsidRPr="00305C79" w:rsidRDefault="00C024F9" w:rsidP="00C024F9">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plained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stricted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27055">
        <w:rPr>
          <w:rFonts w:ascii="Calibri" w:hAnsi="Calibri" w:cs="Calibri"/>
          <w:sz w:val="8"/>
          <w:szCs w:val="20"/>
        </w:rPr>
        <w:t xml:space="preserve"> In particular, he expressed complex views on the legal defense of “necessity,” which bears a close resemblance to the property-limiting prin- ciple I am attributing to him here.</w:t>
      </w:r>
      <w:r w:rsidRPr="00327055">
        <w:rPr>
          <w:rFonts w:ascii="Calibri" w:hAnsi="Calibri" w:cs="Calibri"/>
          <w:position w:val="6"/>
          <w:sz w:val="8"/>
          <w:szCs w:val="14"/>
        </w:rPr>
        <w:t xml:space="preserve">10 </w:t>
      </w:r>
      <w:r w:rsidRPr="00327055">
        <w:rPr>
          <w:rFonts w:ascii="Calibri" w:hAnsi="Calibri" w:cs="Calibri"/>
          <w:sz w:val="8"/>
          <w:szCs w:val="20"/>
        </w:rPr>
        <w:t xml:space="preserve">Kant says, in effect, that in at least one important example of necessity—where A kills B, or at least puts B in im- mediate grave danger, to save A’s own life—one who commits a necessary act is </w:t>
      </w:r>
      <w:r w:rsidRPr="00327055">
        <w:rPr>
          <w:rFonts w:ascii="Calibri" w:hAnsi="Calibri" w:cs="Calibri"/>
          <w:i/>
          <w:iCs/>
          <w:sz w:val="8"/>
          <w:szCs w:val="20"/>
        </w:rPr>
        <w:t xml:space="preserve">culpable </w:t>
      </w:r>
      <w:r w:rsidRPr="00327055">
        <w:rPr>
          <w:rFonts w:ascii="Calibri" w:hAnsi="Calibri" w:cs="Calibri"/>
          <w:sz w:val="8"/>
          <w:szCs w:val="20"/>
        </w:rPr>
        <w:t xml:space="preserve">but not </w:t>
      </w:r>
      <w:r w:rsidRPr="00327055">
        <w:rPr>
          <w:rFonts w:ascii="Calibri" w:hAnsi="Calibri" w:cs="Calibri"/>
          <w:i/>
          <w:iCs/>
          <w:sz w:val="8"/>
          <w:szCs w:val="20"/>
        </w:rPr>
        <w:t>punishable.</w:t>
      </w:r>
      <w:r w:rsidRPr="00327055">
        <w:rPr>
          <w:rFonts w:ascii="Calibri" w:hAnsi="Calibri" w:cs="Calibri"/>
          <w:position w:val="6"/>
          <w:sz w:val="8"/>
          <w:szCs w:val="14"/>
        </w:rPr>
        <w:t xml:space="preserve">11 </w:t>
      </w:r>
      <w:r w:rsidRPr="00327055">
        <w:rPr>
          <w:rFonts w:ascii="Calibri" w:hAnsi="Calibri" w:cs="Calibri"/>
          <w:sz w:val="8"/>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27055">
        <w:rPr>
          <w:rFonts w:ascii="Calibri" w:hAnsi="Calibri" w:cs="Calibri"/>
          <w:position w:val="6"/>
          <w:sz w:val="8"/>
          <w:szCs w:val="14"/>
        </w:rPr>
        <w:t xml:space="preserve">12 </w:t>
      </w:r>
      <w:r w:rsidRPr="00327055">
        <w:rPr>
          <w:rFonts w:ascii="Calibri" w:hAnsi="Calibri" w:cs="Calibri"/>
          <w:sz w:val="8"/>
          <w:szCs w:val="20"/>
        </w:rPr>
        <w:t xml:space="preserve">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19AAF4AE" w14:textId="77777777" w:rsidR="00C024F9" w:rsidRPr="00305C79" w:rsidRDefault="00C024F9" w:rsidP="00C024F9">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4E7986DC" w14:textId="77777777" w:rsidR="00C024F9" w:rsidRPr="00305C79" w:rsidRDefault="00C024F9" w:rsidP="00C024F9">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273782FC" w14:textId="77777777" w:rsidR="00C024F9" w:rsidRPr="00327055" w:rsidRDefault="00C024F9" w:rsidP="00C024F9">
      <w:pPr>
        <w:rPr>
          <w:sz w:val="8"/>
        </w:rPr>
      </w:pPr>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27055">
        <w:rPr>
          <w:sz w:val="8"/>
        </w:rP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27055">
        <w:rPr>
          <w:sz w:val="8"/>
        </w:rPr>
        <w:t xml:space="preserve"> </w:t>
      </w:r>
    </w:p>
    <w:p w14:paraId="22806EFB" w14:textId="77777777" w:rsidR="00B5231E" w:rsidRPr="008C16DA" w:rsidRDefault="00B5231E" w:rsidP="00B5231E">
      <w:pPr>
        <w:pStyle w:val="Heading3"/>
      </w:pPr>
      <w:r w:rsidRPr="008C16DA">
        <w:t>Method</w:t>
      </w:r>
    </w:p>
    <w:p w14:paraId="342E50DA" w14:textId="77777777" w:rsidR="00B5231E" w:rsidRPr="008C16DA" w:rsidRDefault="00B5231E" w:rsidP="00B5231E">
      <w:pPr>
        <w:pStyle w:val="Heading4"/>
      </w:pPr>
      <w:r w:rsidRPr="008C16DA">
        <w:t>[1] Ideal theory is capable of radical possibilities.</w:t>
      </w:r>
    </w:p>
    <w:p w14:paraId="6FE0817A" w14:textId="77777777" w:rsidR="00B5231E" w:rsidRPr="00CE11B7" w:rsidRDefault="00B5231E" w:rsidP="00B5231E">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[Holmstrom, Nancy [Prof. Emeritus @ Rutgers]. "Response to Charles Mills's." Radical Philosophy Review 15.2 (2012): 325-330.]</w:t>
      </w:r>
    </w:p>
    <w:p w14:paraId="12D40DB3" w14:textId="77777777" w:rsidR="00B5231E" w:rsidRDefault="00B5231E" w:rsidP="00B5231E">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equal rights and moral egalitarianism</w:t>
      </w:r>
      <w:r w:rsidRPr="00CE11B7">
        <w:rPr>
          <w:rStyle w:val="LinedDown"/>
          <w:rFonts w:asciiTheme="majorHAnsi" w:hAnsiTheme="majorHAnsi" w:cstheme="majorHAnsi"/>
        </w:rPr>
        <w:t>. Against what he calls the conventional wisdom among radi- cals,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politi- cal practice but have been their strongest champions since the Revolution; socialists of all kinds helped to build the labor and civil rights movements.‘ </w:t>
      </w:r>
    </w:p>
    <w:p w14:paraId="6C1E408D" w14:textId="77777777" w:rsidR="00B5231E" w:rsidRPr="00305237" w:rsidRDefault="00B5231E" w:rsidP="00B5231E">
      <w:pPr>
        <w:pStyle w:val="Heading4"/>
        <w:spacing w:line="276" w:lineRule="auto"/>
        <w:rPr>
          <w:rFonts w:asciiTheme="minorHAnsi" w:hAnsiTheme="minorHAnsi" w:cstheme="minorHAnsi"/>
        </w:rPr>
      </w:pPr>
      <w:r>
        <w:rPr>
          <w:rFonts w:asciiTheme="minorHAnsi" w:hAnsiTheme="minorHAnsi" w:cstheme="minorHAnsi"/>
        </w:rPr>
        <w:t>[2]</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5F9F47B9" w14:textId="6B51BEFF" w:rsidR="00B5231E" w:rsidRPr="0052527D" w:rsidRDefault="00B5231E" w:rsidP="00B5231E">
      <w:pPr>
        <w:rPr>
          <w:sz w:val="14"/>
          <w:szCs w:val="14"/>
        </w:rPr>
      </w:pPr>
      <w:r w:rsidRPr="0052527D">
        <w:rPr>
          <w:rStyle w:val="Style13ptBold"/>
        </w:rPr>
        <w:t xml:space="preserve">Farr 2 </w:t>
      </w:r>
      <w:r>
        <w:rPr>
          <w:rStyle w:val="Style13ptBold"/>
        </w:rPr>
        <w:t xml:space="preserve"> </w:t>
      </w: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7C8F70A0" w14:textId="77777777" w:rsidR="00B5231E" w:rsidRDefault="00B5231E" w:rsidP="00B5231E">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To avoid ethical egoism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25E0A3F6" w14:textId="77777777" w:rsidR="00B5231E" w:rsidRPr="00650470" w:rsidRDefault="00B5231E" w:rsidP="00B5231E">
      <w:pPr>
        <w:pStyle w:val="Heading4"/>
        <w:spacing w:before="2" w:after="2" w:line="240" w:lineRule="auto"/>
        <w:rPr>
          <w:rFonts w:cs="Times New Roman"/>
          <w:color w:val="000000" w:themeColor="text1"/>
        </w:rPr>
      </w:pPr>
      <w:r>
        <w:t xml:space="preserve">[3] </w:t>
      </w:r>
      <w:r w:rsidRPr="00650470">
        <w:rPr>
          <w:rFonts w:cs="Times New Roman"/>
          <w:color w:val="000000" w:themeColor="text1"/>
        </w:rPr>
        <w:t xml:space="preserve">Practical reasoning demands that agents recognize their universal subjectivity to form commitments with people deemed different. </w:t>
      </w:r>
    </w:p>
    <w:p w14:paraId="35FED555" w14:textId="77777777" w:rsidR="00B5231E" w:rsidRPr="00650470" w:rsidRDefault="00B5231E" w:rsidP="00B5231E">
      <w:pPr>
        <w:spacing w:line="240" w:lineRule="auto"/>
        <w:rPr>
          <w:sz w:val="16"/>
        </w:rPr>
      </w:pPr>
      <w:r w:rsidRPr="00070BFE">
        <w:rPr>
          <w:b/>
          <w:sz w:val="26"/>
          <w:szCs w:val="26"/>
        </w:rPr>
        <w:t xml:space="preserve">O'Neill </w:t>
      </w:r>
      <w:r>
        <w:rPr>
          <w:b/>
          <w:sz w:val="26"/>
          <w:szCs w:val="26"/>
        </w:rPr>
        <w:t>1</w:t>
      </w:r>
      <w:r w:rsidRPr="00650470">
        <w:rPr>
          <w:sz w:val="16"/>
        </w:rPr>
        <w:t>, Onora (2000). Bounds of Justice. Cambridge University Press.</w:t>
      </w:r>
    </w:p>
    <w:p w14:paraId="0C4AE3DE" w14:textId="77777777" w:rsidR="00B5231E" w:rsidRPr="00B56B10" w:rsidRDefault="00B5231E" w:rsidP="00B5231E">
      <w:pPr>
        <w:spacing w:line="240" w:lineRule="auto"/>
        <w:rPr>
          <w:rStyle w:val="Emphasis"/>
          <w:highlight w:val="green"/>
        </w:rPr>
      </w:pPr>
      <w:r w:rsidRPr="00650470">
        <w:rPr>
          <w:sz w:val="12"/>
        </w:rPr>
        <w:t xml:space="preserve">In the second place, the ethnocentrism of norm-based reasoning matters for relations between insiders and outsiders. </w:t>
      </w:r>
      <w:r w:rsidRPr="00B56B10">
        <w:rPr>
          <w:rStyle w:val="Emphasis"/>
          <w:highlight w:val="green"/>
        </w:rPr>
        <w:t>Once upon a time it might not have mattered if those who lived in</w:t>
      </w:r>
      <w:r w:rsidRPr="00070BFE">
        <w:rPr>
          <w:rStyle w:val="Emphasis"/>
        </w:rPr>
        <w:t xml:space="preserve"> homogeneous but </w:t>
      </w:r>
      <w:r w:rsidRPr="00B56B10">
        <w:rPr>
          <w:rStyle w:val="Emphasis"/>
          <w:highlight w:val="green"/>
        </w:rPr>
        <w:t>isolated societies reasoned in ways that could not have been accessible to hypothetical others</w:t>
      </w:r>
      <w:r w:rsidRPr="00070BFE">
        <w:rPr>
          <w:rStyle w:val="Emphasis"/>
        </w:rPr>
        <w:t xml:space="preserve"> with whom they had no connection. </w:t>
      </w:r>
      <w:r w:rsidRPr="00B56B10">
        <w:rPr>
          <w:rStyle w:val="Emphasis"/>
          <w:highlight w:val="green"/>
        </w:rPr>
        <w:t>But today societies</w:t>
      </w:r>
      <w:r w:rsidRPr="00070BFE">
        <w:rPr>
          <w:rStyle w:val="Emphasis"/>
        </w:rPr>
        <w:t xml:space="preserve">, cultures and traditions </w:t>
      </w:r>
      <w:r w:rsidRPr="00B56B10">
        <w:rPr>
          <w:rStyle w:val="Emphasis"/>
          <w:highlight w:val="green"/>
        </w:rPr>
        <w:t>are not bounded</w:t>
      </w:r>
      <w:r w:rsidRPr="00070BFE">
        <w:rPr>
          <w:rStyle w:val="Emphasis"/>
        </w:rPr>
        <w:t xml:space="preserve"> or impervious. So it matters when reasoning is based on principles that are internal to some tradition yet not even accessible to outsiders. </w:t>
      </w:r>
      <w:r w:rsidRPr="00B56B10">
        <w:rPr>
          <w:rStyle w:val="Emphasis"/>
          <w:highlight w:val="green"/>
        </w:rPr>
        <w:t>Ethnocentric reasoning will fail</w:t>
      </w:r>
      <w:r w:rsidRPr="00070BFE">
        <w:rPr>
          <w:rStyle w:val="Emphasis"/>
        </w:rPr>
        <w:t xml:space="preserve"> or falter </w:t>
      </w:r>
      <w:r w:rsidRPr="00B56B10">
        <w:rPr>
          <w:rStyle w:val="Emphasis"/>
          <w:highlight w:val="green"/>
        </w:rPr>
        <w:t>for those who attempt communication across boundaries; it will</w:t>
      </w:r>
      <w:r w:rsidRPr="00070BFE">
        <w:rPr>
          <w:rStyle w:val="Emphasis"/>
        </w:rPr>
        <w:t xml:space="preserve"> lack authority – and may </w:t>
      </w:r>
      <w:r w:rsidRPr="00B56B10">
        <w:rPr>
          <w:rStyle w:val="Emphasis"/>
          <w:highlight w:val="green"/>
        </w:rPr>
        <w:t>prove inaccessible to others.</w:t>
      </w:r>
      <w:r w:rsidRPr="00070BFE">
        <w:rPr>
          <w:rStyle w:val="Emphasis"/>
        </w:rPr>
        <w:t xml:space="preserve"> Norm-based conceptions of reason will not suffice in a pluralist world</w:t>
      </w:r>
      <w:r w:rsidRPr="00650470">
        <w:rPr>
          <w:sz w:val="12"/>
        </w:rPr>
        <w:t xml:space="preserve">. If any ways of organizing either thinking or action are to have quite general authority, they cannot presuppose the norms and opinions of a particular time and place. Analogous points might be made about more individualistic, commitment-based conceptions of practical reason. These too need not be intrinsically conservative, since we can revise and change our commitments and projects across our lives. However, such reasoning, although not necessarily selfish, will unavoidably be self-centred: it argues from my commitments, my life-projects and my attachments. My commitments, projects and attachments may not be selfish, but equally they may not be noble: there are those who are moved to rescue their wives from drowning, and those who are not. There are even those whose commitments are selfish, who may be moved to drown their wives when opportunity arises. Even when a project is deeply internalized, its vindication may be meagre. Yet it is not clear what opening is left either for vindication or for criticism within a view that construes actual commitments, actual attachments and actual personal projects as the bed-rock of practical reasoning. These commitments will no doubt prove motivating, but it does not follow that it is rational to live lives that express whatever commitments happen to have been internalized. </w:t>
      </w:r>
      <w:r w:rsidRPr="00070BFE">
        <w:rPr>
          <w:rStyle w:val="Emphasis"/>
        </w:rPr>
        <w:t xml:space="preserve">Can there not be principles for all, and that any attempt to persuade others to principles which do not meet this condition must lack authority. </w:t>
      </w:r>
      <w:r w:rsidRPr="00B56B10">
        <w:rPr>
          <w:rStyle w:val="Emphasis"/>
          <w:highlight w:val="green"/>
        </w:rPr>
        <w:t>Since in our world reasoning must reach beyond the like-minded, our practical reasoning must often be based on principles that are widely accessible</w:t>
      </w:r>
      <w:r w:rsidRPr="00070BFE">
        <w:rPr>
          <w:rStyle w:val="Emphasis"/>
        </w:rPr>
        <w:t xml:space="preserve">; its authority will vanish if we duck the requirement to keep to such structures. Where we attempt to base practical reasoning on principles that do not meet this requirement, at least some others will find that we put forward principles that they cannot share, and will understandably judge our proposals arbitrary and lacking in authority - in short, unreasoned. This stripped-down Kantian conception of </w:t>
      </w:r>
      <w:r w:rsidRPr="00B56B10">
        <w:rPr>
          <w:rStyle w:val="Emphasis"/>
          <w:highlight w:val="green"/>
        </w:rPr>
        <w:t>practical reasoning</w:t>
      </w:r>
      <w:r w:rsidRPr="00070BFE">
        <w:rPr>
          <w:rStyle w:val="Emphasis"/>
        </w:rPr>
        <w:t xml:space="preserve"> shares the focus of norm-based and commitment-based conceptions of practical reason: it is directed at action, or rather at the norms and commitments, the practices and projects, by which we collectively or individually organize our lives. It is directed at actions as specified by certain act-descriptions, rather than at acts considered as instruments for producing results. Where it differs from norm-based or commitment-based conceptions of practical reasoning is in its view of the scope of reasoning, of the fixity of identities and of the mutual accessibility of traditions. It allows for the thought that what might seem a reason for me or for the insiders of some tradition, even a reason that is burnt into souls, may not be any sort of reason for others</w:t>
      </w:r>
      <w:r w:rsidRPr="00650470">
        <w:rPr>
          <w:sz w:val="12"/>
        </w:rPr>
        <w:t xml:space="preserve">. Insiders’ reasoning - Kant spoke of a private use of reason) ? – cannot reach outsiders except by linking it with other reasoning which they can follow. Where this is achieved, </w:t>
      </w:r>
      <w:r w:rsidRPr="00070BFE">
        <w:rPr>
          <w:rStyle w:val="Emphasis"/>
        </w:rPr>
        <w:t xml:space="preserve">practical reasoning </w:t>
      </w:r>
      <w:r w:rsidRPr="00B56B10">
        <w:rPr>
          <w:rStyle w:val="Emphasis"/>
          <w:highlight w:val="green"/>
        </w:rPr>
        <w:t>may be able to link those who are outsiders to one another's traditions and offer reasons for changes in deep commitments, even in sense of identity.</w:t>
      </w:r>
      <w:r w:rsidRPr="00070BFE">
        <w:rPr>
          <w:rStyle w:val="Emphasis"/>
        </w:rPr>
        <w:t xml:space="preserve"> </w:t>
      </w:r>
    </w:p>
    <w:p w14:paraId="301461CA" w14:textId="77777777" w:rsidR="00B5231E" w:rsidRPr="008E4C26" w:rsidRDefault="00B5231E" w:rsidP="00B5231E">
      <w:pPr>
        <w:pStyle w:val="Heading4"/>
        <w:spacing w:line="240" w:lineRule="auto"/>
        <w:rPr>
          <w:rFonts w:cs="Calibri"/>
          <w:color w:val="000000" w:themeColor="text1"/>
        </w:rPr>
      </w:pPr>
      <w:r>
        <w:rPr>
          <w:rFonts w:cs="Calibri"/>
          <w:color w:val="000000" w:themeColor="text1"/>
        </w:rPr>
        <w:t>[4] Pluralism is good.</w:t>
      </w:r>
    </w:p>
    <w:p w14:paraId="18F84752" w14:textId="77777777" w:rsidR="00B5231E" w:rsidRPr="008E4C26" w:rsidRDefault="00B5231E" w:rsidP="00B5231E">
      <w:pPr>
        <w:spacing w:line="240" w:lineRule="auto"/>
        <w:rPr>
          <w:color w:val="000000" w:themeColor="text1"/>
        </w:rPr>
      </w:pPr>
      <w:r w:rsidRPr="008E4C26">
        <w:rPr>
          <w:b/>
          <w:color w:val="000000" w:themeColor="text1"/>
          <w:sz w:val="26"/>
          <w:szCs w:val="26"/>
        </w:rPr>
        <w:t>Bleiker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07D4CC77" w14:textId="77777777" w:rsidR="00B5231E" w:rsidRDefault="00B5231E" w:rsidP="00B5231E">
      <w:pPr>
        <w:spacing w:line="240" w:lineRule="auto"/>
        <w:rPr>
          <w:color w:val="000000" w:themeColor="text1"/>
          <w:sz w:val="14"/>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deemed incompatible. They can range from poststructual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r w:rsidRPr="008E4C26">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09B4A323" w14:textId="77777777" w:rsidR="00B5231E" w:rsidRPr="008C16DA" w:rsidRDefault="00B5231E" w:rsidP="00B5231E">
      <w:pPr>
        <w:pStyle w:val="Heading4"/>
      </w:pPr>
      <w:r w:rsidRPr="008C16DA">
        <w:t>[</w:t>
      </w:r>
      <w:r>
        <w:t>5</w:t>
      </w:r>
      <w:r w:rsidRPr="008C16DA">
        <w:t>] Universality is the best way of solving oppression.</w:t>
      </w:r>
    </w:p>
    <w:p w14:paraId="71E32824" w14:textId="77777777" w:rsidR="00B5231E" w:rsidRPr="006636C5" w:rsidRDefault="00B5231E" w:rsidP="00B5231E">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Philosophica, Vol. 95, No. 1, January 2018, pp. 1–33 https:// </w:t>
      </w:r>
      <w:r w:rsidRPr="006636C5">
        <w:rPr>
          <w:sz w:val="16"/>
          <w:szCs w:val="16"/>
        </w:rPr>
        <w:t>doi.org/ 10.11612/ resphil.1622 SJ//VM Organic Intellectual</w:t>
      </w:r>
    </w:p>
    <w:p w14:paraId="3287D049" w14:textId="77777777" w:rsidR="00B5231E" w:rsidRDefault="00B5231E" w:rsidP="00B5231E">
      <w:pPr>
        <w:rPr>
          <w:sz w:val="14"/>
        </w:rPr>
      </w:pPr>
      <w:r w:rsidRPr="006636C5">
        <w:rPr>
          <w:rStyle w:val="Emphasis"/>
        </w:rPr>
        <w:t>So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r w:rsidRPr="003A2D98">
        <w:rPr>
          <w:rStyle w:val="Emphasis"/>
          <w:highlight w:val="green"/>
        </w:rPr>
        <w:t>racesensitive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770FB2C0" w14:textId="77777777" w:rsidR="002C664A" w:rsidRPr="005645DB" w:rsidRDefault="002C664A" w:rsidP="002C664A">
      <w:pPr>
        <w:pStyle w:val="Heading4"/>
      </w:pPr>
      <w:r>
        <w:t xml:space="preserve">[6] </w:t>
      </w:r>
      <w:r w:rsidRPr="00870445">
        <w:t>Humanism</w:t>
      </w:r>
      <w:r>
        <w:t xml:space="preserve"> is </w:t>
      </w:r>
      <w:r>
        <w:rPr>
          <w:u w:val="single"/>
        </w:rPr>
        <w:t>good</w:t>
      </w:r>
      <w:r>
        <w:t>.</w:t>
      </w:r>
    </w:p>
    <w:p w14:paraId="304968B0" w14:textId="77777777" w:rsidR="002C664A" w:rsidRDefault="002C664A" w:rsidP="002C664A">
      <w:r w:rsidRPr="005645DB">
        <w:rPr>
          <w:rStyle w:val="Style13ptBold"/>
        </w:rPr>
        <w:t>Lester</w:t>
      </w:r>
      <w:r>
        <w:rPr>
          <w:rStyle w:val="Style13ptBold"/>
        </w:rPr>
        <w:t xml:space="preserve"> 12</w:t>
      </w:r>
      <w:r w:rsidRPr="005645DB">
        <w:t>, Alan. "Humanism, race and the colonial frontier." Transactions of the Institute of British Geographers 37.1 (2012): 132-148.</w:t>
      </w:r>
      <w:r>
        <w:t xml:space="preserve"> (</w:t>
      </w:r>
      <w:r w:rsidRPr="00D52147">
        <w:t>Director of Interdisciplinary Research, Professor of Historical Geography, and Co-Director of the Colonial and Postcolonial Studies Network, University of Sussex</w:t>
      </w:r>
      <w:r>
        <w:t>)//Elmer</w:t>
      </w:r>
    </w:p>
    <w:p w14:paraId="0B41E203" w14:textId="77777777" w:rsidR="002C664A" w:rsidRDefault="002C664A" w:rsidP="002C664A">
      <w:pPr>
        <w:rPr>
          <w:sz w:val="16"/>
        </w:rPr>
      </w:pPr>
      <w:r w:rsidRPr="00AD3E0F">
        <w:rPr>
          <w:sz w:val="16"/>
          <w:szCs w:val="24"/>
        </w:rPr>
        <w:t xml:space="preserve">Conclusion: defending humanism? Although, as I have argued, both Anderson and I emphasize in practice </w:t>
      </w:r>
      <w:r w:rsidRPr="00AD3E0F">
        <w:rPr>
          <w:sz w:val="16"/>
        </w:rPr>
        <w:t xml:space="preserve">those sets of relations on colonial frontiers that gave rise to racial discursive shifts in the nineteenth century, there are important between the different kind of discursive relations postcolonial questions hinging on the distinction that Anderson emphasizes, and those that I have tried to track above. Anderson argues that it is not an issue of extending humanity to … negatively racialised people, but of putting into question that from which such people have been excluded – that which, for liberal discourse, remains unproblematized. (2007, 199) I fear, however, that if we direct attention away from histories of humanism’s failure to deal with difference and to render that difference compatible with its fundamental universalism, and if we overlook its proponents’ failed attempts to combat dispossession, murder and oppression; if our history of race is instead understood through a critique of humanity’s conceptual separation from nature, we dilute the political potency of </w:t>
      </w:r>
      <w:r w:rsidRPr="00850A8D">
        <w:rPr>
          <w:sz w:val="16"/>
        </w:rPr>
        <w:t xml:space="preserve">universalism. </w:t>
      </w:r>
      <w:r w:rsidRPr="00850A8D">
        <w:rPr>
          <w:u w:val="single"/>
        </w:rPr>
        <w:t xml:space="preserve">Historically, it was </w:t>
      </w:r>
      <w:r w:rsidRPr="005645DB">
        <w:rPr>
          <w:u w:val="single"/>
        </w:rPr>
        <w:t xml:space="preserve">not humanism that gave rise to racial innatism, it was the specifically </w:t>
      </w:r>
      <w:r w:rsidRPr="00870445">
        <w:rPr>
          <w:highlight w:val="green"/>
          <w:u w:val="single"/>
        </w:rPr>
        <w:t>anti-</w:t>
      </w:r>
      <w:r w:rsidRPr="009A4954">
        <w:rPr>
          <w:highlight w:val="green"/>
          <w:u w:val="single"/>
        </w:rPr>
        <w:t>humanist politics</w:t>
      </w:r>
      <w:r w:rsidRPr="00850A8D">
        <w:rPr>
          <w:u w:val="single"/>
        </w:rPr>
        <w:t xml:space="preserve"> </w:t>
      </w:r>
      <w:r w:rsidRPr="005645DB">
        <w:rPr>
          <w:u w:val="single"/>
        </w:rPr>
        <w:t xml:space="preserve">of settlers </w:t>
      </w:r>
      <w:r w:rsidRPr="00870445">
        <w:rPr>
          <w:highlight w:val="green"/>
          <w:u w:val="single"/>
        </w:rPr>
        <w:t xml:space="preserve">forging </w:t>
      </w:r>
      <w:r w:rsidRPr="00850A8D">
        <w:rPr>
          <w:u w:val="single"/>
        </w:rPr>
        <w:t xml:space="preserve">new social assemblages through </w:t>
      </w:r>
      <w:r w:rsidRPr="00850A8D">
        <w:rPr>
          <w:b/>
          <w:bCs/>
          <w:u w:val="single"/>
          <w:bdr w:val="single" w:sz="4" w:space="0" w:color="auto"/>
        </w:rPr>
        <w:t xml:space="preserve">relations of </w:t>
      </w:r>
      <w:r w:rsidRPr="00870445">
        <w:rPr>
          <w:b/>
          <w:bCs/>
          <w:highlight w:val="green"/>
          <w:u w:val="single"/>
          <w:bdr w:val="single" w:sz="4" w:space="0" w:color="auto"/>
        </w:rPr>
        <w:t xml:space="preserve">violence </w:t>
      </w:r>
      <w:r w:rsidRPr="009A4954">
        <w:rPr>
          <w:b/>
          <w:bCs/>
          <w:u w:val="single"/>
          <w:bdr w:val="single" w:sz="4" w:space="0" w:color="auto"/>
        </w:rPr>
        <w:t>on colonial frontiers</w:t>
      </w:r>
      <w:r w:rsidRPr="005645DB">
        <w:rPr>
          <w:u w:val="single"/>
        </w:rPr>
        <w:t xml:space="preserve">. Settler communities became established social assemblages in their own right specifically </w:t>
      </w:r>
      <w:r w:rsidRPr="005645DB">
        <w:rPr>
          <w:b/>
          <w:bCs/>
          <w:u w:val="single"/>
        </w:rPr>
        <w:t>through the rejection of humanist interventions</w:t>
      </w:r>
      <w:r w:rsidRPr="005645DB">
        <w:rPr>
          <w:u w:val="single"/>
        </w:rPr>
        <w:t xml:space="preserve">. Perhaps, as Edward Said suggested, we can learn from the implementation of </w:t>
      </w:r>
      <w:r w:rsidRPr="009A4954">
        <w:rPr>
          <w:highlight w:val="green"/>
          <w:u w:val="single"/>
        </w:rPr>
        <w:t>humanist universalism</w:t>
      </w:r>
      <w:r w:rsidRPr="00850A8D">
        <w:rPr>
          <w:u w:val="single"/>
        </w:rPr>
        <w:t xml:space="preserve"> </w:t>
      </w:r>
      <w:r w:rsidRPr="005645DB">
        <w:rPr>
          <w:u w:val="single"/>
        </w:rPr>
        <w:t xml:space="preserve">in practice, and insist on </w:t>
      </w:r>
      <w:r w:rsidRPr="005645DB">
        <w:rPr>
          <w:b/>
          <w:bCs/>
          <w:u w:val="single"/>
        </w:rPr>
        <w:t xml:space="preserve">its </w:t>
      </w:r>
      <w:r w:rsidRPr="00850A8D">
        <w:rPr>
          <w:b/>
          <w:bCs/>
          <w:u w:val="single"/>
        </w:rPr>
        <w:t>potential to</w:t>
      </w:r>
      <w:r w:rsidRPr="00870445">
        <w:rPr>
          <w:b/>
          <w:bCs/>
          <w:highlight w:val="green"/>
          <w:u w:val="single"/>
        </w:rPr>
        <w:t xml:space="preserve"> combat racism</w:t>
      </w:r>
      <w:r w:rsidRPr="005645DB">
        <w:rPr>
          <w:u w:val="single"/>
        </w:rPr>
        <w:t xml:space="preserve">, and perhaps we can insist on the contemporary conceptual hybridisation of human–non-human entities too, without necessarily abandoning all the precepts of </w:t>
      </w:r>
      <w:r w:rsidRPr="005645DB">
        <w:rPr>
          <w:b/>
          <w:bCs/>
          <w:u w:val="single"/>
        </w:rPr>
        <w:t>humanism</w:t>
      </w:r>
      <w:r w:rsidRPr="005645DB">
        <w:rPr>
          <w:u w:val="single"/>
        </w:rPr>
        <w:t xml:space="preserve"> (Said 2004; Todorov 2002). </w:t>
      </w:r>
      <w:r w:rsidRPr="00AD3E0F">
        <w:rPr>
          <w:sz w:val="16"/>
        </w:rPr>
        <w:t xml:space="preserve">We do not necessarily need to accord a specific value to the human, separate from and above nature, in order to make a moral and political case for a fundamental human universalism that can be wielded strategically against racial violence. </w:t>
      </w:r>
      <w:r w:rsidRPr="005645DB">
        <w:rPr>
          <w:u w:val="single"/>
        </w:rPr>
        <w:t>Nineteenth century humanitarians’ universalism was fundamentally conditioned by their belief that British culture stood at the apex of a hierarchical order of civilisations</w:t>
      </w:r>
      <w:r w:rsidRPr="00AD3E0F">
        <w:rPr>
          <w:sz w:val="16"/>
        </w:rPr>
        <w:t xml:space="preserve">. From the mid-nineteenth century through to the mid-twentieth century, this ethnocentrism produced what Lyotard describes as ‘the flattening of differences, or the demand for a norm (“human nature”)’, that ‘carries with it its own forms of terror’ (cited Braun 2004, 1352). The intervention of Aboriginal Protection demonstrates that humanist universalism has the potential to inflict such terror (it was the Protectorate of Aborigines Office reincarnated that was responsible, later in the nineteenth and twentieth centuries, for Aboriginal Australia’s Stolen Generation, and it was the assimilationist vision of the Protectors’ equivalents in Canada that led to the abuses of the Residential Schools system). </w:t>
      </w:r>
      <w:r w:rsidRPr="005645DB">
        <w:rPr>
          <w:u w:val="single"/>
        </w:rPr>
        <w:t xml:space="preserve">But we must not </w:t>
      </w:r>
      <w:r w:rsidRPr="00850A8D">
        <w:rPr>
          <w:u w:val="single"/>
        </w:rPr>
        <w:t xml:space="preserve">forget that </w:t>
      </w:r>
      <w:r w:rsidRPr="009A4954">
        <w:rPr>
          <w:b/>
          <w:bCs/>
          <w:highlight w:val="green"/>
          <w:u w:val="single"/>
        </w:rPr>
        <w:t>humanism’s alternatives</w:t>
      </w:r>
      <w:r w:rsidRPr="00850A8D">
        <w:rPr>
          <w:u w:val="single"/>
        </w:rPr>
        <w:t xml:space="preserve">, founded </w:t>
      </w:r>
      <w:r w:rsidRPr="009A4954">
        <w:rPr>
          <w:highlight w:val="green"/>
          <w:u w:val="single"/>
        </w:rPr>
        <w:t>upon</w:t>
      </w:r>
      <w:r w:rsidRPr="00850A8D">
        <w:rPr>
          <w:u w:val="single"/>
        </w:rPr>
        <w:t xml:space="preserve"> principles of </w:t>
      </w:r>
      <w:r w:rsidRPr="009A4954">
        <w:rPr>
          <w:highlight w:val="green"/>
          <w:u w:val="single"/>
        </w:rPr>
        <w:t>difference</w:t>
      </w:r>
      <w:r w:rsidRPr="00850A8D">
        <w:rPr>
          <w:u w:val="single"/>
        </w:rPr>
        <w:t xml:space="preserve"> rather than commonality, have the potential to do the same and even </w:t>
      </w:r>
      <w:r w:rsidRPr="00850A8D">
        <w:rPr>
          <w:b/>
          <w:bCs/>
          <w:u w:val="single"/>
        </w:rPr>
        <w:t>worse</w:t>
      </w:r>
      <w:r w:rsidRPr="00850A8D">
        <w:rPr>
          <w:u w:val="single"/>
        </w:rPr>
        <w:t>. In the nineteenth</w:t>
      </w:r>
      <w:r w:rsidRPr="005645DB">
        <w:rPr>
          <w:u w:val="single"/>
        </w:rPr>
        <w:t xml:space="preserve"> century, </w:t>
      </w:r>
      <w:r w:rsidRPr="00870445">
        <w:rPr>
          <w:highlight w:val="green"/>
          <w:u w:val="single"/>
        </w:rPr>
        <w:t xml:space="preserve">Caribbean planters </w:t>
      </w:r>
      <w:r w:rsidRPr="005645DB">
        <w:rPr>
          <w:u w:val="single"/>
        </w:rPr>
        <w:t xml:space="preserve">and then emigrant British settlers </w:t>
      </w:r>
      <w:r w:rsidRPr="00870445">
        <w:rPr>
          <w:highlight w:val="green"/>
          <w:u w:val="single"/>
        </w:rPr>
        <w:t xml:space="preserve">emphasised </w:t>
      </w:r>
      <w:r w:rsidRPr="005645DB">
        <w:rPr>
          <w:u w:val="single"/>
        </w:rPr>
        <w:t xml:space="preserve">the multiplicity of the human species, the </w:t>
      </w:r>
      <w:r w:rsidRPr="00870445">
        <w:rPr>
          <w:b/>
          <w:bCs/>
          <w:highlight w:val="green"/>
          <w:u w:val="single"/>
          <w:bdr w:val="single" w:sz="4" w:space="0" w:color="auto"/>
        </w:rPr>
        <w:t xml:space="preserve">absence of </w:t>
      </w:r>
      <w:r w:rsidRPr="00850A8D">
        <w:rPr>
          <w:b/>
          <w:bCs/>
          <w:u w:val="single"/>
          <w:bdr w:val="single" w:sz="4" w:space="0" w:color="auto"/>
        </w:rPr>
        <w:t xml:space="preserve">any </w:t>
      </w:r>
      <w:r w:rsidRPr="00870445">
        <w:rPr>
          <w:b/>
          <w:bCs/>
          <w:highlight w:val="green"/>
          <w:u w:val="single"/>
          <w:bdr w:val="single" w:sz="4" w:space="0" w:color="auto"/>
        </w:rPr>
        <w:t xml:space="preserve">universal ‘human </w:t>
      </w:r>
      <w:r w:rsidRPr="00850A8D">
        <w:rPr>
          <w:b/>
          <w:bCs/>
          <w:u w:val="single"/>
          <w:bdr w:val="single" w:sz="4" w:space="0" w:color="auto"/>
        </w:rPr>
        <w:t>nature’</w:t>
      </w:r>
      <w:r w:rsidRPr="005645DB">
        <w:rPr>
          <w:u w:val="single"/>
        </w:rPr>
        <w:t xml:space="preserve">, </w:t>
      </w:r>
      <w:r w:rsidRPr="009A4954">
        <w:rPr>
          <w:highlight w:val="green"/>
          <w:u w:val="single"/>
        </w:rPr>
        <w:t>the</w:t>
      </w:r>
      <w:r w:rsidRPr="005645DB">
        <w:rPr>
          <w:u w:val="single"/>
        </w:rPr>
        <w:t xml:space="preserve"> </w:t>
      </w:r>
      <w:r w:rsidRPr="009A4954">
        <w:rPr>
          <w:u w:val="single"/>
        </w:rPr>
        <w:t xml:space="preserve">incorrigibility of </w:t>
      </w:r>
      <w:r w:rsidRPr="009A4954">
        <w:rPr>
          <w:highlight w:val="green"/>
          <w:u w:val="single"/>
        </w:rPr>
        <w:t>difference</w:t>
      </w:r>
      <w:r w:rsidRPr="00850A8D">
        <w:rPr>
          <w:u w:val="single"/>
        </w:rPr>
        <w:t>, in their upholding of biological determinism.</w:t>
      </w:r>
      <w:r w:rsidRPr="00850A8D">
        <w:rPr>
          <w:sz w:val="16"/>
        </w:rPr>
        <w:t xml:space="preserve"> </w:t>
      </w:r>
      <w:r w:rsidRPr="009A4954">
        <w:rPr>
          <w:highlight w:val="green"/>
          <w:u w:val="single"/>
        </w:rPr>
        <w:t>Their</w:t>
      </w:r>
      <w:r w:rsidRPr="00850A8D">
        <w:rPr>
          <w:u w:val="single"/>
        </w:rPr>
        <w:t xml:space="preserve"> assault on any notion of a fundamental commonality among human beings has disconcerting points of </w:t>
      </w:r>
      <w:r w:rsidRPr="00850A8D">
        <w:rPr>
          <w:b/>
          <w:bCs/>
          <w:u w:val="single"/>
          <w:bdr w:val="single" w:sz="4" w:space="0" w:color="auto"/>
        </w:rPr>
        <w:t>intersection with the ra</w:t>
      </w:r>
      <w:r w:rsidRPr="005645DB">
        <w:rPr>
          <w:b/>
          <w:bCs/>
          <w:u w:val="single"/>
          <w:bdr w:val="single" w:sz="4" w:space="0" w:color="auto"/>
        </w:rPr>
        <w:t xml:space="preserve">dical </w:t>
      </w:r>
      <w:r w:rsidRPr="00870445">
        <w:rPr>
          <w:b/>
          <w:bCs/>
          <w:highlight w:val="green"/>
          <w:u w:val="single"/>
          <w:bdr w:val="single" w:sz="4" w:space="0" w:color="auto"/>
        </w:rPr>
        <w:t>critique of humanism</w:t>
      </w:r>
      <w:r w:rsidRPr="00870445">
        <w:rPr>
          <w:highlight w:val="green"/>
          <w:u w:val="single"/>
        </w:rPr>
        <w:t xml:space="preserve"> </w:t>
      </w:r>
      <w:r w:rsidRPr="005645DB">
        <w:rPr>
          <w:u w:val="single"/>
        </w:rPr>
        <w:t>today</w:t>
      </w:r>
      <w:r w:rsidRPr="00AD3E0F">
        <w:rPr>
          <w:sz w:val="16"/>
        </w:rPr>
        <w:t xml:space="preserve">. The scientific argument of the nineteenth century that came </w:t>
      </w:r>
      <w:r w:rsidRPr="00850A8D">
        <w:rPr>
          <w:u w:val="single"/>
        </w:rPr>
        <w:t>closest to post-humanism’s insistence on the hybridity of humanity, promising to ‘close the ontological gap between human and non-human animals’ (Day 2008, 49), was the evolutionary theory of biological descent associated with Darwin, and yet this theory was adopted in Aotearoa New Zealand and other colonia</w:t>
      </w:r>
      <w:r w:rsidRPr="005645DB">
        <w:rPr>
          <w:u w:val="single"/>
        </w:rPr>
        <w:t xml:space="preserve">l sites precisely to </w:t>
      </w:r>
      <w:r w:rsidRPr="009A4954">
        <w:rPr>
          <w:highlight w:val="green"/>
          <w:u w:val="single"/>
        </w:rPr>
        <w:t>legitimate the</w:t>
      </w:r>
      <w:r w:rsidRPr="005645DB">
        <w:rPr>
          <w:u w:val="single"/>
        </w:rPr>
        <w:t xml:space="preserve"> potential </w:t>
      </w:r>
      <w:r w:rsidRPr="00870445">
        <w:rPr>
          <w:highlight w:val="green"/>
          <w:u w:val="single"/>
        </w:rPr>
        <w:t xml:space="preserve">extinction of </w:t>
      </w:r>
      <w:r w:rsidRPr="005645DB">
        <w:rPr>
          <w:u w:val="single"/>
        </w:rPr>
        <w:t>other, ‘</w:t>
      </w:r>
      <w:r w:rsidRPr="00870445">
        <w:rPr>
          <w:b/>
          <w:bCs/>
          <w:highlight w:val="green"/>
          <w:u w:val="single"/>
        </w:rPr>
        <w:t xml:space="preserve">weaker’ races </w:t>
      </w:r>
      <w:r w:rsidRPr="005645DB">
        <w:rPr>
          <w:u w:val="single"/>
        </w:rPr>
        <w:t>in the face of British colonisation on the grounds of the natural law of a struggle for survival</w:t>
      </w:r>
      <w:r w:rsidRPr="00AD3E0F">
        <w:rPr>
          <w:sz w:val="16"/>
        </w:rPr>
        <w:t xml:space="preserve"> (Stenhouse 1999). Both the upholding and the </w:t>
      </w:r>
      <w:r w:rsidRPr="005645DB">
        <w:rPr>
          <w:u w:val="single"/>
        </w:rPr>
        <w:t>rejection of human–nature binaries can thus result in racially oppressive actions, depending on the contingent politics of specific social assemblages</w:t>
      </w:r>
      <w:r w:rsidRPr="00AD3E0F">
        <w:rPr>
          <w:sz w:val="16"/>
        </w:rPr>
        <w:t xml:space="preserve">. </w:t>
      </w:r>
      <w:r w:rsidRPr="005645DB">
        <w:rPr>
          <w:u w:val="single"/>
        </w:rPr>
        <w:t xml:space="preserve">Nineteenth century colonial </w:t>
      </w:r>
      <w:r w:rsidRPr="009A4954">
        <w:rPr>
          <w:highlight w:val="green"/>
          <w:u w:val="single"/>
        </w:rPr>
        <w:t>humanitarians</w:t>
      </w:r>
      <w:r w:rsidRPr="005645DB">
        <w:rPr>
          <w:u w:val="single"/>
        </w:rPr>
        <w:t xml:space="preserve">, inspired as they were by an irredeemably ethnocentric and religiously exclusive form of universalism, at least </w:t>
      </w:r>
      <w:r w:rsidRPr="00870445">
        <w:rPr>
          <w:highlight w:val="green"/>
          <w:u w:val="single"/>
        </w:rPr>
        <w:t xml:space="preserve">combatted </w:t>
      </w:r>
      <w:r w:rsidRPr="005645DB">
        <w:rPr>
          <w:u w:val="single"/>
        </w:rPr>
        <w:t xml:space="preserve">exterminatory </w:t>
      </w:r>
      <w:r w:rsidRPr="00870445">
        <w:rPr>
          <w:highlight w:val="green"/>
          <w:u w:val="single"/>
        </w:rPr>
        <w:t xml:space="preserve">settler discourses </w:t>
      </w:r>
      <w:r w:rsidRPr="005645DB">
        <w:rPr>
          <w:u w:val="single"/>
        </w:rPr>
        <w:t xml:space="preserve">and practices at multiple sites of empire, and </w:t>
      </w:r>
      <w:r w:rsidRPr="00870445">
        <w:rPr>
          <w:highlight w:val="green"/>
          <w:u w:val="single"/>
        </w:rPr>
        <w:t xml:space="preserve">provided spaces </w:t>
      </w:r>
      <w:r w:rsidRPr="005645DB">
        <w:rPr>
          <w:u w:val="single"/>
        </w:rPr>
        <w:t xml:space="preserve">on mission and protectorate stations in </w:t>
      </w:r>
      <w:r w:rsidRPr="00870445">
        <w:rPr>
          <w:b/>
          <w:bCs/>
          <w:highlight w:val="green"/>
          <w:u w:val="single"/>
        </w:rPr>
        <w:t xml:space="preserve">which indigenous </w:t>
      </w:r>
      <w:r w:rsidRPr="00850A8D">
        <w:rPr>
          <w:b/>
          <w:bCs/>
          <w:u w:val="single"/>
        </w:rPr>
        <w:t xml:space="preserve">peoples could be </w:t>
      </w:r>
      <w:r w:rsidRPr="00870445">
        <w:rPr>
          <w:b/>
          <w:bCs/>
          <w:highlight w:val="green"/>
          <w:u w:val="single"/>
        </w:rPr>
        <w:t>shielded</w:t>
      </w:r>
      <w:r w:rsidRPr="00870445">
        <w:rPr>
          <w:highlight w:val="green"/>
          <w:u w:val="single"/>
        </w:rPr>
        <w:t xml:space="preserve"> </w:t>
      </w:r>
      <w:r w:rsidRPr="005645DB">
        <w:rPr>
          <w:u w:val="single"/>
        </w:rPr>
        <w:t>to a very limited extent from dispossession and murder</w:t>
      </w:r>
      <w:r w:rsidRPr="00AD3E0F">
        <w:rPr>
          <w:sz w:val="16"/>
        </w:rPr>
        <w:t xml:space="preserve">. </w:t>
      </w:r>
      <w:r w:rsidRPr="005645DB">
        <w:rPr>
          <w:u w:val="single"/>
        </w:rPr>
        <w:t xml:space="preserve">They also, unintentionally, reproduced discourses of a civilising mission and of a universal </w:t>
      </w:r>
      <w:r w:rsidRPr="00870445">
        <w:rPr>
          <w:highlight w:val="green"/>
          <w:u w:val="single"/>
        </w:rPr>
        <w:t xml:space="preserve">humanity </w:t>
      </w:r>
      <w:r w:rsidRPr="005645DB">
        <w:rPr>
          <w:u w:val="single"/>
        </w:rPr>
        <w:t xml:space="preserve">that </w:t>
      </w:r>
      <w:r w:rsidRPr="00850A8D">
        <w:rPr>
          <w:u w:val="single"/>
        </w:rPr>
        <w:t xml:space="preserve">could be </w:t>
      </w:r>
      <w:r w:rsidRPr="00870445">
        <w:rPr>
          <w:highlight w:val="green"/>
          <w:u w:val="single"/>
        </w:rPr>
        <w:t xml:space="preserve">deployed </w:t>
      </w:r>
      <w:r w:rsidRPr="00850A8D">
        <w:rPr>
          <w:u w:val="single"/>
        </w:rPr>
        <w:t xml:space="preserve">by anticolonial nationalists </w:t>
      </w:r>
      <w:r w:rsidRPr="005645DB">
        <w:rPr>
          <w:u w:val="single"/>
        </w:rPr>
        <w:t xml:space="preserve">in other sites of empire that were never invaded to the same extent by settlers, </w:t>
      </w:r>
      <w:r w:rsidRPr="00870445">
        <w:rPr>
          <w:b/>
          <w:bCs/>
          <w:highlight w:val="green"/>
          <w:u w:val="single"/>
          <w:bdr w:val="single" w:sz="4" w:space="0" w:color="auto"/>
        </w:rPr>
        <w:t>in independence struggles</w:t>
      </w:r>
      <w:r w:rsidRPr="00870445">
        <w:rPr>
          <w:highlight w:val="green"/>
          <w:u w:val="single"/>
        </w:rPr>
        <w:t xml:space="preserve"> </w:t>
      </w:r>
      <w:r w:rsidRPr="005645DB">
        <w:rPr>
          <w:u w:val="single"/>
        </w:rPr>
        <w:t>from the mid-twentieth century. Finally, as Whatmore’s (2002) analysis of the Select Committee on Aborigines reveals, they provided juridical narratives that are part of the arsenal of weapons that indigenous peoples can wield in attempts to claim redress and recompense in a postcolonial world.</w:t>
      </w:r>
      <w:r w:rsidRPr="00AD3E0F">
        <w:rPr>
          <w:sz w:val="16"/>
        </w:rPr>
        <w:t xml:space="preserve"> The politics of humanism in practice, then, was riddled with contradiction, fraught with particularity and latent with varying possibilities. It could be relatively progressive and liberatory; it could be dispossessive and culturally genocidal. Within its repertoire lay potential to combat environmental and biological determinism and innatism, however, and this should not be forgotten in a rush to condemn humanism’s universalism as well as its anthropocentrism. </w:t>
      </w:r>
      <w:r w:rsidRPr="005645DB">
        <w:rPr>
          <w:u w:val="single"/>
        </w:rPr>
        <w:t xml:space="preserve">It </w:t>
      </w:r>
      <w:r w:rsidRPr="005645DB">
        <w:rPr>
          <w:b/>
          <w:bCs/>
          <w:u w:val="single"/>
        </w:rPr>
        <w:t>is in the tensions within universalism that the ongoing potential of an always provisional, self-conscious, flexible and strategic humanism – one that now recognises the continuity between the human and the non-human as well as the power-laden particularities of the male, middle class, Western human subject – resides</w:t>
      </w:r>
      <w:r w:rsidRPr="00AD3E0F">
        <w:rPr>
          <w:sz w:val="16"/>
        </w:rPr>
        <w:t>.</w:t>
      </w:r>
    </w:p>
    <w:p w14:paraId="7D438634" w14:textId="77777777" w:rsidR="00B5231E" w:rsidRDefault="00B5231E" w:rsidP="00B5231E"/>
    <w:p w14:paraId="24D3676F" w14:textId="177BA3B1" w:rsidR="00C024F9" w:rsidRDefault="00C024F9" w:rsidP="00C024F9">
      <w:pPr>
        <w:pStyle w:val="Heading3"/>
      </w:pPr>
      <w:r>
        <w:t>UV</w:t>
      </w:r>
    </w:p>
    <w:p w14:paraId="5D33D69A" w14:textId="77777777" w:rsidR="00C024F9" w:rsidRDefault="00C024F9" w:rsidP="00C024F9">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28BCC483" w14:textId="77777777" w:rsidR="00C024F9" w:rsidRPr="00C83A22" w:rsidRDefault="00C024F9" w:rsidP="00C024F9"/>
    <w:p w14:paraId="6CCBA503" w14:textId="77777777" w:rsidR="00C024F9" w:rsidRDefault="00C024F9" w:rsidP="00C024F9">
      <w:pPr>
        <w:pStyle w:val="Heading4"/>
        <w:rPr>
          <w:rFonts w:asciiTheme="minorHAnsi" w:eastAsia="Calibri" w:hAnsiTheme="minorHAnsi" w:cstheme="minorHAnsi"/>
        </w:rPr>
      </w:pPr>
      <w:r>
        <w:t>[2</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5B86529C" w14:textId="77777777" w:rsidR="00C024F9" w:rsidRDefault="00C024F9" w:rsidP="00C024F9">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4B1C0183" w14:textId="77777777" w:rsidR="00C024F9" w:rsidRDefault="00C024F9" w:rsidP="00C024F9">
      <w:pPr>
        <w:pStyle w:val="Heading4"/>
        <w:rPr>
          <w:rFonts w:asciiTheme="minorHAnsi" w:eastAsia="Calibri" w:hAnsiTheme="minorHAnsi" w:cstheme="minorHAnsi"/>
        </w:rPr>
      </w:pPr>
      <w:r>
        <w:rPr>
          <w:rFonts w:asciiTheme="minorHAnsi" w:eastAsia="Calibri" w:hAnsiTheme="minorHAnsi" w:cstheme="minorHAnsi"/>
        </w:rPr>
        <w:t>[b]</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0C72EC70" w14:textId="77777777" w:rsidR="00C024F9" w:rsidRDefault="00C024F9" w:rsidP="00C024F9"/>
    <w:p w14:paraId="2FE5431B" w14:textId="77777777" w:rsidR="00C024F9" w:rsidRDefault="00C024F9" w:rsidP="00C024F9">
      <w:pPr>
        <w:pStyle w:val="Heading4"/>
      </w:pPr>
      <w:r>
        <w:t>[3]</w:t>
      </w:r>
      <w:r w:rsidRPr="008C16DA">
        <w:t xml:space="preserve"> Consequences Fail: </w:t>
      </w:r>
    </w:p>
    <w:p w14:paraId="094C220D" w14:textId="77777777" w:rsidR="00C024F9" w:rsidRDefault="00C024F9" w:rsidP="00C024F9">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48C30BE3" w14:textId="4D3E56A9" w:rsidR="00C024F9" w:rsidRDefault="00C024F9" w:rsidP="00C024F9">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6B8F6383" w14:textId="77777777" w:rsidR="002C664A" w:rsidRPr="002C664A" w:rsidRDefault="002C664A" w:rsidP="002C664A"/>
    <w:p w14:paraId="0320996E" w14:textId="7B0A7051" w:rsidR="002C664A" w:rsidRDefault="002C664A" w:rsidP="002C664A">
      <w:pPr>
        <w:pStyle w:val="Heading4"/>
      </w:pPr>
      <w:r>
        <w:t>[</w:t>
      </w:r>
      <w:r>
        <w:t>4</w:t>
      </w:r>
      <w:r>
        <w:t>] The burden of both debaters is to justify their theory of the good and justify action under it</w:t>
      </w:r>
    </w:p>
    <w:p w14:paraId="14AAB7DA" w14:textId="77777777" w:rsidR="002C664A" w:rsidRDefault="002C664A" w:rsidP="002C664A">
      <w:pPr>
        <w:pStyle w:val="Heading4"/>
      </w:pPr>
      <w:r>
        <w:t>Prefer:</w:t>
      </w:r>
    </w:p>
    <w:p w14:paraId="745BE416" w14:textId="77777777" w:rsidR="002C664A" w:rsidRDefault="002C664A" w:rsidP="002C664A">
      <w:pPr>
        <w:pStyle w:val="Heading4"/>
      </w:pPr>
      <w:r>
        <w:t>[a] Begs the question – if they don’t justify an ethical theory we don’t know why oppression matters of how to deal with it.</w:t>
      </w:r>
    </w:p>
    <w:p w14:paraId="044A1230" w14:textId="77777777" w:rsidR="002C664A" w:rsidRDefault="002C664A" w:rsidP="002C664A">
      <w:pPr>
        <w:pStyle w:val="Heading4"/>
      </w:pPr>
      <w:r>
        <w:t>[b] Normative foundations – There’s no motivation to do your aff unless there’s an ethical theory explaining why it’s motivating.</w:t>
      </w:r>
    </w:p>
    <w:p w14:paraId="28A86806" w14:textId="77777777" w:rsidR="002C664A" w:rsidRDefault="002C664A" w:rsidP="002C664A">
      <w:pPr>
        <w:pStyle w:val="Heading4"/>
      </w:pPr>
      <w:r>
        <w:t>[c] It comes before pedagogy because we can’t know a teachers obligations unless we have an ethical theory</w:t>
      </w:r>
    </w:p>
    <w:p w14:paraId="5FAB6493" w14:textId="77777777" w:rsidR="002C664A" w:rsidRDefault="002C664A" w:rsidP="002C664A">
      <w:pPr>
        <w:pStyle w:val="Heading4"/>
      </w:pPr>
      <w:r>
        <w:t>[d] Anything else is artificially narrow and incoherent –focusing on one issue is not fully comprehensive it can’t explain itself in a non-circular war unless you have a theory of the good.</w:t>
      </w:r>
    </w:p>
    <w:p w14:paraId="7DABE205" w14:textId="77777777" w:rsidR="00C024F9" w:rsidRDefault="00C024F9" w:rsidP="00C024F9"/>
    <w:p w14:paraId="54CF8CCE" w14:textId="77777777" w:rsidR="00C024F9" w:rsidRPr="00C024F9" w:rsidRDefault="00C024F9" w:rsidP="00C024F9"/>
    <w:p w14:paraId="0DBA206E" w14:textId="77777777" w:rsidR="00C024F9" w:rsidRDefault="00C024F9" w:rsidP="00C024F9">
      <w:pPr>
        <w:pStyle w:val="Heading4"/>
      </w:pPr>
      <w:r>
        <w:t>[5]</w:t>
      </w:r>
      <w:r w:rsidRPr="008C16DA">
        <w:t xml:space="preserve"> Nonideal theory triggers skep: </w:t>
      </w:r>
    </w:p>
    <w:p w14:paraId="387AC519" w14:textId="77777777" w:rsidR="00C024F9" w:rsidRDefault="00C024F9" w:rsidP="00C024F9">
      <w:pPr>
        <w:pStyle w:val="Heading4"/>
      </w:pPr>
      <w:r>
        <w:t>[a]</w:t>
      </w:r>
      <w:r w:rsidRPr="008C16DA">
        <w:t xml:space="preserve"> it doesn’t generate normative obligations so it permits anything except the one thing it condemns </w:t>
      </w:r>
    </w:p>
    <w:p w14:paraId="58E81F35" w14:textId="77777777" w:rsidR="00C024F9" w:rsidRPr="008C16DA" w:rsidRDefault="00C024F9" w:rsidP="00C024F9">
      <w:pPr>
        <w:pStyle w:val="Heading4"/>
      </w:pPr>
      <w:r>
        <w:t>[b]</w:t>
      </w:r>
      <w:r w:rsidRPr="008C16DA">
        <w:t xml:space="preserve"> Collapses– real world injustices need universal ideal principles to ground them and explain why they are wrong.</w:t>
      </w:r>
    </w:p>
    <w:p w14:paraId="2AEBE0F1" w14:textId="1E29D9C4" w:rsidR="00A95652" w:rsidRDefault="00A95652" w:rsidP="00B55AD5"/>
    <w:p w14:paraId="32BBB4ED" w14:textId="01BEC238" w:rsidR="00C024F9" w:rsidRPr="005177F3" w:rsidRDefault="00C024F9" w:rsidP="00C024F9">
      <w:pPr>
        <w:pStyle w:val="Heading4"/>
      </w:pPr>
      <w:r>
        <w:t>[</w:t>
      </w:r>
      <w:r>
        <w:t>6</w:t>
      </w:r>
      <w:r>
        <w:t>] Fairness comes before the K:</w:t>
      </w:r>
    </w:p>
    <w:p w14:paraId="6618C8C1" w14:textId="77777777" w:rsidR="00C024F9" w:rsidRDefault="00C024F9" w:rsidP="00C024F9">
      <w:pPr>
        <w:pStyle w:val="Heading4"/>
      </w:pPr>
      <w:r w:rsidRPr="005177F3">
        <w:t>[</w:t>
      </w:r>
      <w:r>
        <w:t>a</w:t>
      </w:r>
      <w:r w:rsidRPr="005177F3">
        <w:t>] Probability-theory norms are set all the time since arguments go in and out of the meta but nobody ever stops oppression with one position</w:t>
      </w:r>
    </w:p>
    <w:p w14:paraId="5FDA7A17" w14:textId="77777777" w:rsidR="00C024F9" w:rsidRDefault="00C024F9" w:rsidP="00C024F9">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20DBA07E" w14:textId="77777777" w:rsidR="00B5231E" w:rsidRPr="005177F3" w:rsidRDefault="00B5231E" w:rsidP="00C024F9"/>
    <w:p w14:paraId="7527DA04" w14:textId="006FDBFF" w:rsidR="002C664A" w:rsidRDefault="002C664A" w:rsidP="002C664A">
      <w:pPr>
        <w:pStyle w:val="Heading4"/>
      </w:pPr>
      <w:r>
        <w:t>[</w:t>
      </w:r>
      <w:r w:rsidR="00604870">
        <w:t>7</w:t>
      </w:r>
      <w:r>
        <w:t xml:space="preserve">] The role of the ballot is to vote affirmative if the </w:t>
      </w:r>
      <w:r w:rsidRPr="00B06FC8">
        <w:rPr>
          <w:i/>
        </w:rPr>
        <w:t>judgment</w:t>
      </w:r>
      <w:r>
        <w:t xml:space="preserve"> expressed by the resolution is true, vote neg if the judgement is false. </w:t>
      </w:r>
    </w:p>
    <w:p w14:paraId="14E3C404" w14:textId="77777777" w:rsidR="002C664A" w:rsidRDefault="002C664A" w:rsidP="002C664A">
      <w:pPr>
        <w:pStyle w:val="Heading4"/>
      </w:pPr>
      <w:r>
        <w:t xml:space="preserve">The resolution should be viewed as a judgment, not a proposition. Judgments are ideas cognitively held in the mind of real subjects, propositions are linguistic artifacts that act as placeholders in computational processes. </w:t>
      </w:r>
    </w:p>
    <w:p w14:paraId="00E38AF9" w14:textId="77777777" w:rsidR="002C664A" w:rsidRDefault="002C664A" w:rsidP="002C664A">
      <w:pPr>
        <w:pStyle w:val="Heading4"/>
      </w:pPr>
      <w:r>
        <w:t xml:space="preserve">Prefer: </w:t>
      </w:r>
    </w:p>
    <w:p w14:paraId="34572ACE" w14:textId="77777777" w:rsidR="002C664A" w:rsidRDefault="002C664A" w:rsidP="002C664A">
      <w:pPr>
        <w:pStyle w:val="Heading4"/>
      </w:pPr>
      <w:r>
        <w:t xml:space="preserve">[a] Inescapable: the judge is a thinking subject and not a computer – so long as the judge evaluates any claim on the flow they are committed to coming to judgments about those claims and about the round as a whole. Even if the resolution is used as a proposition in these claims, that is only as a heuristic to making judgments. </w:t>
      </w:r>
    </w:p>
    <w:p w14:paraId="0F11EB18" w14:textId="77777777" w:rsidR="002C664A" w:rsidRDefault="002C664A" w:rsidP="002C664A">
      <w:pPr>
        <w:pStyle w:val="Heading4"/>
      </w:pPr>
      <w:r>
        <w:t xml:space="preserve">[b] Co-opts the predictability benefits of truth-testing without the harms of blippy NIBs and a prioris. </w:t>
      </w:r>
    </w:p>
    <w:p w14:paraId="3D74B6EC" w14:textId="77777777" w:rsidR="002C664A" w:rsidRPr="009A63E1" w:rsidRDefault="002C664A" w:rsidP="002C664A">
      <w:pPr>
        <w:pStyle w:val="Heading4"/>
      </w:pPr>
      <w:r>
        <w:t xml:space="preserve">[c] Meaning is determined inferentially – you only know what the resolution means by understanding what it would mean to justify it as a true statement. Meaning is not determined by net benefits to interpretations but by the norms that govern how justification works. If I say there is no butter in the fridge, you know what I mean because you understand what is required for me to assert that there is no butter and what it would mean to negate my claim. </w:t>
      </w:r>
    </w:p>
    <w:p w14:paraId="419A4A99" w14:textId="77777777" w:rsidR="002C664A" w:rsidRDefault="002C664A" w:rsidP="002C664A">
      <w:pPr>
        <w:pStyle w:val="Heading4"/>
      </w:pPr>
      <w:r>
        <w:t>Implications:</w:t>
      </w:r>
    </w:p>
    <w:p w14:paraId="572C9D0F" w14:textId="77777777" w:rsidR="002C664A" w:rsidRDefault="002C664A" w:rsidP="002C664A">
      <w:pPr>
        <w:pStyle w:val="Heading4"/>
      </w:pPr>
      <w:r>
        <w:t xml:space="preserve">[a] Judgment-testing is different than generic truth-testing – linguistic NIBs and a prioris are not relevant offense under it while normatively relevant contention-level offense is. </w:t>
      </w:r>
    </w:p>
    <w:p w14:paraId="65921B3E" w14:textId="77777777" w:rsidR="002C664A" w:rsidRDefault="002C664A" w:rsidP="002C664A">
      <w:pPr>
        <w:pStyle w:val="Heading4"/>
      </w:pPr>
      <w:r>
        <w:t xml:space="preserve">[b] Process and agent CPs don’t negate – so long as an agent determines that an alternative is not likely to occur, they can make the moral judgment that action is good. E.g. it could be good for the federal government to do gun control because it isn’t likely the 50 states will, even if that is ideally better. </w:t>
      </w:r>
    </w:p>
    <w:p w14:paraId="312C0EB6" w14:textId="77777777" w:rsidR="002C664A" w:rsidRDefault="002C664A" w:rsidP="002C664A">
      <w:pPr>
        <w:pStyle w:val="Heading4"/>
      </w:pPr>
      <w:r>
        <w:t xml:space="preserve">[c] Epistemic confidence on framework – the inferences required to determine the resolution are deductively arrived at through a process of determining what it means for an act to be morally good. That means that framework claims should be viewed as preclusive impact filters because they are syllogistically related to contentions as mechanisms of making them relevant. Absence the truth of a framework, relevance cannot be established. Computers may be able to make mathematical judgments using epistemic modesty, but thinking subjects cannot. </w:t>
      </w:r>
    </w:p>
    <w:p w14:paraId="7068879F" w14:textId="77777777" w:rsidR="002C664A" w:rsidRPr="00B55AD5" w:rsidRDefault="002C664A" w:rsidP="00B55AD5"/>
    <w:sectPr w:rsidR="002C664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24F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664A"/>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487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231E"/>
    <w:rsid w:val="00B55AD5"/>
    <w:rsid w:val="00B8057C"/>
    <w:rsid w:val="00BD6238"/>
    <w:rsid w:val="00BF593B"/>
    <w:rsid w:val="00BF773A"/>
    <w:rsid w:val="00BF7E81"/>
    <w:rsid w:val="00C024F9"/>
    <w:rsid w:val="00C13773"/>
    <w:rsid w:val="00C17CC8"/>
    <w:rsid w:val="00C357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1D7D1"/>
  <w15:chartTrackingRefBased/>
  <w15:docId w15:val="{A729F7B0-C02E-47D6-9DA8-5B3F79019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24F9"/>
    <w:rPr>
      <w:rFonts w:ascii="Calibri" w:hAnsi="Calibri"/>
    </w:rPr>
  </w:style>
  <w:style w:type="paragraph" w:styleId="Heading1">
    <w:name w:val="heading 1"/>
    <w:aliases w:val="Pocket"/>
    <w:basedOn w:val="Normal"/>
    <w:next w:val="Normal"/>
    <w:link w:val="Heading1Char"/>
    <w:qFormat/>
    <w:rsid w:val="00C024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24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24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C024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24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4F9"/>
  </w:style>
  <w:style w:type="character" w:customStyle="1" w:styleId="Heading1Char">
    <w:name w:val="Heading 1 Char"/>
    <w:aliases w:val="Pocket Char"/>
    <w:basedOn w:val="DefaultParagraphFont"/>
    <w:link w:val="Heading1"/>
    <w:rsid w:val="00C024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24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24F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024F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C024F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24F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C024F9"/>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C024F9"/>
    <w:rPr>
      <w:color w:val="auto"/>
      <w:u w:val="none"/>
    </w:rPr>
  </w:style>
  <w:style w:type="character" w:styleId="FollowedHyperlink">
    <w:name w:val="FollowedHyperlink"/>
    <w:basedOn w:val="DefaultParagraphFont"/>
    <w:uiPriority w:val="99"/>
    <w:semiHidden/>
    <w:unhideWhenUsed/>
    <w:rsid w:val="00C024F9"/>
    <w:rPr>
      <w:color w:val="auto"/>
      <w:u w:val="none"/>
    </w:rPr>
  </w:style>
  <w:style w:type="paragraph" w:styleId="NormalWeb">
    <w:name w:val="Normal (Web)"/>
    <w:basedOn w:val="Normal"/>
    <w:uiPriority w:val="99"/>
    <w:unhideWhenUsed/>
    <w:rsid w:val="00C024F9"/>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C024F9"/>
    <w:pPr>
      <w:widowControl w:val="0"/>
      <w:ind w:left="720"/>
      <w:jc w:val="both"/>
    </w:pPr>
    <w:rPr>
      <w:b/>
      <w:iCs/>
      <w:u w:val="single"/>
    </w:rPr>
  </w:style>
  <w:style w:type="character" w:customStyle="1" w:styleId="LinedDown">
    <w:name w:val="Lined Down"/>
    <w:qFormat/>
    <w:rsid w:val="00B5231E"/>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3" Type="http://schemas.openxmlformats.org/officeDocument/2006/relationships/styles" Target="styles.xm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9.html" TargetMode="Externa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7498</Words>
  <Characters>42741</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2021-10-16T18:19:00Z</dcterms:created>
  <dcterms:modified xsi:type="dcterms:W3CDTF">2021-10-16T18:38:00Z</dcterms:modified>
</cp:coreProperties>
</file>