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BF069" w14:textId="218942C6" w:rsidR="00E42E4C" w:rsidRDefault="005E5E8E" w:rsidP="0091197D">
      <w:pPr>
        <w:pStyle w:val="Heading2"/>
      </w:pPr>
      <w:r>
        <w:t>1</w:t>
      </w:r>
    </w:p>
    <w:p w14:paraId="70E6FB82" w14:textId="77B0B37F" w:rsidR="0091197D" w:rsidRPr="008E52E1" w:rsidRDefault="0091197D" w:rsidP="0091197D">
      <w:pPr>
        <w:pStyle w:val="Heading4"/>
      </w:pPr>
      <w:r>
        <w:t xml:space="preserve">Interpretation: Debaters must not </w:t>
      </w:r>
      <w:r>
        <w:t>end cards</w:t>
      </w:r>
      <w:r>
        <w:t xml:space="preserve"> in the middle of a paragraph.</w:t>
      </w:r>
    </w:p>
    <w:p w14:paraId="366F16D2" w14:textId="7E6154C9" w:rsidR="0091197D" w:rsidRDefault="0091197D" w:rsidP="0091197D">
      <w:pPr>
        <w:pStyle w:val="Heading4"/>
      </w:pPr>
      <w:r>
        <w:t>Violation –</w:t>
      </w:r>
      <w:r>
        <w:t xml:space="preserve">the highlighted part is what they left </w:t>
      </w:r>
      <w:proofErr w:type="gramStart"/>
      <w:r>
        <w:t xml:space="preserve">out </w:t>
      </w:r>
      <w:r>
        <w:t xml:space="preserve"> –</w:t>
      </w:r>
      <w:proofErr w:type="gramEnd"/>
      <w:r>
        <w:t xml:space="preserve"> </w:t>
      </w:r>
    </w:p>
    <w:p w14:paraId="76FE95BB" w14:textId="2C5C4749" w:rsidR="0091197D" w:rsidRPr="0091197D" w:rsidRDefault="0091197D" w:rsidP="0091197D">
      <w:r w:rsidRPr="0091197D">
        <w:drawing>
          <wp:inline distT="0" distB="0" distL="0" distR="0" wp14:anchorId="6B2794FB" wp14:editId="688B5CBD">
            <wp:extent cx="5384800" cy="4038600"/>
            <wp:effectExtent l="0" t="0" r="0" b="0"/>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pic:nvPicPr>
                  <pic:blipFill>
                    <a:blip r:embed="rId9"/>
                    <a:stretch>
                      <a:fillRect/>
                    </a:stretch>
                  </pic:blipFill>
                  <pic:spPr>
                    <a:xfrm>
                      <a:off x="0" y="0"/>
                      <a:ext cx="5384800" cy="4038600"/>
                    </a:xfrm>
                    <a:prstGeom prst="rect">
                      <a:avLst/>
                    </a:prstGeom>
                  </pic:spPr>
                </pic:pic>
              </a:graphicData>
            </a:graphic>
          </wp:inline>
        </w:drawing>
      </w:r>
    </w:p>
    <w:p w14:paraId="0CDE2F26" w14:textId="23AC3FED" w:rsidR="0091197D" w:rsidRDefault="0091197D" w:rsidP="0091197D">
      <w:r>
        <w:rPr>
          <w:noProof/>
        </w:rPr>
        <w:drawing>
          <wp:inline distT="0" distB="0" distL="0" distR="0" wp14:anchorId="1C85CCD9" wp14:editId="409DBE6E">
            <wp:extent cx="4978663" cy="3365500"/>
            <wp:effectExtent l="0" t="0" r="0" b="0"/>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a:blip r:embed="rId10"/>
                    <a:stretch>
                      <a:fillRect/>
                    </a:stretch>
                  </pic:blipFill>
                  <pic:spPr>
                    <a:xfrm>
                      <a:off x="0" y="0"/>
                      <a:ext cx="4989962" cy="3373138"/>
                    </a:xfrm>
                    <a:prstGeom prst="rect">
                      <a:avLst/>
                    </a:prstGeom>
                  </pic:spPr>
                </pic:pic>
              </a:graphicData>
            </a:graphic>
          </wp:inline>
        </w:drawing>
      </w:r>
    </w:p>
    <w:p w14:paraId="6227C5F8" w14:textId="6F740514" w:rsidR="0091197D" w:rsidRDefault="0091197D" w:rsidP="0091197D">
      <w:pPr>
        <w:pStyle w:val="Heading4"/>
        <w:rPr>
          <w:rFonts w:cs="Calibri"/>
        </w:rPr>
      </w:pPr>
      <w:r w:rsidRPr="00832ECA">
        <w:rPr>
          <w:rFonts w:cs="Calibri"/>
        </w:rPr>
        <w:t xml:space="preserve">Standard is academic ethics – </w:t>
      </w:r>
      <w:r>
        <w:rPr>
          <w:rFonts w:cs="Calibri"/>
        </w:rPr>
        <w:t>ending</w:t>
      </w:r>
      <w:r w:rsidRPr="00832ECA">
        <w:rPr>
          <w:rFonts w:cs="Calibri"/>
        </w:rPr>
        <w:t xml:space="preserve"> the card in the middle of a paragraph is a voter –– misrepresents authors intent because paragraphs are how authors delineate arguments. Also allows debaters to manipulate evidence and strategically leave out what contradicts with their arguments – putting rest of the uncut paragraph in the doc solves all your offense unless your intent was to cheat which is even worse. Academic ethics is a voter and ow a) what we gain from debate means nothing if we’re academically dishonest and have no cred, b) the purpose of debate is to prepare debaters for the real world, and academic dishonesty is punished </w:t>
      </w:r>
      <w:proofErr w:type="spellStart"/>
      <w:r w:rsidRPr="00832ECA">
        <w:rPr>
          <w:rFonts w:cs="Calibri"/>
        </w:rPr>
        <w:t>irl</w:t>
      </w:r>
      <w:proofErr w:type="spellEnd"/>
      <w:r>
        <w:rPr>
          <w:rFonts w:cs="Calibri"/>
        </w:rPr>
        <w:t xml:space="preserve"> c) if they’re willing to be </w:t>
      </w:r>
      <w:proofErr w:type="gramStart"/>
      <w:r>
        <w:rPr>
          <w:rFonts w:cs="Calibri"/>
        </w:rPr>
        <w:t>manipulate</w:t>
      </w:r>
      <w:proofErr w:type="gramEnd"/>
      <w:r>
        <w:rPr>
          <w:rFonts w:cs="Calibri"/>
        </w:rPr>
        <w:t xml:space="preserve"> their evidence, be epistemically suspect of all of it d) turns case – its virtuous for you to concede after reading bad evidence</w:t>
      </w:r>
    </w:p>
    <w:p w14:paraId="2AE2B06F" w14:textId="77777777" w:rsidR="0091197D" w:rsidRPr="008E52E1" w:rsidRDefault="0091197D" w:rsidP="0091197D"/>
    <w:p w14:paraId="55975708" w14:textId="77777777" w:rsidR="0091197D" w:rsidRDefault="0091197D" w:rsidP="0091197D">
      <w:pPr>
        <w:pStyle w:val="Heading4"/>
      </w:pPr>
      <w:r>
        <w:t xml:space="preserve">No RVI’s on </w:t>
      </w:r>
      <w:proofErr w:type="spellStart"/>
      <w:r>
        <w:t>ev</w:t>
      </w:r>
      <w:proofErr w:type="spellEnd"/>
      <w:r>
        <w:t xml:space="preserve"> ethics violations – you don’t win for proving that you were academically honest and that’s ridiculous. Saying “we meet” checks abuse. RVI’s bad, they deter from checking actual abuse and justify 100 </w:t>
      </w:r>
      <w:proofErr w:type="spellStart"/>
      <w:r>
        <w:t>apriori</w:t>
      </w:r>
      <w:proofErr w:type="spellEnd"/>
      <w:r>
        <w:t xml:space="preserve"> non inherent </w:t>
      </w:r>
      <w:proofErr w:type="spellStart"/>
      <w:r>
        <w:t>affs</w:t>
      </w:r>
      <w:proofErr w:type="spellEnd"/>
      <w:r>
        <w:t xml:space="preserve">. </w:t>
      </w:r>
    </w:p>
    <w:p w14:paraId="29F2BD67" w14:textId="77777777" w:rsidR="0091197D" w:rsidRPr="008E52E1" w:rsidRDefault="0091197D" w:rsidP="0091197D"/>
    <w:p w14:paraId="6058D6AF" w14:textId="1C6C29A2" w:rsidR="0091197D" w:rsidRDefault="0091197D" w:rsidP="0091197D">
      <w:pPr>
        <w:pStyle w:val="Heading4"/>
      </w:pPr>
      <w:r>
        <w:t>Drop the debater: it’s</w:t>
      </w:r>
      <w:r w:rsidRPr="00D32FD2">
        <w:t xml:space="preserve"> academic misconduct that should disqualify any other argument they make from counting</w:t>
      </w:r>
      <w:r>
        <w:t>. Doing good on a test doesn’t matter if you cheated. That’s a side constraint on their fairness offense so even if they win a spike the shell outweighs.</w:t>
      </w:r>
    </w:p>
    <w:p w14:paraId="37A461E0" w14:textId="77777777" w:rsidR="00F33312" w:rsidRDefault="00F33312" w:rsidP="00F33312">
      <w:pPr>
        <w:pStyle w:val="Heading4"/>
      </w:pPr>
      <w:r>
        <w:t>T</w:t>
      </w:r>
      <w:r w:rsidRPr="00D32FD2">
        <w:t>he 1AR will make appeals to reasonability or intention</w:t>
      </w:r>
      <w:r>
        <w:t xml:space="preserve"> – </w:t>
      </w:r>
      <w:r w:rsidRPr="00D32FD2">
        <w:t xml:space="preserve">reject </w:t>
      </w:r>
      <w:r>
        <w:t>them:</w:t>
      </w:r>
    </w:p>
    <w:p w14:paraId="384BB21B" w14:textId="77777777" w:rsidR="00F33312" w:rsidRDefault="00F33312" w:rsidP="00F33312">
      <w:pPr>
        <w:pStyle w:val="Heading4"/>
      </w:pPr>
      <w:r w:rsidRPr="00D32FD2">
        <w:t>1</w:t>
      </w:r>
      <w:r>
        <w:t>]</w:t>
      </w:r>
      <w:r w:rsidRPr="00D32FD2">
        <w:t xml:space="preserve"> </w:t>
      </w:r>
      <w:r>
        <w:t>All our violations prove</w:t>
      </w:r>
      <w:r w:rsidRPr="00D32FD2">
        <w:t xml:space="preserve"> the </w:t>
      </w:r>
      <w:proofErr w:type="spellStart"/>
      <w:r w:rsidRPr="00D32FD2">
        <w:t>aff</w:t>
      </w:r>
      <w:proofErr w:type="spellEnd"/>
      <w:r w:rsidRPr="00D32FD2">
        <w:t xml:space="preserve"> is unreasonable and you should not believe any of their appeal</w:t>
      </w:r>
      <w:r>
        <w:t>s.</w:t>
      </w:r>
    </w:p>
    <w:p w14:paraId="4AFC8695" w14:textId="77777777" w:rsidR="00F33312" w:rsidRDefault="00F33312" w:rsidP="00F33312">
      <w:pPr>
        <w:pStyle w:val="Heading4"/>
      </w:pPr>
      <w:r w:rsidRPr="00D32FD2">
        <w:t>2</w:t>
      </w:r>
      <w:r>
        <w:t xml:space="preserve">] </w:t>
      </w:r>
      <w:r w:rsidRPr="00D32FD2">
        <w:t>Intent is irrelevant</w:t>
      </w:r>
      <w:r>
        <w:t xml:space="preserve"> –</w:t>
      </w:r>
      <w:r w:rsidRPr="00D32FD2">
        <w:t xml:space="preserve"> we should be held accountable for the consequences of our actions</w:t>
      </w:r>
      <w:r>
        <w:t xml:space="preserve">. If they didn’t cut </w:t>
      </w:r>
      <w:proofErr w:type="gramStart"/>
      <w:r>
        <w:t>it</w:t>
      </w:r>
      <w:proofErr w:type="gramEnd"/>
      <w:r>
        <w:t xml:space="preserve"> it’s </w:t>
      </w:r>
      <w:r>
        <w:rPr>
          <w:u w:val="single"/>
        </w:rPr>
        <w:t>more egregious</w:t>
      </w:r>
      <w:r>
        <w:t xml:space="preserve"> – they stole miscut cards from someone and clearly didn’t bother to check.</w:t>
      </w:r>
    </w:p>
    <w:p w14:paraId="54C3D4A0" w14:textId="77777777" w:rsidR="00F33312" w:rsidRDefault="00F33312" w:rsidP="00F33312">
      <w:pPr>
        <w:pStyle w:val="Heading4"/>
      </w:pPr>
      <w:r>
        <w:t>3]</w:t>
      </w:r>
      <w:r w:rsidRPr="00D32FD2">
        <w:t xml:space="preserve"> It makes reading </w:t>
      </w:r>
      <w:r>
        <w:t xml:space="preserve">unethical </w:t>
      </w:r>
      <w:proofErr w:type="spellStart"/>
      <w:r>
        <w:t>ev</w:t>
      </w:r>
      <w:proofErr w:type="spellEnd"/>
      <w:r w:rsidRPr="00D32FD2">
        <w:t xml:space="preserve"> </w:t>
      </w:r>
      <w:r>
        <w:t>no cost – i</w:t>
      </w:r>
      <w:r w:rsidRPr="00D32FD2">
        <w:t xml:space="preserve">f they’re caught, they can go for other things, if they’re not </w:t>
      </w:r>
      <w:proofErr w:type="gramStart"/>
      <w:r w:rsidRPr="00D32FD2">
        <w:t>caught</w:t>
      </w:r>
      <w:proofErr w:type="gramEnd"/>
      <w:r w:rsidRPr="00D32FD2">
        <w:t xml:space="preserve"> they get to win on no cost </w:t>
      </w:r>
      <w:proofErr w:type="spellStart"/>
      <w:r w:rsidRPr="00D32FD2">
        <w:t>ev</w:t>
      </w:r>
      <w:proofErr w:type="spellEnd"/>
    </w:p>
    <w:p w14:paraId="77C0D770" w14:textId="77777777" w:rsidR="00F33312" w:rsidRDefault="00F33312" w:rsidP="00F33312">
      <w:pPr>
        <w:pStyle w:val="Heading4"/>
      </w:pPr>
      <w:r>
        <w:t>4]</w:t>
      </w:r>
      <w:r w:rsidRPr="00D32FD2">
        <w:t xml:space="preserve"> Reject the team for deterrence</w:t>
      </w:r>
      <w:r>
        <w:t xml:space="preserve"> –</w:t>
      </w:r>
      <w:r w:rsidRPr="00D32FD2">
        <w:t xml:space="preserve"> letting them win encourages the practice</w:t>
      </w:r>
    </w:p>
    <w:p w14:paraId="3C15D14F" w14:textId="77777777" w:rsidR="00F33312" w:rsidRPr="008E52E1" w:rsidRDefault="00F33312" w:rsidP="00F33312">
      <w:pPr>
        <w:pStyle w:val="Heading4"/>
      </w:pPr>
      <w:r>
        <w:t xml:space="preserve">5] Competing </w:t>
      </w:r>
      <w:proofErr w:type="spellStart"/>
      <w:r>
        <w:t>interps</w:t>
      </w:r>
      <w:proofErr w:type="spellEnd"/>
      <w:r>
        <w:t xml:space="preserve"> – reasonability’s arbitrary and collapses to an offense defense paradigm</w:t>
      </w:r>
    </w:p>
    <w:p w14:paraId="2C0B93A6" w14:textId="77777777" w:rsidR="00F33312" w:rsidRPr="00922C83" w:rsidRDefault="00F33312" w:rsidP="00F33312">
      <w:pPr>
        <w:pStyle w:val="Heading4"/>
      </w:pPr>
      <w:r>
        <w:t xml:space="preserve">6] </w:t>
      </w:r>
      <w:proofErr w:type="gramStart"/>
      <w:r>
        <w:t>Yes</w:t>
      </w:r>
      <w:proofErr w:type="gramEnd"/>
      <w:r>
        <w:t xml:space="preserve"> it’s against tournament procedures which outweighs on jurisdiction:</w:t>
      </w:r>
    </w:p>
    <w:p w14:paraId="532C19E0" w14:textId="77777777" w:rsidR="00F33312" w:rsidRDefault="00F33312" w:rsidP="00F33312">
      <w:pPr>
        <w:pStyle w:val="Heading4"/>
      </w:pPr>
      <w:r>
        <w:t>Valley:</w:t>
      </w:r>
    </w:p>
    <w:p w14:paraId="5DE986A8" w14:textId="77777777" w:rsidR="00F33312" w:rsidRPr="00922C83" w:rsidRDefault="00F33312" w:rsidP="00F33312">
      <w:pPr>
        <w:pStyle w:val="Heading4"/>
      </w:pPr>
      <w:r>
        <w:t>They use NSDA rules:</w:t>
      </w:r>
    </w:p>
    <w:p w14:paraId="62DFC487" w14:textId="77777777" w:rsidR="00F33312" w:rsidRDefault="00F33312" w:rsidP="00F33312">
      <w:r>
        <w:rPr>
          <w:noProof/>
        </w:rPr>
        <w:drawing>
          <wp:inline distT="0" distB="0" distL="0" distR="0" wp14:anchorId="595BAAC5" wp14:editId="2CB32C32">
            <wp:extent cx="5943600" cy="2305050"/>
            <wp:effectExtent l="0" t="0" r="0" b="6350"/>
            <wp:docPr id="27" name="Picture 2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 email&#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305050"/>
                    </a:xfrm>
                    <a:prstGeom prst="rect">
                      <a:avLst/>
                    </a:prstGeom>
                  </pic:spPr>
                </pic:pic>
              </a:graphicData>
            </a:graphic>
          </wp:inline>
        </w:drawing>
      </w:r>
    </w:p>
    <w:p w14:paraId="3D8365A8" w14:textId="77777777" w:rsidR="00F33312" w:rsidRDefault="00F33312" w:rsidP="00F33312">
      <w:pPr>
        <w:pStyle w:val="Heading4"/>
      </w:pPr>
      <w:r>
        <w:t xml:space="preserve">NSDA says </w:t>
      </w:r>
      <w:proofErr w:type="spellStart"/>
      <w:r>
        <w:t>its</w:t>
      </w:r>
      <w:proofErr w:type="spellEnd"/>
      <w:r>
        <w:t xml:space="preserve"> against the rules and you should stop the round.</w:t>
      </w:r>
    </w:p>
    <w:p w14:paraId="74DFA61C" w14:textId="77777777" w:rsidR="00F33312" w:rsidRDefault="00F33312" w:rsidP="00F33312">
      <w:r>
        <w:rPr>
          <w:noProof/>
        </w:rPr>
        <w:drawing>
          <wp:inline distT="0" distB="0" distL="0" distR="0" wp14:anchorId="70B351D4" wp14:editId="2A571FCA">
            <wp:extent cx="5943600" cy="2764790"/>
            <wp:effectExtent l="0" t="0" r="0" b="3810"/>
            <wp:docPr id="26" name="Picture 2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ext&#10;&#10;Description automatically generated with medium confidence"/>
                    <pic:cNvPicPr/>
                  </pic:nvPicPr>
                  <pic:blipFill>
                    <a:blip r:embed="rId12">
                      <a:extLst>
                        <a:ext uri="{28A0092B-C50C-407E-A947-70E740481C1C}">
                          <a14:useLocalDpi xmlns:a14="http://schemas.microsoft.com/office/drawing/2010/main" val="0"/>
                        </a:ext>
                      </a:extLst>
                    </a:blip>
                    <a:stretch>
                      <a:fillRect/>
                    </a:stretch>
                  </pic:blipFill>
                  <pic:spPr>
                    <a:xfrm>
                      <a:off x="0" y="0"/>
                      <a:ext cx="5943600" cy="2764790"/>
                    </a:xfrm>
                    <a:prstGeom prst="rect">
                      <a:avLst/>
                    </a:prstGeom>
                  </pic:spPr>
                </pic:pic>
              </a:graphicData>
            </a:graphic>
          </wp:inline>
        </w:drawing>
      </w:r>
    </w:p>
    <w:p w14:paraId="42F47655" w14:textId="77777777" w:rsidR="00F33312" w:rsidRDefault="00F33312" w:rsidP="00F33312">
      <w:pPr>
        <w:pStyle w:val="Heading4"/>
      </w:pPr>
      <w:r>
        <w:t xml:space="preserve">NSDA link if you want to verify– </w:t>
      </w:r>
    </w:p>
    <w:p w14:paraId="376C85F4" w14:textId="77777777" w:rsidR="00F33312" w:rsidRDefault="00F33312" w:rsidP="00F33312">
      <w:r>
        <w:t xml:space="preserve">[Again dependent – go here to find -- </w:t>
      </w:r>
      <w:hyperlink r:id="rId13" w:history="1">
        <w:r w:rsidRPr="003B071F">
          <w:rPr>
            <w:rStyle w:val="Hyperlink"/>
          </w:rPr>
          <w:t>https://www.speechanddebate.org/wp-content/uploads/Debate-Evidence-Guide.pdf</w:t>
        </w:r>
      </w:hyperlink>
      <w:r>
        <w:t xml:space="preserve">] </w:t>
      </w:r>
    </w:p>
    <w:p w14:paraId="746C4AC8" w14:textId="77777777" w:rsidR="00597E81" w:rsidRPr="00597E81" w:rsidRDefault="00597E81" w:rsidP="00597E81"/>
    <w:p w14:paraId="7518D4BD" w14:textId="1AAB1FBB" w:rsidR="005E5E8E" w:rsidRDefault="005E5E8E" w:rsidP="005E5E8E">
      <w:pPr>
        <w:pStyle w:val="Heading2"/>
      </w:pPr>
      <w:r>
        <w:t>2</w:t>
      </w:r>
    </w:p>
    <w:p w14:paraId="0C9CDCCD" w14:textId="77777777" w:rsidR="005E5E8E" w:rsidRDefault="005E5E8E" w:rsidP="005E5E8E">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78CF5446" w14:textId="77777777" w:rsidR="005E5E8E" w:rsidRPr="003D334B" w:rsidRDefault="005E5E8E" w:rsidP="005E5E8E">
      <w:pPr>
        <w:pStyle w:val="Heading4"/>
        <w:rPr>
          <w:rFonts w:cs="Calibri"/>
        </w:rPr>
      </w:pPr>
      <w:r>
        <w:t xml:space="preserve">1] No intent foresight distinction for states –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4E0FD49" w14:textId="77777777" w:rsidR="005E5E8E" w:rsidRPr="00152744" w:rsidRDefault="005E5E8E" w:rsidP="005E5E8E">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0661BD1A" w14:textId="77777777" w:rsidR="005E5E8E" w:rsidRDefault="005E5E8E" w:rsidP="005E5E8E">
      <w:pPr>
        <w:rPr>
          <w:rStyle w:val="StyleUnderlin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picture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6EA05147" w14:textId="77777777" w:rsidR="005E5E8E" w:rsidRPr="00F931CF" w:rsidRDefault="005E5E8E" w:rsidP="005E5E8E"/>
    <w:p w14:paraId="175B11E6" w14:textId="77777777" w:rsidR="005E5E8E" w:rsidRPr="00D13E5B" w:rsidRDefault="005E5E8E" w:rsidP="005E5E8E"/>
    <w:p w14:paraId="1BCA56D6" w14:textId="77777777" w:rsidR="005E5E8E" w:rsidRDefault="005E5E8E" w:rsidP="005E5E8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C71FEA6" w14:textId="77777777" w:rsidR="005E5E8E" w:rsidRDefault="005E5E8E" w:rsidP="005E5E8E">
      <w:pPr>
        <w:pStyle w:val="Heading4"/>
      </w:pPr>
      <w:r>
        <w:t>3]</w:t>
      </w:r>
      <w:r>
        <w:rPr>
          <w:rFonts w:cs="Calibri"/>
        </w:rPr>
        <w:t xml:space="preserve"> </w:t>
      </w:r>
      <w:r>
        <w:t>Extinction outweighs</w:t>
      </w:r>
    </w:p>
    <w:p w14:paraId="7C42F4E7" w14:textId="77777777" w:rsidR="005E5E8E" w:rsidRPr="00166CFF" w:rsidRDefault="005E5E8E" w:rsidP="005E5E8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FBA3083" w14:textId="77777777" w:rsidR="005E5E8E" w:rsidRPr="00947060" w:rsidRDefault="005E5E8E" w:rsidP="005E5E8E">
      <w:pPr>
        <w:rPr>
          <w:sz w:val="14"/>
        </w:rPr>
      </w:pPr>
      <w:r w:rsidRPr="00166CFF">
        <w:rPr>
          <w:rStyle w:val="TitleChar"/>
        </w:rPr>
        <w:t xml:space="preserve">The human race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rPr>
        <w:t>thing.For</w:t>
      </w:r>
      <w:proofErr w:type="spellEnd"/>
      <w:proofErr w:type="gram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the human race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as long as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let the human race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14E3EF54" w14:textId="77777777" w:rsidR="005E5E8E" w:rsidRPr="007A107A" w:rsidRDefault="005E5E8E" w:rsidP="005E5E8E">
      <w:pPr>
        <w:pStyle w:val="Heading4"/>
        <w:rPr>
          <w:rFonts w:asciiTheme="majorHAnsi" w:hAnsiTheme="majorHAnsi" w:cstheme="majorHAnsi"/>
        </w:rPr>
      </w:pPr>
      <w:r>
        <w:rPr>
          <w:rFonts w:asciiTheme="majorHAnsi" w:hAnsiTheme="majorHAnsi" w:cstheme="majorHAnsi"/>
        </w:rPr>
        <w:t>4</w:t>
      </w:r>
      <w:r w:rsidRPr="007A107A">
        <w:rPr>
          <w:rFonts w:asciiTheme="majorHAnsi" w:hAnsiTheme="majorHAnsi" w:cstheme="majorHAnsi"/>
        </w:rPr>
        <w:t>] Reject calc indicts</w:t>
      </w:r>
      <w:r>
        <w:rPr>
          <w:rFonts w:asciiTheme="majorHAnsi" w:hAnsiTheme="majorHAnsi" w:cstheme="majorHAnsi"/>
        </w:rPr>
        <w:t>:</w:t>
      </w:r>
    </w:p>
    <w:p w14:paraId="076125E9" w14:textId="77777777" w:rsidR="005E5E8E" w:rsidRPr="007A107A" w:rsidRDefault="005E5E8E" w:rsidP="005E5E8E">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34F81E8E" w14:textId="77777777" w:rsidR="005E5E8E" w:rsidRDefault="005E5E8E" w:rsidP="005E5E8E">
      <w:pPr>
        <w:pStyle w:val="Heading4"/>
        <w:rPr>
          <w:rFonts w:asciiTheme="majorHAnsi" w:hAnsiTheme="majorHAnsi" w:cstheme="majorHAnsi"/>
        </w:rPr>
      </w:pPr>
      <w:r w:rsidRPr="007A107A">
        <w:rPr>
          <w:rFonts w:asciiTheme="majorHAnsi" w:hAnsiTheme="majorHAnsi" w:cstheme="majorHAnsi"/>
        </w:rPr>
        <w:t xml:space="preserve">B] Theory—they’re functionally NIBs that everyone knows are silly but skew the </w:t>
      </w:r>
      <w:proofErr w:type="spellStart"/>
      <w:r w:rsidRPr="007A107A">
        <w:rPr>
          <w:rFonts w:asciiTheme="majorHAnsi" w:hAnsiTheme="majorHAnsi" w:cstheme="majorHAnsi"/>
        </w:rPr>
        <w:t>aff</w:t>
      </w:r>
      <w:proofErr w:type="spellEnd"/>
      <w:r w:rsidRPr="007A107A">
        <w:rPr>
          <w:rFonts w:asciiTheme="majorHAnsi" w:hAnsiTheme="majorHAnsi" w:cstheme="majorHAnsi"/>
        </w:rPr>
        <w:t xml:space="preserve"> and move the debate away from the topic and actual philosophical debate, killing valuable education</w:t>
      </w:r>
    </w:p>
    <w:p w14:paraId="2DB90F4B" w14:textId="77777777" w:rsidR="005E5E8E" w:rsidRPr="003113CD" w:rsidRDefault="005E5E8E" w:rsidP="005E5E8E">
      <w:pPr>
        <w:pStyle w:val="Heading4"/>
        <w:rPr>
          <w:rFonts w:asciiTheme="majorHAnsi" w:hAnsiTheme="majorHAnsi" w:cstheme="majorHAnsi"/>
        </w:rPr>
      </w:pPr>
      <w:r>
        <w:rPr>
          <w:rFonts w:asciiTheme="majorHAnsi" w:hAnsiTheme="majorHAnsi" w:cstheme="majorHAnsi"/>
        </w:rPr>
        <w:t>5] U</w:t>
      </w:r>
      <w:r w:rsidRPr="00976E44">
        <w:rPr>
          <w:rFonts w:cs="Calibri"/>
        </w:rPr>
        <w:t xml:space="preserve">til is key to </w:t>
      </w:r>
      <w:r w:rsidRPr="00976E44">
        <w:rPr>
          <w:rFonts w:cs="Calibri"/>
          <w:u w:val="single"/>
        </w:rPr>
        <w:t>debates about IP</w:t>
      </w:r>
      <w:r w:rsidRPr="00976E44">
        <w:rPr>
          <w:rFonts w:cs="Calibri"/>
        </w:rPr>
        <w:t>.</w:t>
      </w:r>
    </w:p>
    <w:p w14:paraId="2F8C84B1" w14:textId="77777777" w:rsidR="005E5E8E" w:rsidRPr="00976E44" w:rsidRDefault="005E5E8E" w:rsidP="005E5E8E">
      <w:r w:rsidRPr="00976E44">
        <w:rPr>
          <w:rStyle w:val="Style13ptBold"/>
        </w:rPr>
        <w:t>Kar 19</w:t>
      </w:r>
      <w:r w:rsidRPr="00976E44">
        <w:t xml:space="preserve"> [Mohit; Writer at the Original Position; “Utilitarianism in the Context of Intellectual Property,” The Original Position; 9/18/19; </w:t>
      </w:r>
      <w:hyperlink r:id="rId14" w:history="1">
        <w:r w:rsidRPr="00976E44">
          <w:rPr>
            <w:rStyle w:val="Hyperlink"/>
          </w:rPr>
          <w:t>https://originalpositionnluj.wordpress.com/2019/09/18/utilitarianism-in-the-context-of-intellectual-property/</w:t>
        </w:r>
      </w:hyperlink>
      <w:r w:rsidRPr="00976E44">
        <w:t>] Justin</w:t>
      </w:r>
    </w:p>
    <w:p w14:paraId="3CCB48FA" w14:textId="77777777" w:rsidR="005E5E8E" w:rsidRPr="00976E44" w:rsidRDefault="005E5E8E" w:rsidP="005E5E8E">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5DBB6E05" w14:textId="77777777" w:rsidR="005E5E8E" w:rsidRPr="00976E44" w:rsidRDefault="005E5E8E" w:rsidP="005E5E8E">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7A788F6D" w14:textId="77777777" w:rsidR="005E5E8E" w:rsidRPr="00976E44" w:rsidRDefault="005E5E8E" w:rsidP="005E5E8E">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7E235216" w14:textId="77777777" w:rsidR="005E5E8E" w:rsidRPr="00976E44" w:rsidRDefault="005E5E8E" w:rsidP="005E5E8E">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2C11222F" w14:textId="77777777" w:rsidR="005E5E8E" w:rsidRPr="00976E44" w:rsidRDefault="005E5E8E" w:rsidP="005E5E8E">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and giving 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976E44">
        <w:rPr>
          <w:sz w:val="16"/>
        </w:rPr>
        <w:t>activity.[</w:t>
      </w:r>
      <w:proofErr w:type="gramEnd"/>
      <w:r w:rsidRPr="00976E44">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28593938" w14:textId="77777777" w:rsidR="005E5E8E" w:rsidRPr="00976E44" w:rsidRDefault="005E5E8E" w:rsidP="005E5E8E">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01F4F283" w14:textId="77777777" w:rsidR="005E5E8E" w:rsidRPr="00976E44" w:rsidRDefault="005E5E8E" w:rsidP="005E5E8E">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2D0844E9" w14:textId="77777777" w:rsidR="005E5E8E" w:rsidRPr="00976E44" w:rsidRDefault="005E5E8E" w:rsidP="005E5E8E">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314876C4" w14:textId="77777777" w:rsidR="005E5E8E" w:rsidRPr="00976E44" w:rsidRDefault="005E5E8E" w:rsidP="005E5E8E">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4400F8B2" w14:textId="77777777" w:rsidR="005E5E8E" w:rsidRPr="00976E44" w:rsidRDefault="005E5E8E" w:rsidP="005E5E8E">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7451A70B" w14:textId="77777777" w:rsidR="005E5E8E" w:rsidRPr="00976E44" w:rsidRDefault="005E5E8E" w:rsidP="005E5E8E">
      <w:pPr>
        <w:rPr>
          <w:sz w:val="16"/>
        </w:rPr>
      </w:pPr>
      <w:r w:rsidRPr="00976E44">
        <w:rPr>
          <w:sz w:val="16"/>
        </w:rPr>
        <w:t>CONCLUSION</w:t>
      </w:r>
    </w:p>
    <w:p w14:paraId="7B823DCA" w14:textId="77777777" w:rsidR="005E5E8E" w:rsidRPr="00976E44" w:rsidRDefault="005E5E8E" w:rsidP="005E5E8E">
      <w:r w:rsidRPr="00976E44">
        <w:rPr>
          <w:highlight w:val="green"/>
          <w:u w:val="single"/>
        </w:rPr>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E8964B2" w14:textId="77777777" w:rsidR="005E5E8E" w:rsidRPr="00976E44" w:rsidRDefault="005E5E8E" w:rsidP="005E5E8E">
      <w:pPr>
        <w:pStyle w:val="Heading4"/>
        <w:rPr>
          <w:rFonts w:cs="Calibri"/>
          <w:color w:val="000000" w:themeColor="text1"/>
        </w:rPr>
      </w:pPr>
      <w:r w:rsidRPr="00976E44">
        <w:rPr>
          <w:rFonts w:cs="Calibri"/>
          <w:color w:val="000000" w:themeColor="text1"/>
        </w:rPr>
        <w:t xml:space="preserve">Outweighs – </w:t>
      </w:r>
    </w:p>
    <w:p w14:paraId="07E8D350" w14:textId="77777777" w:rsidR="005E5E8E" w:rsidRPr="00976E44" w:rsidRDefault="005E5E8E" w:rsidP="005E5E8E">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09FF64F4" w14:textId="77777777" w:rsidR="005E5E8E" w:rsidRPr="00976E44" w:rsidRDefault="005E5E8E" w:rsidP="005E5E8E">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31ED1AFB" w14:textId="77777777" w:rsidR="005E5E8E" w:rsidRPr="005E5E8E" w:rsidRDefault="005E5E8E" w:rsidP="005E5E8E"/>
    <w:p w14:paraId="364D89B0" w14:textId="5BE07C10" w:rsidR="005E5E8E" w:rsidRDefault="005E5E8E" w:rsidP="005E5E8E">
      <w:pPr>
        <w:pStyle w:val="Heading2"/>
      </w:pPr>
      <w:r>
        <w:t>3</w:t>
      </w:r>
    </w:p>
    <w:p w14:paraId="5916104B" w14:textId="77777777" w:rsidR="005E5E8E" w:rsidRPr="00725693" w:rsidRDefault="005E5E8E" w:rsidP="005E5E8E">
      <w:pPr>
        <w:pStyle w:val="Heading4"/>
        <w:rPr>
          <w:bCs w:val="0"/>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t xml:space="preserve">. </w:t>
      </w:r>
    </w:p>
    <w:p w14:paraId="3E7BE37D" w14:textId="72D315BB" w:rsidR="005E5E8E" w:rsidRPr="00123940" w:rsidRDefault="005E5E8E" w:rsidP="005E5E8E">
      <w:r>
        <w:t xml:space="preserve">Offense under their </w:t>
      </w:r>
      <w:proofErr w:type="spellStart"/>
      <w:r>
        <w:t>fw</w:t>
      </w:r>
      <w:proofErr w:type="spellEnd"/>
      <w:r>
        <w:t>: fosters pursuit of knowledge and friendliness through diplomacy</w:t>
      </w:r>
    </w:p>
    <w:p w14:paraId="31D30EDF" w14:textId="77777777" w:rsidR="005E5E8E" w:rsidRPr="00725693" w:rsidRDefault="005E5E8E" w:rsidP="005E5E8E">
      <w:pPr>
        <w:pStyle w:val="Heading4"/>
        <w:rPr>
          <w:bCs w:val="0"/>
        </w:rPr>
      </w:pPr>
      <w:r>
        <w:t xml:space="preserve">They have the jurisdiction to rule over intellectual property and </w:t>
      </w:r>
      <w:r w:rsidRPr="009A5E26">
        <w:rPr>
          <w:u w:val="single"/>
        </w:rPr>
        <w:t>secure science diplomacy</w:t>
      </w:r>
      <w:r>
        <w:rPr>
          <w:u w:val="single"/>
        </w:rPr>
        <w:t>.</w:t>
      </w:r>
    </w:p>
    <w:p w14:paraId="08EE6066" w14:textId="77777777" w:rsidR="005E5E8E" w:rsidRDefault="005E5E8E" w:rsidP="005E5E8E">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5" w:history="1">
        <w:r>
          <w:rPr>
            <w:rStyle w:val="Hyperlink"/>
          </w:rPr>
          <w:t>https://americandiplomacy.web.unc.edu/2018/09/leveraging-diplomacy-for-managing-scientific-challenges-an-opportunity-to-navigate-the-future-of-science/</w:t>
        </w:r>
      </w:hyperlink>
      <w:r>
        <w:t>] Justin</w:t>
      </w:r>
    </w:p>
    <w:p w14:paraId="3BF4E54C" w14:textId="77777777" w:rsidR="005E5E8E" w:rsidRDefault="005E5E8E" w:rsidP="005E5E8E">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3D0D6FF3" w14:textId="77777777" w:rsidR="005E5E8E" w:rsidRDefault="005E5E8E" w:rsidP="005E5E8E">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478C80DD" w14:textId="77777777" w:rsidR="005E5E8E" w:rsidRDefault="005E5E8E" w:rsidP="005E5E8E">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743871FA" w14:textId="77777777" w:rsidR="005E5E8E" w:rsidRDefault="005E5E8E" w:rsidP="005E5E8E">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34797FE7" w14:textId="77777777" w:rsidR="005E5E8E" w:rsidRDefault="005E5E8E" w:rsidP="005E5E8E">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342C92F7" w14:textId="77777777" w:rsidR="005E5E8E" w:rsidRDefault="005E5E8E" w:rsidP="005E5E8E">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D0EE39A" w14:textId="77777777" w:rsidR="005E5E8E" w:rsidRDefault="005E5E8E" w:rsidP="005E5E8E">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2F3E4491" w14:textId="77777777" w:rsidR="005E5E8E" w:rsidRDefault="005E5E8E" w:rsidP="005E5E8E">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02D93C4E" w14:textId="77777777" w:rsidR="005E5E8E" w:rsidRDefault="005E5E8E" w:rsidP="005E5E8E">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2EB36B4" w14:textId="77777777" w:rsidR="005E5E8E" w:rsidRPr="009A5E26" w:rsidRDefault="005E5E8E" w:rsidP="005E5E8E">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49E8456" w14:textId="77777777" w:rsidR="005E5E8E" w:rsidRPr="00725693" w:rsidRDefault="005E5E8E" w:rsidP="005E5E8E">
      <w:pPr>
        <w:pStyle w:val="Heading4"/>
        <w:rPr>
          <w:bCs w:val="0"/>
        </w:rPr>
      </w:pPr>
      <w:r w:rsidRPr="00725693">
        <w:t xml:space="preserve">Solves every </w:t>
      </w:r>
      <w:r w:rsidRPr="00725693">
        <w:rPr>
          <w:u w:val="single"/>
        </w:rPr>
        <w:t>existential threat</w:t>
      </w:r>
      <w:r w:rsidRPr="00725693">
        <w:t>.</w:t>
      </w:r>
    </w:p>
    <w:p w14:paraId="0047CC22" w14:textId="77777777" w:rsidR="005E5E8E" w:rsidRDefault="005E5E8E" w:rsidP="005E5E8E">
      <w:r>
        <w:rPr>
          <w:rStyle w:val="Style13ptBold"/>
        </w:rPr>
        <w:t>Haynes 18</w:t>
      </w:r>
      <w:r>
        <w:t xml:space="preserve">—research associate in the Neurobiology Department at Harvard Medical School (Trevor, “Science Diplomacy: Collaboration in a rapidly changing world,” </w:t>
      </w:r>
      <w:hyperlink r:id="rId16" w:history="1">
        <w:r>
          <w:rPr>
            <w:rStyle w:val="Hyperlink"/>
          </w:rPr>
          <w:t>http://sitn.hms.harvard.edu/flash/2018/science-diplomacy-collaboration-rapidly-changing-world/</w:t>
        </w:r>
      </w:hyperlink>
      <w:r>
        <w:t xml:space="preserve">, </w:t>
      </w:r>
      <w:proofErr w:type="spellStart"/>
      <w:r>
        <w:t>dml</w:t>
      </w:r>
      <w:proofErr w:type="spellEnd"/>
      <w:r>
        <w:t>) // Re-Cut Justin</w:t>
      </w:r>
    </w:p>
    <w:p w14:paraId="5D6EF59D" w14:textId="77777777" w:rsidR="005E5E8E" w:rsidRDefault="005E5E8E" w:rsidP="005E5E8E">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04D169E6" w14:textId="77777777" w:rsidR="005E5E8E" w:rsidRDefault="005E5E8E" w:rsidP="005E5E8E">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70D84098" w14:textId="77777777" w:rsidR="005E5E8E" w:rsidRDefault="005E5E8E" w:rsidP="005E5E8E">
      <w:pPr>
        <w:rPr>
          <w:sz w:val="16"/>
        </w:rPr>
      </w:pPr>
      <w:r>
        <w:rPr>
          <w:sz w:val="16"/>
        </w:rPr>
        <w:t>What is science diplomacy?</w:t>
      </w:r>
    </w:p>
    <w:p w14:paraId="3332EF38" w14:textId="77777777" w:rsidR="005E5E8E" w:rsidRDefault="005E5E8E" w:rsidP="005E5E8E">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441015AE" w14:textId="77777777" w:rsidR="005E5E8E" w:rsidRDefault="005E5E8E" w:rsidP="005E5E8E">
      <w:pPr>
        <w:rPr>
          <w:sz w:val="16"/>
        </w:rPr>
      </w:pPr>
      <w:r>
        <w:rPr>
          <w:sz w:val="16"/>
        </w:rPr>
        <w:t>Natural disasters don’t respect national boundaries (and neither does the aftermath)</w:t>
      </w:r>
    </w:p>
    <w:p w14:paraId="381C81FD" w14:textId="77777777" w:rsidR="005E5E8E" w:rsidRDefault="005E5E8E" w:rsidP="005E5E8E">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38B38F37" w14:textId="77777777" w:rsidR="005E5E8E" w:rsidRDefault="005E5E8E" w:rsidP="005E5E8E">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B8A15AF" w14:textId="77777777" w:rsidR="005E5E8E" w:rsidRDefault="005E5E8E" w:rsidP="005E5E8E">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5B6EB935" w14:textId="77777777" w:rsidR="005E5E8E" w:rsidRDefault="005E5E8E" w:rsidP="005E5E8E">
      <w:pPr>
        <w:rPr>
          <w:sz w:val="16"/>
        </w:rPr>
      </w:pPr>
      <w:r>
        <w:rPr>
          <w:sz w:val="16"/>
        </w:rPr>
        <w:t>Explore or Exploit? Managing international spaces</w:t>
      </w:r>
    </w:p>
    <w:p w14:paraId="41C40FE7" w14:textId="77777777" w:rsidR="005E5E8E" w:rsidRDefault="005E5E8E" w:rsidP="005E5E8E">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19A2EF1B" w14:textId="77777777" w:rsidR="005E5E8E" w:rsidRDefault="005E5E8E" w:rsidP="005E5E8E">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1ABB9EA6" w14:textId="77777777" w:rsidR="005E5E8E" w:rsidRDefault="005E5E8E" w:rsidP="005E5E8E">
      <w:pPr>
        <w:rPr>
          <w:sz w:val="16"/>
        </w:rPr>
      </w:pPr>
      <w:r>
        <w:rPr>
          <w:sz w:val="16"/>
        </w:rPr>
        <w:t>Science diplomacy going forward</w:t>
      </w:r>
    </w:p>
    <w:p w14:paraId="2AC216DB" w14:textId="77777777" w:rsidR="005E5E8E" w:rsidRDefault="005E5E8E" w:rsidP="005E5E8E">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 xml:space="preserve">machine </w:t>
      </w:r>
      <w:proofErr w:type="gramStart"/>
      <w:r>
        <w:rPr>
          <w:rStyle w:val="Emphasis"/>
        </w:rPr>
        <w:t>learning</w:t>
      </w:r>
      <w:proofErr w:type="gramEnd"/>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72F38D26" w14:textId="77777777" w:rsidR="005E5E8E" w:rsidRDefault="005E5E8E" w:rsidP="005E5E8E">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047AD07D" w14:textId="77777777" w:rsidR="005E5E8E" w:rsidRDefault="005E5E8E" w:rsidP="005E5E8E">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769CEB40" w14:textId="77777777" w:rsidR="005E5E8E" w:rsidRDefault="005E5E8E" w:rsidP="005E5E8E">
      <w:pPr>
        <w:rPr>
          <w:sz w:val="16"/>
        </w:rPr>
      </w:pPr>
    </w:p>
    <w:p w14:paraId="4E046BDF" w14:textId="77777777" w:rsidR="005E5E8E" w:rsidRPr="005E5E8E" w:rsidRDefault="005E5E8E" w:rsidP="005E5E8E"/>
    <w:p w14:paraId="60BE7FD5" w14:textId="67A7E35B" w:rsidR="005E5E8E" w:rsidRDefault="005E5E8E" w:rsidP="005E5E8E">
      <w:pPr>
        <w:pStyle w:val="Heading2"/>
      </w:pPr>
      <w:r>
        <w:t>4</w:t>
      </w:r>
    </w:p>
    <w:p w14:paraId="17D78B1D" w14:textId="77777777" w:rsidR="005E5E8E" w:rsidRDefault="005E5E8E" w:rsidP="005E5E8E">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43009115" w14:textId="77777777" w:rsidR="005E5E8E" w:rsidRDefault="005E5E8E" w:rsidP="005E5E8E">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T</w:t>
      </w:r>
      <w:r w:rsidRPr="00E1331E">
        <w:rPr>
          <w:rFonts w:eastAsia="Times New Roman"/>
          <w:color w:val="000000" w:themeColor="text1"/>
          <w:shd w:val="clear" w:color="auto" w:fill="FFFFFF"/>
          <w:lang w:eastAsia="zh-CN"/>
        </w:rPr>
        <w:t xml:space="preserve">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07CA994A" w14:textId="77777777" w:rsidR="005E5E8E" w:rsidRPr="00527524" w:rsidRDefault="005E5E8E" w:rsidP="005E5E8E">
      <w:pPr>
        <w:rPr>
          <w:lang w:eastAsia="zh-CN"/>
        </w:rPr>
      </w:pPr>
    </w:p>
    <w:p w14:paraId="02676A61" w14:textId="77777777" w:rsidR="005E5E8E" w:rsidRDefault="005E5E8E" w:rsidP="005E5E8E">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5468AB15" w14:textId="77777777" w:rsidR="005E5E8E" w:rsidRPr="00A257D8" w:rsidRDefault="005E5E8E" w:rsidP="005E5E8E">
      <w:pPr>
        <w:pStyle w:val="Heading4"/>
      </w:pPr>
      <w:r>
        <w:t>1.</w:t>
      </w:r>
      <w:r w:rsidRPr="00A257D8">
        <w:t xml:space="preserve"> Text – Oxford Dictionary defines ought as “</w:t>
      </w:r>
      <w:r w:rsidRPr="009B0022">
        <w:rPr>
          <w:u w:val="single"/>
        </w:rPr>
        <w:t>used to indicate something that is probable</w:t>
      </w:r>
      <w:r w:rsidRPr="00A257D8">
        <w:t>.”</w:t>
      </w:r>
    </w:p>
    <w:p w14:paraId="4E78260A" w14:textId="77777777" w:rsidR="005E5E8E" w:rsidRPr="00187ED2" w:rsidRDefault="005E5E8E" w:rsidP="005E5E8E">
      <w:pPr>
        <w:rPr>
          <w:sz w:val="16"/>
          <w:szCs w:val="16"/>
        </w:rPr>
      </w:pPr>
      <w:hyperlink r:id="rId17" w:history="1">
        <w:r w:rsidRPr="00FE7871">
          <w:rPr>
            <w:rStyle w:val="Hyperlink"/>
            <w:sz w:val="16"/>
            <w:szCs w:val="16"/>
          </w:rPr>
          <w:t>https://en.oxforddictionaries.com/definition/ought //</w:t>
        </w:r>
      </w:hyperlink>
      <w:r>
        <w:rPr>
          <w:sz w:val="16"/>
          <w:szCs w:val="16"/>
        </w:rPr>
        <w:t>Massa</w:t>
      </w:r>
    </w:p>
    <w:p w14:paraId="72581D34" w14:textId="77777777" w:rsidR="005E5E8E" w:rsidRPr="00A257D8" w:rsidRDefault="005E5E8E" w:rsidP="005E5E8E">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39655059" w14:textId="77777777" w:rsidR="005E5E8E" w:rsidRPr="00187ED2" w:rsidRDefault="005E5E8E" w:rsidP="005E5E8E">
      <w:pPr>
        <w:rPr>
          <w:sz w:val="16"/>
          <w:szCs w:val="16"/>
        </w:rPr>
      </w:pPr>
      <w:r w:rsidRPr="00187ED2">
        <w:rPr>
          <w:sz w:val="16"/>
          <w:szCs w:val="16"/>
        </w:rPr>
        <w:t>(</w:t>
      </w:r>
      <w:hyperlink r:id="rId18"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2ECA0967" w14:textId="7CFD9A6B" w:rsidR="005E5E8E" w:rsidRDefault="005E5E8E" w:rsidP="005E5E8E">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p>
    <w:p w14:paraId="07B939F7" w14:textId="77777777" w:rsidR="005E5E8E" w:rsidRDefault="005E5E8E" w:rsidP="005E5E8E">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67F1781E" w14:textId="77777777" w:rsidR="005E5E8E" w:rsidRPr="00F51E64" w:rsidRDefault="005E5E8E" w:rsidP="005E5E8E">
      <w:pPr>
        <w:pStyle w:val="Heading4"/>
      </w:pPr>
      <w:r>
        <w:t>Negate:</w:t>
      </w:r>
    </w:p>
    <w:p w14:paraId="359A0A5D" w14:textId="77777777" w:rsidR="005E5E8E" w:rsidRDefault="005E5E8E" w:rsidP="005E5E8E">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718C681A" w14:textId="77777777" w:rsidR="005E5E8E" w:rsidRPr="00EE1529" w:rsidRDefault="005E5E8E" w:rsidP="005E5E8E">
      <w:pPr>
        <w:pStyle w:val="Heading4"/>
        <w:rPr>
          <w:rFonts w:cstheme="majorHAnsi"/>
        </w:rPr>
      </w:pPr>
      <w:r w:rsidRPr="00941301">
        <w:rPr>
          <w:rFonts w:cstheme="majorHAnsi"/>
        </w:rPr>
        <w:t>[</w:t>
      </w:r>
      <w:r>
        <w:rPr>
          <w:rFonts w:cstheme="majorHAnsi"/>
        </w:rPr>
        <w:t>2</w:t>
      </w:r>
      <w:r w:rsidRPr="00941301">
        <w:rPr>
          <w:rFonts w:cstheme="majorHAnsi"/>
        </w:rPr>
        <w:t>]</w:t>
      </w:r>
      <w:r w:rsidRPr="00941301">
        <w:rPr>
          <w:rFonts w:cstheme="majorHAnsi"/>
          <w:lang w:eastAsia="zh-CN"/>
        </w:rPr>
        <w:t xml:space="preserve"> In order to say I want to fix x problem, you must say that you want x problem to exist, since it requires the problem exist to solve, which makes any moral attempt inherently immoral</w:t>
      </w:r>
      <w:r w:rsidRPr="00941301">
        <w:rPr>
          <w:rFonts w:cstheme="majorHAnsi"/>
        </w:rPr>
        <w:t>.</w:t>
      </w:r>
    </w:p>
    <w:p w14:paraId="328290E0" w14:textId="77777777" w:rsidR="005E5E8E" w:rsidRDefault="005E5E8E" w:rsidP="005E5E8E">
      <w:pPr>
        <w:pStyle w:val="Heading4"/>
        <w:rPr>
          <w:rFonts w:cstheme="majorHAnsi"/>
        </w:rPr>
      </w:pPr>
      <w:r>
        <w:rPr>
          <w:rFonts w:cstheme="majorHAnsi"/>
        </w:rPr>
        <w:t>[3] member means “a body part or organ” (Marriam Webster) but a nation cannot have bodily organs so the resolutions incoherent</w:t>
      </w:r>
    </w:p>
    <w:p w14:paraId="55FCBCB6" w14:textId="77777777" w:rsidR="005E5E8E" w:rsidRDefault="005E5E8E" w:rsidP="005E5E8E">
      <w:pPr>
        <w:pStyle w:val="Heading4"/>
      </w:pPr>
      <w:r>
        <w:t>[4]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2819FADA" w14:textId="77777777" w:rsidR="005E5E8E" w:rsidRPr="005E5E8E" w:rsidRDefault="005E5E8E" w:rsidP="005E5E8E"/>
    <w:p w14:paraId="4EE705B7" w14:textId="77777777" w:rsidR="005E5E8E" w:rsidRPr="005E5E8E" w:rsidRDefault="005E5E8E" w:rsidP="005E5E8E"/>
    <w:sectPr w:rsidR="005E5E8E" w:rsidRPr="005E5E8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5E8E"/>
    <w:rsid w:val="000029E3"/>
    <w:rsid w:val="000029E8"/>
    <w:rsid w:val="00004225"/>
    <w:rsid w:val="000066CA"/>
    <w:rsid w:val="00007264"/>
    <w:rsid w:val="000076A9"/>
    <w:rsid w:val="00014FAD"/>
    <w:rsid w:val="00015D2A"/>
    <w:rsid w:val="00020553"/>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75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E81"/>
    <w:rsid w:val="005A4D4E"/>
    <w:rsid w:val="005A7237"/>
    <w:rsid w:val="005B21FA"/>
    <w:rsid w:val="005B3244"/>
    <w:rsid w:val="005B6EE8"/>
    <w:rsid w:val="005B7731"/>
    <w:rsid w:val="005C4515"/>
    <w:rsid w:val="005C5602"/>
    <w:rsid w:val="005C74A6"/>
    <w:rsid w:val="005D3B4D"/>
    <w:rsid w:val="005D615C"/>
    <w:rsid w:val="005E1860"/>
    <w:rsid w:val="005E5E8E"/>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97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312"/>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C88DD9"/>
  <w14:defaultImageDpi w14:val="300"/>
  <w15:docId w15:val="{B7CE0AF9-7028-A848-95A5-A25ABDE3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5E8E"/>
    <w:pPr>
      <w:spacing w:after="160" w:line="259" w:lineRule="auto"/>
    </w:pPr>
  </w:style>
  <w:style w:type="paragraph" w:styleId="Heading1">
    <w:name w:val="heading 1"/>
    <w:aliases w:val="Pocket"/>
    <w:basedOn w:val="Normal"/>
    <w:next w:val="Normal"/>
    <w:link w:val="Heading1Char"/>
    <w:uiPriority w:val="9"/>
    <w:qFormat/>
    <w:rsid w:val="005E5E8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5E8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5E8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E5E8E"/>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5E5E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E8E"/>
  </w:style>
  <w:style w:type="character" w:customStyle="1" w:styleId="Heading1Char">
    <w:name w:val="Heading 1 Char"/>
    <w:aliases w:val="Pocket Char"/>
    <w:basedOn w:val="DefaultParagraphFont"/>
    <w:link w:val="Heading1"/>
    <w:uiPriority w:val="9"/>
    <w:rsid w:val="005E5E8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5E5E8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5E5E8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E5E8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5E8E"/>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5E5E8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5E5E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5E8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5E5E8E"/>
    <w:rPr>
      <w:color w:val="auto"/>
      <w:u w:val="none"/>
    </w:rPr>
  </w:style>
  <w:style w:type="paragraph" w:styleId="DocumentMap">
    <w:name w:val="Document Map"/>
    <w:basedOn w:val="Normal"/>
    <w:link w:val="DocumentMapChar"/>
    <w:uiPriority w:val="99"/>
    <w:semiHidden/>
    <w:unhideWhenUsed/>
    <w:rsid w:val="005E5E8E"/>
    <w:rPr>
      <w:rFonts w:ascii="Lucida Grande" w:hAnsi="Lucida Grande" w:cs="Lucida Grande"/>
    </w:rPr>
  </w:style>
  <w:style w:type="character" w:customStyle="1" w:styleId="DocumentMapChar">
    <w:name w:val="Document Map Char"/>
    <w:basedOn w:val="DefaultParagraphFont"/>
    <w:link w:val="DocumentMap"/>
    <w:uiPriority w:val="99"/>
    <w:semiHidden/>
    <w:rsid w:val="005E5E8E"/>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uiPriority w:val="99"/>
    <w:qFormat/>
    <w:rsid w:val="005E5E8E"/>
    <w:pPr>
      <w:keepNext w:val="0"/>
      <w:keepLines w:val="0"/>
      <w:outlineLvl w:val="9"/>
    </w:pPr>
    <w:rPr>
      <w:rFonts w:eastAsiaTheme="minorEastAsia" w:cs="Calibri (Headings)"/>
      <w:b w:val="0"/>
      <w:bCs w:val="0"/>
      <w:sz w:val="22"/>
      <w:szCs w:val="22"/>
    </w:rPr>
  </w:style>
  <w:style w:type="paragraph" w:customStyle="1" w:styleId="textbold">
    <w:name w:val="text bold"/>
    <w:basedOn w:val="Normal"/>
    <w:link w:val="Emphasis"/>
    <w:uiPriority w:val="20"/>
    <w:qFormat/>
    <w:rsid w:val="005E5E8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basedOn w:val="DefaultParagraphFont"/>
    <w:link w:val="Title"/>
    <w:uiPriority w:val="1"/>
    <w:qFormat/>
    <w:rsid w:val="005E5E8E"/>
    <w:rPr>
      <w:u w:val="single"/>
    </w:rPr>
  </w:style>
  <w:style w:type="paragraph" w:styleId="Title">
    <w:name w:val="Title"/>
    <w:basedOn w:val="Normal"/>
    <w:link w:val="TitleChar"/>
    <w:uiPriority w:val="1"/>
    <w:qFormat/>
    <w:rsid w:val="005E5E8E"/>
    <w:pPr>
      <w:spacing w:before="240" w:after="60"/>
      <w:ind w:left="432" w:right="432"/>
      <w:jc w:val="center"/>
      <w:outlineLvl w:val="0"/>
    </w:pPr>
    <w:rPr>
      <w:u w:val="single"/>
    </w:rPr>
  </w:style>
  <w:style w:type="character" w:customStyle="1" w:styleId="TitleChar1">
    <w:name w:val="Title Char1"/>
    <w:basedOn w:val="DefaultParagraphFont"/>
    <w:uiPriority w:val="10"/>
    <w:rsid w:val="005E5E8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eechanddebate.org/wp-content/uploads/Debate-Evidence-Guide.pdf" TargetMode="External"/><Relationship Id="rId18" Type="http://schemas.openxmlformats.org/officeDocument/2006/relationships/hyperlink" Target="http://www.merriam-webster.com/dictionary/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en.oxforddictionaries.com/definition/ought%20//" TargetMode="External"/><Relationship Id="rId2" Type="http://schemas.openxmlformats.org/officeDocument/2006/relationships/customXml" Target="../customXml/item2.xml"/><Relationship Id="rId16" Type="http://schemas.openxmlformats.org/officeDocument/2006/relationships/hyperlink" Target="http://sitn.hms.harvard.edu/flash/2018/science-diplomacy-collaboration-rapidly-changing-worl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americandiplomacy.web.unc.edu/2018/09/leveraging-diplomacy-for-managing-scientific-challenges-an-opportunity-to-navigate-the-future-of-science/"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originalpositionnluj.wordpress.com/2019/09/18/utilitarianism-in-the-context-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6957</Words>
  <Characters>39656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2021-09-26T17:04:00Z</dcterms:created>
  <dcterms:modified xsi:type="dcterms:W3CDTF">2021-09-26T18:58:00Z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