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170B2" w14:textId="483CFE24" w:rsidR="004333BD" w:rsidRPr="00475E9A" w:rsidRDefault="004333BD" w:rsidP="004333BD">
      <w:pPr>
        <w:pStyle w:val="Heading2"/>
      </w:pPr>
      <w:r>
        <w:t>1</w:t>
      </w:r>
    </w:p>
    <w:p w14:paraId="730D12FC" w14:textId="77777777" w:rsidR="004333BD" w:rsidRPr="003D5952" w:rsidRDefault="004333BD" w:rsidP="004333BD">
      <w:pPr>
        <w:pStyle w:val="Heading4"/>
        <w:rPr>
          <w:rFonts w:eastAsia="MS Gothic"/>
        </w:rPr>
      </w:pPr>
      <w:proofErr w:type="spellStart"/>
      <w:r>
        <w:rPr>
          <w:rFonts w:eastAsia="MS Gothic"/>
        </w:rPr>
        <w:t>Interpetation</w:t>
      </w:r>
      <w:proofErr w:type="spellEnd"/>
      <w:r>
        <w:rPr>
          <w:rFonts w:eastAsia="MS Gothic"/>
        </w:rPr>
        <w:t xml:space="preserve">: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579E41D6" w14:textId="77777777" w:rsidR="004333BD" w:rsidRPr="003D5952" w:rsidRDefault="004333BD" w:rsidP="004333BD">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6D5084FB" w14:textId="77777777" w:rsidR="004333BD" w:rsidRPr="003D5952" w:rsidRDefault="004333BD" w:rsidP="004333BD">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450A9402" w14:textId="77777777" w:rsidR="004333BD" w:rsidRPr="003D5952" w:rsidRDefault="004333BD" w:rsidP="004333BD">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41DCF043" w14:textId="77777777" w:rsidR="004333BD" w:rsidRDefault="004333BD" w:rsidP="004333BD">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53FA0485" w14:textId="77777777" w:rsidR="004333BD" w:rsidRPr="00311F58" w:rsidRDefault="004333BD" w:rsidP="004333BD">
      <w:pPr>
        <w:pStyle w:val="Heading4"/>
        <w:rPr>
          <w:rFonts w:cs="Calibri"/>
          <w:b w:val="0"/>
          <w:iCs/>
          <w:sz w:val="22"/>
          <w:u w:val="single"/>
        </w:rPr>
      </w:pPr>
      <w:r>
        <w:t xml:space="preserve">Violation: </w:t>
      </w:r>
      <w:r>
        <w:rPr>
          <w:rFonts w:cs="Calibri"/>
        </w:rPr>
        <w:t>they preclude patent extensions</w:t>
      </w:r>
    </w:p>
    <w:p w14:paraId="398C356A" w14:textId="77777777" w:rsidR="004333BD" w:rsidRPr="00BA6C91" w:rsidRDefault="004333BD" w:rsidP="004333BD">
      <w:pPr>
        <w:pStyle w:val="Heading4"/>
      </w:pPr>
      <w:r w:rsidRPr="00BA6C91">
        <w:t xml:space="preserve">1] Limits and ground—they allow the </w:t>
      </w:r>
      <w:proofErr w:type="spellStart"/>
      <w:r w:rsidRPr="00BA6C91">
        <w:t>aff</w:t>
      </w:r>
      <w:proofErr w:type="spellEnd"/>
      <w:r w:rsidRPr="00BA6C91">
        <w:t xml:space="preserve"> to monopolize prep by precluding a future increase anytime from now allowing </w:t>
      </w:r>
      <w:proofErr w:type="spellStart"/>
      <w:r w:rsidRPr="00BA6C91">
        <w:t>affs</w:t>
      </w:r>
      <w:proofErr w:type="spellEnd"/>
      <w:r w:rsidRPr="00BA6C91">
        <w:t xml:space="preserve"> to no link from uniqueness scenarios, delay CPs, </w:t>
      </w:r>
      <w:proofErr w:type="spellStart"/>
      <w:r w:rsidRPr="00BA6C91">
        <w:t>etc</w:t>
      </w:r>
      <w:proofErr w:type="spellEnd"/>
      <w:r w:rsidRPr="00BA6C91">
        <w:t xml:space="preserve"> which kills </w:t>
      </w:r>
      <w:proofErr w:type="spellStart"/>
      <w:r w:rsidRPr="00BA6C91">
        <w:t>engageability</w:t>
      </w:r>
      <w:proofErr w:type="spellEnd"/>
      <w:r w:rsidRPr="00BA6C91">
        <w:t xml:space="preserve">—leads to unpredictable </w:t>
      </w:r>
      <w:proofErr w:type="spellStart"/>
      <w:r w:rsidRPr="00BA6C91">
        <w:t>affs</w:t>
      </w:r>
      <w:proofErr w:type="spellEnd"/>
      <w:r w:rsidRPr="00BA6C91">
        <w:t xml:space="preserve"> that skew the debate away from whether IP is good/bad to when a reduction should occur.</w:t>
      </w:r>
    </w:p>
    <w:p w14:paraId="7270161E" w14:textId="5985E5E8" w:rsidR="004333BD" w:rsidRPr="002F7767" w:rsidRDefault="000B7718" w:rsidP="004333BD">
      <w:pPr>
        <w:pStyle w:val="Heading4"/>
        <w:rPr>
          <w:rFonts w:cs="Calibri"/>
        </w:rPr>
      </w:pPr>
      <w:r>
        <w:rPr>
          <w:rFonts w:cs="Calibri"/>
        </w:rPr>
        <w:t>2</w:t>
      </w:r>
      <w:r w:rsidR="004333BD" w:rsidRPr="00FF172F">
        <w:rPr>
          <w:rFonts w:cs="Calibri"/>
        </w:rPr>
        <w:t>] TVA –</w:t>
      </w:r>
      <w:r w:rsidR="004333BD">
        <w:rPr>
          <w:rFonts w:cs="Calibri"/>
        </w:rPr>
        <w:t xml:space="preserve"> defend the advantage to a whole </w:t>
      </w:r>
      <w:proofErr w:type="spellStart"/>
      <w:r w:rsidR="004333BD">
        <w:rPr>
          <w:rFonts w:cs="Calibri"/>
        </w:rPr>
        <w:t>rez</w:t>
      </w:r>
      <w:proofErr w:type="spellEnd"/>
      <w:r w:rsidR="004333BD">
        <w:rPr>
          <w:rFonts w:cs="Calibri"/>
        </w:rPr>
        <w:t xml:space="preserve"> timeframe</w:t>
      </w:r>
      <w:r w:rsidR="004333BD" w:rsidRPr="00FF172F">
        <w:rPr>
          <w:rFonts w:cs="Calibri"/>
        </w:rPr>
        <w:t xml:space="preserve">. </w:t>
      </w:r>
      <w:r w:rsidR="004333BD" w:rsidRPr="006C434D">
        <w:rPr>
          <w:rFonts w:cs="Calibri"/>
        </w:rPr>
        <w:t xml:space="preserve">We don’t prevent new FWs, mechanisms, or advantages. </w:t>
      </w:r>
      <w:r w:rsidR="004333BD" w:rsidRPr="00FF172F">
        <w:rPr>
          <w:rFonts w:cs="Calibri"/>
        </w:rPr>
        <w:t xml:space="preserve">PICs don’t solve – </w:t>
      </w:r>
      <w:r w:rsidR="004333BD">
        <w:rPr>
          <w:rFonts w:cs="Calibri"/>
        </w:rPr>
        <w:t>our model allows you to specify countries and medicines.</w:t>
      </w:r>
      <w:r w:rsidR="004333BD" w:rsidRPr="000F0F15">
        <w:rPr>
          <w:rFonts w:cs="Calibri"/>
          <w:color w:val="000000" w:themeColor="text1"/>
        </w:rPr>
        <w:t xml:space="preserve"> </w:t>
      </w:r>
    </w:p>
    <w:p w14:paraId="510D7622" w14:textId="77777777" w:rsidR="004333BD" w:rsidRDefault="004333BD" w:rsidP="004333BD">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C79CC4C" w14:textId="77777777" w:rsidR="004333BD" w:rsidRDefault="004333BD" w:rsidP="004333BD">
      <w:pPr>
        <w:pStyle w:val="Heading4"/>
      </w:pPr>
      <w:r>
        <w:t xml:space="preserve">1NC theory is DTD – </w:t>
      </w:r>
      <w:r w:rsidRPr="007E6852">
        <w:t>a</w:t>
      </w:r>
      <w:r>
        <w:t xml:space="preserve">) T indicts the whole </w:t>
      </w:r>
      <w:proofErr w:type="spellStart"/>
      <w:r>
        <w:t>aff</w:t>
      </w:r>
      <w:proofErr w:type="spellEnd"/>
      <w:r>
        <w:t xml:space="preserve"> so DTA is DTD b) abuse is supercharged with the 7-6 </w:t>
      </w:r>
      <w:proofErr w:type="spellStart"/>
      <w:r>
        <w:t>rebutal</w:t>
      </w:r>
      <w:proofErr w:type="spellEnd"/>
      <w:r>
        <w:t xml:space="preserve"> time skew c) deters future abuse </w:t>
      </w:r>
    </w:p>
    <w:p w14:paraId="379F4033" w14:textId="77777777" w:rsidR="004333BD" w:rsidRDefault="004333BD" w:rsidP="004333BD">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36EAE07" w14:textId="77777777" w:rsidR="004333BD" w:rsidRDefault="004333BD" w:rsidP="004333BD">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c] </w:t>
      </w:r>
      <w:r w:rsidRPr="008C23A1">
        <w:t xml:space="preserve">Forcing the 1NC to go all in on the shell kills substance education and neg </w:t>
      </w:r>
      <w:proofErr w:type="spellStart"/>
      <w:r w:rsidRPr="008C23A1">
        <w:t>strat</w:t>
      </w:r>
      <w:proofErr w:type="spellEnd"/>
      <w:r w:rsidRPr="008C23A1">
        <w:t xml:space="preserve"> which outweighs on </w:t>
      </w:r>
      <w:r>
        <w:t xml:space="preserve">urgency </w:t>
      </w:r>
    </w:p>
    <w:p w14:paraId="78174A03" w14:textId="77777777" w:rsidR="004333BD" w:rsidRDefault="004333BD" w:rsidP="004333BD">
      <w:pPr>
        <w:pStyle w:val="Heading2"/>
      </w:pPr>
      <w:r>
        <w:t>2</w:t>
      </w:r>
    </w:p>
    <w:p w14:paraId="307F3E84" w14:textId="77777777" w:rsidR="004333BD" w:rsidRDefault="004333BD" w:rsidP="004333BD">
      <w:pPr>
        <w:pStyle w:val="Heading4"/>
      </w:pPr>
      <w:r>
        <w:t>Interpretation: The affirmative may not claim 1AR theory is legit, its DTD, CI, no RVIs, and the highest layer of the round</w:t>
      </w:r>
    </w:p>
    <w:p w14:paraId="1C8E174F" w14:textId="77777777" w:rsidR="004333BD" w:rsidRDefault="004333BD" w:rsidP="004333BD">
      <w:pPr>
        <w:pStyle w:val="Heading4"/>
      </w:pPr>
      <w:r>
        <w:t>Violation: UV</w:t>
      </w:r>
    </w:p>
    <w:p w14:paraId="122104DF" w14:textId="77777777" w:rsidR="004333BD" w:rsidRDefault="004333BD" w:rsidP="004333BD">
      <w:pPr>
        <w:pStyle w:val="Heading4"/>
      </w:pPr>
      <w:r w:rsidRPr="00BA6C91">
        <w:t>Infinite Abuse - their norm justifies the affirmative auto winning every round since they can read 500 risk free 1AR shell</w:t>
      </w:r>
      <w:r>
        <w:t xml:space="preserve">s </w:t>
      </w:r>
      <w:r w:rsidRPr="00BA6C91">
        <w:t xml:space="preserve">with DTD and </w:t>
      </w:r>
      <w:r>
        <w:t>c</w:t>
      </w:r>
      <w:r w:rsidRPr="00BA6C91">
        <w:t xml:space="preserve">ompeting </w:t>
      </w:r>
      <w:proofErr w:type="spellStart"/>
      <w:r w:rsidRPr="00BA6C91">
        <w:t>interps</w:t>
      </w:r>
      <w:proofErr w:type="spellEnd"/>
      <w:r w:rsidRPr="00BA6C91">
        <w:t xml:space="preserve"> making it impossible for </w:t>
      </w:r>
      <w:r>
        <w:t>me to deflate or answer all of them. I can’t uplayer</w:t>
      </w:r>
      <w:r w:rsidRPr="00BA6C91">
        <w:t xml:space="preserve"> </w:t>
      </w:r>
      <w:r>
        <w:t xml:space="preserve">because it’s the highest layer of the round. </w:t>
      </w:r>
      <w:r w:rsidRPr="00BA6C91">
        <w:t>Answering the argument doesn’t solve because you can read infinite of these paradigm issues in the 1ac making it impossible.</w:t>
      </w:r>
    </w:p>
    <w:p w14:paraId="17C4AA51" w14:textId="77777777" w:rsidR="004333BD" w:rsidRPr="00BA6C91" w:rsidRDefault="004333BD" w:rsidP="004333BD">
      <w:pPr>
        <w:pStyle w:val="Heading4"/>
      </w:pPr>
      <w:r>
        <w:t>Norming o/w: A] It’s the constitutive purpose of theory debating B] it’s a pre-requisite to actualizing any other voter like fairness or education</w:t>
      </w:r>
    </w:p>
    <w:p w14:paraId="6EC6ADF4" w14:textId="77777777" w:rsidR="004333BD" w:rsidRDefault="004333BD" w:rsidP="004333BD">
      <w:pPr>
        <w:pStyle w:val="Heading2"/>
      </w:pPr>
      <w:r>
        <w:t>3</w:t>
      </w:r>
    </w:p>
    <w:p w14:paraId="570C6340" w14:textId="77777777" w:rsidR="004333BD" w:rsidRDefault="004333BD" w:rsidP="004333BD">
      <w:pPr>
        <w:pStyle w:val="Heading4"/>
      </w:pPr>
      <w:r>
        <w:t xml:space="preserve">CP text: The member nations of the world trade organization should add more stringent requirements for filing secondary patents by requiring secondary patent filers to demonstrate increased efficacy as compared to the original.  Solves all your offense by reducing purely strategic patents while permitting R and D for genuine improvements.  </w:t>
      </w:r>
    </w:p>
    <w:p w14:paraId="11486099" w14:textId="77777777" w:rsidR="004333BD" w:rsidRDefault="004333BD" w:rsidP="004333BD">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20AE98F6" w14:textId="77777777" w:rsidR="004333BD" w:rsidRPr="00637114" w:rsidRDefault="004333BD" w:rsidP="004333BD">
      <w:pPr>
        <w:rPr>
          <w:sz w:val="16"/>
        </w:rPr>
      </w:pPr>
      <w:r w:rsidRPr="00637114">
        <w:rPr>
          <w:u w:val="single"/>
        </w:rPr>
        <w:t xml:space="preserve">The current framework for evaluating a patent application, particularly the requirements of utility and </w:t>
      </w:r>
      <w:proofErr w:type="spellStart"/>
      <w:r w:rsidRPr="00637114">
        <w:rPr>
          <w:u w:val="single"/>
        </w:rPr>
        <w:t>nonobviousness</w:t>
      </w:r>
      <w:proofErr w:type="spellEnd"/>
      <w:r w:rsidRPr="00637114">
        <w:rPr>
          <w:u w:val="single"/>
        </w:rPr>
        <w:t>,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652EE4DD" w14:textId="77777777" w:rsidR="004333BD" w:rsidRPr="00637114" w:rsidRDefault="004333BD" w:rsidP="004333BD">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530EE7C6" w14:textId="77777777" w:rsidR="004333BD" w:rsidRPr="00637114" w:rsidRDefault="004333BD" w:rsidP="004333BD">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7DDE6992" w14:textId="77777777" w:rsidR="004333BD" w:rsidRPr="00637114" w:rsidRDefault="004333BD" w:rsidP="004333BD">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588513A7" w14:textId="77777777" w:rsidR="004333BD" w:rsidRPr="00637114" w:rsidRDefault="004333BD" w:rsidP="004333BD">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w:t>
      </w:r>
      <w:proofErr w:type="spellStart"/>
      <w:r w:rsidRPr="00637114">
        <w:rPr>
          <w:u w:val="single"/>
        </w:rPr>
        <w:t>VidaDrug</w:t>
      </w:r>
      <w:proofErr w:type="spellEnd"/>
      <w:r w:rsidRPr="00637114">
        <w:rPr>
          <w:u w:val="single"/>
        </w:rPr>
        <w:t xml:space="preserve">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r w:rsidRPr="00AB18E8">
        <w:rPr>
          <w:highlight w:val="green"/>
          <w:u w:val="single"/>
        </w:rPr>
        <w:t>insufficient</w:t>
      </w:r>
      <w:r w:rsidRPr="00637114">
        <w:rPr>
          <w:u w:val="single"/>
        </w:rPr>
        <w:t xml:space="preserve">, because the underlying purpose of the drug - to treat cancer - remains unaffected. </w:t>
      </w:r>
    </w:p>
    <w:p w14:paraId="044FD333" w14:textId="77777777" w:rsidR="004333BD" w:rsidRDefault="004333BD" w:rsidP="004333BD">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056603BA" w14:textId="77777777" w:rsidR="004333BD" w:rsidRDefault="004333BD" w:rsidP="004333BD">
      <w:pPr>
        <w:rPr>
          <w:sz w:val="16"/>
        </w:rPr>
      </w:pPr>
    </w:p>
    <w:p w14:paraId="35A9B2E3" w14:textId="77777777" w:rsidR="004333BD" w:rsidRPr="00637114" w:rsidRDefault="004333BD" w:rsidP="004333BD">
      <w:pPr>
        <w:pStyle w:val="Heading4"/>
      </w:pPr>
      <w:r>
        <w:t>Solves best.</w:t>
      </w:r>
    </w:p>
    <w:p w14:paraId="4A4090C5" w14:textId="77777777" w:rsidR="004333BD" w:rsidRDefault="004333BD" w:rsidP="004333BD">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29FEBB65" w14:textId="77777777" w:rsidR="004333BD" w:rsidRPr="00AB18E8" w:rsidRDefault="004333BD" w:rsidP="004333BD">
      <w:pPr>
        <w:rPr>
          <w:sz w:val="16"/>
        </w:rPr>
      </w:pPr>
      <w:r w:rsidRPr="00AB18E8">
        <w:rPr>
          <w:sz w:val="16"/>
        </w:rPr>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 </w:t>
      </w:r>
    </w:p>
    <w:p w14:paraId="2C67E5C3" w14:textId="77777777" w:rsidR="004333BD" w:rsidRPr="00AB18E8" w:rsidRDefault="004333BD" w:rsidP="004333BD">
      <w:pPr>
        <w:pStyle w:val="ListParagraph"/>
        <w:numPr>
          <w:ilvl w:val="0"/>
          <w:numId w:val="13"/>
        </w:numPr>
        <w:rPr>
          <w:sz w:val="16"/>
        </w:rPr>
      </w:pPr>
      <w:r w:rsidRPr="00AB18E8">
        <w:rPr>
          <w:rFonts w:ascii="Calibri" w:hAnsi="Calibri" w:cs="Calibri"/>
          <w:u w:val="single"/>
        </w:rPr>
        <w:t xml:space="preserve">An Efficacy-Focused </w:t>
      </w:r>
      <w:r w:rsidRPr="00AB18E8">
        <w:rPr>
          <w:rFonts w:ascii="Calibri" w:hAnsi="Calibri" w:cs="Calibri"/>
          <w:highlight w:val="green"/>
          <w:u w:val="single"/>
        </w:rPr>
        <w:t>Standard</w:t>
      </w:r>
      <w:r w:rsidRPr="00AB18E8">
        <w:rPr>
          <w:rFonts w:ascii="Calibri" w:hAnsi="Calibri" w:cs="Calibri"/>
          <w:u w:val="single"/>
        </w:rPr>
        <w:t xml:space="preserve"> Will Motivate Pharmaceutical Companies to Channel Resources to Creating Real Innovation</w:t>
      </w:r>
      <w:r w:rsidRPr="00AB18E8">
        <w:rPr>
          <w:sz w:val="16"/>
        </w:rPr>
        <w:t xml:space="preserve"> Pharmaceutical companies argue that patent-life-cycle-management strategies (their preferred name for those tactics described herein as evergreening) are essential to ensuring they recoup R&amp;D costs. 145 However, </w:t>
      </w:r>
      <w:r w:rsidRPr="00AB18E8">
        <w:rPr>
          <w:rFonts w:ascii="Calibri" w:hAnsi="Calibri" w:cs="Calibri"/>
          <w:u w:val="single"/>
        </w:rPr>
        <w:t xml:space="preserve">creation of a standard such as the one proposed here would </w:t>
      </w:r>
      <w:r w:rsidRPr="00AB18E8">
        <w:rPr>
          <w:rFonts w:ascii="Calibri" w:hAnsi="Calibri" w:cs="Calibri"/>
          <w:highlight w:val="green"/>
          <w:u w:val="single"/>
        </w:rPr>
        <w:t>ensure</w:t>
      </w:r>
      <w:r w:rsidRPr="00AB18E8">
        <w:rPr>
          <w:rFonts w:ascii="Calibri" w:hAnsi="Calibri" w:cs="Calibri"/>
          <w:u w:val="single"/>
        </w:rPr>
        <w:t xml:space="preserve"> that pharmaceutical </w:t>
      </w:r>
      <w:r w:rsidRPr="00AB18E8">
        <w:rPr>
          <w:rFonts w:ascii="Calibri" w:hAnsi="Calibri" w:cs="Calibri"/>
          <w:highlight w:val="green"/>
          <w:u w:val="single"/>
        </w:rPr>
        <w:t>companies</w:t>
      </w:r>
      <w:r w:rsidRPr="00AB18E8">
        <w:rPr>
          <w:rFonts w:ascii="Calibri" w:hAnsi="Calibri" w:cs="Calibri"/>
          <w:u w:val="single"/>
        </w:rPr>
        <w:t xml:space="preserve"> are properly incentivized to </w:t>
      </w:r>
      <w:r w:rsidRPr="00AB18E8">
        <w:rPr>
          <w:rFonts w:ascii="Calibri" w:hAnsi="Calibri" w:cs="Calibri"/>
          <w:highlight w:val="green"/>
          <w:u w:val="single"/>
        </w:rPr>
        <w:t>channel R&amp;D resources</w:t>
      </w:r>
      <w:r w:rsidRPr="00AB18E8">
        <w:rPr>
          <w:rFonts w:ascii="Calibri" w:hAnsi="Calibri" w:cs="Calibri"/>
          <w:u w:val="single"/>
        </w:rPr>
        <w:t xml:space="preserve"> to creating measurable change in the drugs, rather than creating minor changes</w:t>
      </w:r>
      <w:r w:rsidRPr="00AB18E8">
        <w:rPr>
          <w:sz w:val="16"/>
        </w:rPr>
        <w:t xml:space="preserve"> that prolong the time they can profit off of monopolies at the expense of patients. For those industries in which R&amp;D is more productive, like the pharmaceutical industry, "</w:t>
      </w:r>
      <w:r w:rsidRPr="00AB18E8">
        <w:rPr>
          <w:rFonts w:ascii="Calibri" w:hAnsi="Calibri" w:cs="Calibri"/>
          <w:u w:val="single"/>
        </w:rPr>
        <w:t>patent procedures should be refined to tighten the relationship between patents and the underlying inventions</w:t>
      </w:r>
      <w:r w:rsidRPr="00AB18E8">
        <w:rPr>
          <w:sz w:val="16"/>
        </w:rPr>
        <w:t xml:space="preserve">."14 6 </w:t>
      </w:r>
    </w:p>
    <w:p w14:paraId="28E63C0A" w14:textId="77777777" w:rsidR="004333BD" w:rsidRPr="00EE4FEA" w:rsidRDefault="004333BD" w:rsidP="004333BD">
      <w:pPr>
        <w:pStyle w:val="ListParagraph"/>
        <w:numPr>
          <w:ilvl w:val="0"/>
          <w:numId w:val="13"/>
        </w:numPr>
        <w:rPr>
          <w:sz w:val="16"/>
          <w:szCs w:val="16"/>
        </w:rPr>
      </w:pPr>
      <w:r w:rsidRPr="1D3FD875">
        <w:rPr>
          <w:sz w:val="16"/>
          <w:szCs w:val="16"/>
        </w:rPr>
        <w:t xml:space="preserve">A </w:t>
      </w:r>
      <w:r w:rsidRPr="1D3FD875">
        <w:rPr>
          <w:rFonts w:ascii="Calibri" w:hAnsi="Calibri" w:cs="Calibri"/>
          <w:u w:val="single"/>
        </w:rPr>
        <w:t xml:space="preserve">Higher Standard for Secondary Pharmaceutical Patents Will </w:t>
      </w:r>
      <w:r w:rsidRPr="1D3FD875">
        <w:rPr>
          <w:rFonts w:ascii="Calibri" w:hAnsi="Calibri" w:cs="Calibri"/>
          <w:highlight w:val="green"/>
          <w:u w:val="single"/>
        </w:rPr>
        <w:t>Increase Competition</w:t>
      </w:r>
      <w:r w:rsidRPr="1D3FD875">
        <w:rPr>
          <w:rFonts w:ascii="Calibri" w:hAnsi="Calibri" w:cs="Calibri"/>
          <w:u w:val="single"/>
        </w:rPr>
        <w:t xml:space="preserve"> &amp; Lead to Lower Prices</w:t>
      </w:r>
      <w:r w:rsidRPr="1D3FD875">
        <w:rPr>
          <w:sz w:val="16"/>
          <w:szCs w:val="16"/>
        </w:rPr>
        <w:t xml:space="preserve"> The patent system enables pharmaceutical companies to retain market exclusivity for their drugs, allowing them to set high prices without an eye toward competition.1 47 The </w:t>
      </w:r>
      <w:r w:rsidRPr="1D3FD875">
        <w:rPr>
          <w:rFonts w:ascii="Calibri" w:hAnsi="Calibri" w:cs="Calibri"/>
          <w:u w:val="single"/>
        </w:rPr>
        <w:t>companies cite the need to recoup R&amp;D costs as the driving factor for their pricing decisions</w:t>
      </w:r>
      <w:r w:rsidRPr="1D3FD875">
        <w:rPr>
          <w:sz w:val="16"/>
          <w:szCs w:val="16"/>
        </w:rPr>
        <w:t xml:space="preserve">,148 but </w:t>
      </w:r>
      <w:r w:rsidRPr="1D3FD875">
        <w:rPr>
          <w:rFonts w:ascii="Calibri" w:hAnsi="Calibri" w:cs="Calibri"/>
          <w:u w:val="single"/>
        </w:rPr>
        <w:t>critics say their main motivation is making a profit</w:t>
      </w:r>
      <w:r w:rsidRPr="1D3FD875">
        <w:rPr>
          <w:sz w:val="16"/>
          <w:szCs w:val="16"/>
        </w:rPr>
        <w:t xml:space="preserve">.'49 While the pharmaceutical companies' argument may hold weight, high prices for drugs have a negative impact on those patients who need those drugs, but cannot afford them.150 </w:t>
      </w:r>
      <w:r w:rsidRPr="1D3FD875">
        <w:rPr>
          <w:rFonts w:ascii="Calibri" w:hAnsi="Calibri" w:cs="Calibri"/>
          <w:highlight w:val="green"/>
          <w:u w:val="single"/>
        </w:rPr>
        <w:t>Tightening</w:t>
      </w:r>
      <w:r w:rsidRPr="1D3FD875">
        <w:rPr>
          <w:rFonts w:ascii="Calibri" w:hAnsi="Calibri" w:cs="Calibri"/>
          <w:u w:val="single"/>
        </w:rPr>
        <w:t xml:space="preserve"> patent </w:t>
      </w:r>
      <w:r w:rsidRPr="1D3FD875">
        <w:rPr>
          <w:rFonts w:ascii="Calibri" w:hAnsi="Calibri" w:cs="Calibri"/>
          <w:highlight w:val="green"/>
          <w:u w:val="single"/>
        </w:rPr>
        <w:t>laws</w:t>
      </w:r>
      <w:r w:rsidRPr="1D3FD875">
        <w:rPr>
          <w:rFonts w:ascii="Calibri" w:hAnsi="Calibri" w:cs="Calibri"/>
          <w:u w:val="single"/>
        </w:rPr>
        <w:t xml:space="preserve"> to </w:t>
      </w:r>
      <w:r w:rsidRPr="1D3FD875">
        <w:rPr>
          <w:rFonts w:ascii="Calibri" w:hAnsi="Calibri" w:cs="Calibri"/>
          <w:highlight w:val="green"/>
          <w:u w:val="single"/>
        </w:rPr>
        <w:t>prevent</w:t>
      </w:r>
      <w:r w:rsidRPr="1D3FD875">
        <w:rPr>
          <w:rFonts w:ascii="Calibri" w:hAnsi="Calibri" w:cs="Calibri"/>
          <w:u w:val="single"/>
        </w:rPr>
        <w:t xml:space="preserve"> pharmaceutical companies from </w:t>
      </w:r>
      <w:r w:rsidRPr="1D3FD875">
        <w:rPr>
          <w:rFonts w:ascii="Calibri" w:hAnsi="Calibri" w:cs="Calibri"/>
          <w:highlight w:val="green"/>
          <w:u w:val="single"/>
        </w:rPr>
        <w:t>retaining</w:t>
      </w:r>
      <w:r w:rsidRPr="1D3FD875">
        <w:rPr>
          <w:rFonts w:ascii="Calibri" w:hAnsi="Calibri" w:cs="Calibri"/>
          <w:u w:val="single"/>
        </w:rPr>
        <w:t xml:space="preserve"> patent protection for </w:t>
      </w:r>
      <w:r w:rsidRPr="1D3FD875">
        <w:rPr>
          <w:rFonts w:ascii="Calibri" w:hAnsi="Calibri" w:cs="Calibri"/>
          <w:highlight w:val="green"/>
          <w:u w:val="single"/>
        </w:rPr>
        <w:t>minor changes</w:t>
      </w:r>
      <w:r w:rsidRPr="1D3FD875">
        <w:rPr>
          <w:rFonts w:ascii="Calibri" w:hAnsi="Calibri" w:cs="Calibri"/>
          <w:u w:val="single"/>
        </w:rPr>
        <w:t xml:space="preserve"> in their patented drugs will allow other companies to enter the marketplace sooner and drive prices down through competition</w:t>
      </w:r>
      <w:r w:rsidRPr="1D3FD875">
        <w:rPr>
          <w:sz w:val="16"/>
          <w:szCs w:val="16"/>
        </w:rPr>
        <w:t>. 5</w:t>
      </w:r>
      <w:r>
        <w:rPr>
          <w:sz w:val="16"/>
          <w:szCs w:val="16"/>
        </w:rPr>
        <w:t>z</w:t>
      </w:r>
    </w:p>
    <w:p w14:paraId="239A0913" w14:textId="77777777" w:rsidR="004333BD" w:rsidRDefault="004333BD" w:rsidP="004333BD">
      <w:pPr>
        <w:pStyle w:val="Heading2"/>
      </w:pPr>
      <w:r>
        <w:t>4</w:t>
      </w:r>
    </w:p>
    <w:p w14:paraId="13E27B50" w14:textId="77777777" w:rsidR="00D22217" w:rsidRDefault="00D22217" w:rsidP="00D22217">
      <w:pPr>
        <w:pStyle w:val="Heading4"/>
      </w:pPr>
      <w:r>
        <w:t xml:space="preserve">Infrastructure is passing now and is at the top of Bidens agenda---Biden has enough </w:t>
      </w:r>
      <w:proofErr w:type="gramStart"/>
      <w:r>
        <w:t>PC</w:t>
      </w:r>
      <w:proofErr w:type="gramEnd"/>
      <w:r>
        <w:t xml:space="preserve"> but continuation is critical.</w:t>
      </w:r>
    </w:p>
    <w:p w14:paraId="72A1550C" w14:textId="77777777" w:rsidR="00D22217" w:rsidRPr="00540107" w:rsidRDefault="00D22217" w:rsidP="00D22217">
      <w:proofErr w:type="spellStart"/>
      <w:r w:rsidRPr="00006A3D">
        <w:rPr>
          <w:rStyle w:val="Style13ptBold"/>
        </w:rPr>
        <w:t>Nomikos</w:t>
      </w:r>
      <w:proofErr w:type="spellEnd"/>
      <w:r w:rsidRPr="00006A3D">
        <w:rPr>
          <w:rStyle w:val="Style13ptBold"/>
        </w:rPr>
        <w:t xml:space="preserve"> 9</w:t>
      </w:r>
      <w:r>
        <w:rPr>
          <w:rStyle w:val="Style13ptBold"/>
        </w:rPr>
        <w:t>/</w:t>
      </w:r>
      <w:r w:rsidRPr="00006A3D">
        <w:rPr>
          <w:rStyle w:val="Style13ptBold"/>
        </w:rPr>
        <w:t>1</w:t>
      </w:r>
      <w:r>
        <w:t xml:space="preserve"> [</w:t>
      </w:r>
      <w:r w:rsidRPr="00006A3D">
        <w:t>William</w:t>
      </w:r>
      <w:r>
        <w:t xml:space="preserve">; </w:t>
      </w:r>
      <w:r w:rsidRPr="00006A3D">
        <w:t>9</w:t>
      </w:r>
      <w:r>
        <w:t>/</w:t>
      </w:r>
      <w:r w:rsidRPr="00006A3D">
        <w:t>1</w:t>
      </w:r>
      <w:r>
        <w:t>/</w:t>
      </w:r>
      <w:r w:rsidRPr="00006A3D">
        <w:t>21</w:t>
      </w:r>
      <w:r>
        <w:t>;</w:t>
      </w:r>
      <w:r w:rsidRPr="00540107">
        <w:t xml:space="preserve"> </w:t>
      </w:r>
      <w:r>
        <w:t>Assistant</w:t>
      </w:r>
      <w:r w:rsidRPr="00006A3D">
        <w:t xml:space="preserve"> professor of political science at Washington University in St. Louis and director of the Data-driven Analysis of Peace Project</w:t>
      </w:r>
      <w:r>
        <w:t>;</w:t>
      </w:r>
      <w:r w:rsidRPr="00006A3D">
        <w:t xml:space="preserve"> "</w:t>
      </w:r>
      <w:r w:rsidRPr="00540107">
        <w:rPr>
          <w:i/>
          <w:iCs/>
        </w:rPr>
        <w:t>Everyone has an opinion on Afghanistan — Do voters care?</w:t>
      </w:r>
      <w:r w:rsidRPr="00006A3D">
        <w:t>"</w:t>
      </w:r>
      <w:r>
        <w:t xml:space="preserve"> The Hill, </w:t>
      </w:r>
      <w:hyperlink r:id="rId9" w:history="1">
        <w:r w:rsidRPr="00952336">
          <w:rPr>
            <w:rStyle w:val="Hyperlink"/>
          </w:rPr>
          <w:t>https://thehill.com/blogs/congress-blog/politics/570422-everyone-has-an-opinion-on-afghanistan-do-voters-care</w:t>
        </w:r>
      </w:hyperlink>
      <w:r>
        <w:t>] Justin</w:t>
      </w:r>
    </w:p>
    <w:p w14:paraId="324894E9" w14:textId="77777777" w:rsidR="00D22217" w:rsidRDefault="00D22217" w:rsidP="00D22217">
      <w:pPr>
        <w:rPr>
          <w:sz w:val="16"/>
        </w:rPr>
      </w:pPr>
      <w:r w:rsidRPr="00540107">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sidRPr="00540107">
        <w:rPr>
          <w:u w:val="single"/>
        </w:rPr>
        <w:t xml:space="preserve">President </w:t>
      </w:r>
      <w:r w:rsidRPr="00540107">
        <w:rPr>
          <w:rStyle w:val="Emphasis"/>
          <w:highlight w:val="green"/>
        </w:rPr>
        <w:t>Biden</w:t>
      </w:r>
      <w:r w:rsidRPr="00540107">
        <w:rPr>
          <w:rStyle w:val="Emphasis"/>
        </w:rPr>
        <w:t xml:space="preserve"> who ultimately pushed ahead and ended what he called “America’s longest war.”</w:t>
      </w:r>
      <w:r w:rsidRPr="00540107">
        <w:rPr>
          <w:sz w:val="16"/>
        </w:rPr>
        <w:t xml:space="preserve"> Even now, with the Taliban in Kabul, </w:t>
      </w:r>
      <w:r w:rsidRPr="00540107">
        <w:rPr>
          <w:u w:val="single"/>
        </w:rPr>
        <w:t xml:space="preserve">Biden remains defiant and </w:t>
      </w:r>
      <w:r w:rsidRPr="00540107">
        <w:rPr>
          <w:rStyle w:val="Emphasis"/>
        </w:rPr>
        <w:t xml:space="preserve">defends his </w:t>
      </w:r>
      <w:r w:rsidRPr="00540107">
        <w:rPr>
          <w:rStyle w:val="Emphasis"/>
          <w:highlight w:val="green"/>
        </w:rPr>
        <w:t>decision</w:t>
      </w:r>
      <w:r w:rsidRPr="00540107">
        <w:rPr>
          <w:u w:val="single"/>
        </w:rPr>
        <w:t xml:space="preserve">. Democrats worry this </w:t>
      </w:r>
      <w:r w:rsidRPr="00540107">
        <w:rPr>
          <w:highlight w:val="green"/>
          <w:u w:val="single"/>
        </w:rPr>
        <w:t xml:space="preserve">will </w:t>
      </w:r>
      <w:r w:rsidRPr="00540107">
        <w:rPr>
          <w:rStyle w:val="Emphasis"/>
          <w:highlight w:val="green"/>
        </w:rPr>
        <w:t>hurt Biden</w:t>
      </w:r>
      <w:r w:rsidRPr="00540107">
        <w:rPr>
          <w:rStyle w:val="Emphasis"/>
        </w:rPr>
        <w:t xml:space="preserve"> politically</w:t>
      </w:r>
      <w:r w:rsidRPr="00540107">
        <w:rPr>
          <w:u w:val="single"/>
        </w:rPr>
        <w:t xml:space="preserve">, and Republicans are </w:t>
      </w:r>
      <w:r w:rsidRPr="00540107">
        <w:rPr>
          <w:rStyle w:val="Emphasis"/>
        </w:rPr>
        <w:t>doing their best to make sure it</w:t>
      </w:r>
      <w:r w:rsidRPr="00540107">
        <w:rPr>
          <w:u w:val="single"/>
        </w:rPr>
        <w:t xml:space="preserve"> does.</w:t>
      </w:r>
      <w:r w:rsidRPr="00540107">
        <w:rPr>
          <w:sz w:val="16"/>
          <w:u w:val="single"/>
        </w:rPr>
        <w:t xml:space="preserve"> </w:t>
      </w:r>
      <w:r w:rsidRPr="00540107">
        <w:rPr>
          <w:highlight w:val="green"/>
          <w:u w:val="single"/>
        </w:rPr>
        <w:t>But</w:t>
      </w:r>
      <w:r w:rsidRPr="00540107">
        <w:rPr>
          <w:sz w:val="16"/>
          <w:u w:val="single"/>
        </w:rPr>
        <w:t xml:space="preserve"> </w:t>
      </w:r>
      <w:r w:rsidRPr="00540107">
        <w:rPr>
          <w:sz w:val="16"/>
        </w:rPr>
        <w:t xml:space="preserve">existing research suggests otherwise. </w:t>
      </w:r>
      <w:r w:rsidRPr="00540107">
        <w:rPr>
          <w:highlight w:val="green"/>
          <w:u w:val="single"/>
        </w:rPr>
        <w:t xml:space="preserve">Americans don’t prioritize </w:t>
      </w:r>
      <w:r w:rsidRPr="00540107">
        <w:rPr>
          <w:rStyle w:val="Emphasis"/>
          <w:highlight w:val="green"/>
        </w:rPr>
        <w:t>fo</w:t>
      </w:r>
      <w:r w:rsidRPr="00540107">
        <w:rPr>
          <w:rStyle w:val="Emphasis"/>
        </w:rPr>
        <w:t xml:space="preserve">reign </w:t>
      </w:r>
      <w:r w:rsidRPr="00540107">
        <w:rPr>
          <w:rStyle w:val="Emphasis"/>
          <w:highlight w:val="green"/>
        </w:rPr>
        <w:t>po</w:t>
      </w:r>
      <w:r w:rsidRPr="00540107">
        <w:rPr>
          <w:rStyle w:val="Emphasis"/>
        </w:rPr>
        <w:t>licy</w:t>
      </w:r>
      <w:r w:rsidRPr="00540107">
        <w:rPr>
          <w:u w:val="single"/>
        </w:rPr>
        <w:t xml:space="preserve"> when voting</w:t>
      </w:r>
      <w:r w:rsidRPr="00540107">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sidRPr="00540107">
        <w:rPr>
          <w:highlight w:val="green"/>
          <w:u w:val="single"/>
        </w:rPr>
        <w:t xml:space="preserve">voters </w:t>
      </w:r>
      <w:r w:rsidRPr="00540107">
        <w:rPr>
          <w:rStyle w:val="Emphasis"/>
          <w:highlight w:val="green"/>
        </w:rPr>
        <w:t>care about</w:t>
      </w:r>
      <w:r w:rsidRPr="00540107">
        <w:rPr>
          <w:rStyle w:val="Emphasis"/>
        </w:rPr>
        <w:t xml:space="preserve"> whether a president makes the </w:t>
      </w:r>
      <w:r w:rsidRPr="00540107">
        <w:rPr>
          <w:rStyle w:val="Emphasis"/>
          <w:highlight w:val="green"/>
        </w:rPr>
        <w:t>right policy</w:t>
      </w:r>
      <w:r w:rsidRPr="00540107">
        <w:rPr>
          <w:rStyle w:val="Emphasis"/>
        </w:rPr>
        <w:t xml:space="preserve"> decisions</w:t>
      </w:r>
      <w:r w:rsidRPr="00540107">
        <w:rPr>
          <w:sz w:val="16"/>
        </w:rPr>
        <w:t xml:space="preserve">, not whether American forces remain deployed abroad to maintain their reputation. What’s more, Americans are far more likely care about domestic issues such as health care or the economy than foreign policy. For example, </w:t>
      </w:r>
      <w:r w:rsidRPr="00540107">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sidRPr="00540107">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drawn out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Carter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sidRPr="00540107">
        <w:rPr>
          <w:rStyle w:val="Emphasis"/>
          <w:highlight w:val="green"/>
        </w:rPr>
        <w:t>Biden’s</w:t>
      </w:r>
      <w:r w:rsidRPr="00540107">
        <w:rPr>
          <w:rStyle w:val="Emphasis"/>
        </w:rPr>
        <w:t xml:space="preserve"> political </w:t>
      </w:r>
      <w:r w:rsidRPr="00540107">
        <w:rPr>
          <w:rStyle w:val="Emphasis"/>
          <w:highlight w:val="green"/>
        </w:rPr>
        <w:t>calculation</w:t>
      </w:r>
      <w:r w:rsidRPr="00540107">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sidRPr="00540107">
        <w:rPr>
          <w:u w:val="single"/>
        </w:rPr>
        <w:t xml:space="preserve">Biden is </w:t>
      </w:r>
      <w:r w:rsidRPr="00540107">
        <w:rPr>
          <w:rStyle w:val="Emphasis"/>
          <w:highlight w:val="green"/>
        </w:rPr>
        <w:t>focused on</w:t>
      </w:r>
      <w:r w:rsidRPr="00540107">
        <w:rPr>
          <w:rStyle w:val="Emphasis"/>
        </w:rPr>
        <w:t xml:space="preserve"> getting Congress to pass a </w:t>
      </w:r>
      <w:r w:rsidRPr="00540107">
        <w:rPr>
          <w:rStyle w:val="Emphasis"/>
          <w:highlight w:val="green"/>
        </w:rPr>
        <w:t>$1 trillion infrastructure bill and</w:t>
      </w:r>
      <w:r w:rsidRPr="00540107">
        <w:rPr>
          <w:u w:val="single"/>
        </w:rPr>
        <w:t xml:space="preserve"> a </w:t>
      </w:r>
      <w:r w:rsidRPr="00540107">
        <w:rPr>
          <w:rStyle w:val="Emphasis"/>
          <w:highlight w:val="green"/>
        </w:rPr>
        <w:t>$3.5 trillion</w:t>
      </w:r>
      <w:r w:rsidRPr="00540107">
        <w:rPr>
          <w:rStyle w:val="Emphasis"/>
        </w:rPr>
        <w:t xml:space="preserve"> budget </w:t>
      </w:r>
      <w:r w:rsidRPr="00540107">
        <w:rPr>
          <w:rStyle w:val="Emphasis"/>
          <w:highlight w:val="green"/>
        </w:rPr>
        <w:t>reconciliation bill that</w:t>
      </w:r>
      <w:r w:rsidRPr="00540107">
        <w:rPr>
          <w:sz w:val="16"/>
        </w:rPr>
        <w:t xml:space="preserve">, together, </w:t>
      </w:r>
      <w:r w:rsidRPr="00540107">
        <w:rPr>
          <w:u w:val="single"/>
        </w:rPr>
        <w:t xml:space="preserve">would </w:t>
      </w:r>
      <w:r w:rsidRPr="00540107">
        <w:rPr>
          <w:highlight w:val="green"/>
          <w:u w:val="single"/>
        </w:rPr>
        <w:t>comprise</w:t>
      </w:r>
      <w:r w:rsidRPr="00540107">
        <w:rPr>
          <w:u w:val="single"/>
        </w:rPr>
        <w:t xml:space="preserve"> </w:t>
      </w:r>
      <w:r w:rsidRPr="00540107">
        <w:rPr>
          <w:rStyle w:val="Emphasis"/>
        </w:rPr>
        <w:t xml:space="preserve">much of his </w:t>
      </w:r>
      <w:r w:rsidRPr="00540107">
        <w:rPr>
          <w:rStyle w:val="Emphasis"/>
          <w:highlight w:val="green"/>
        </w:rPr>
        <w:t>first</w:t>
      </w:r>
      <w:r w:rsidRPr="00540107">
        <w:rPr>
          <w:rStyle w:val="Emphasis"/>
        </w:rPr>
        <w:t xml:space="preserve"> term </w:t>
      </w:r>
      <w:r w:rsidRPr="00540107">
        <w:rPr>
          <w:rStyle w:val="Emphasis"/>
          <w:highlight w:val="green"/>
        </w:rPr>
        <w:t>agenda</w:t>
      </w:r>
      <w:r w:rsidRPr="00540107">
        <w:rPr>
          <w:u w:val="single"/>
        </w:rPr>
        <w:t xml:space="preserve">. Given the </w:t>
      </w:r>
      <w:r w:rsidRPr="00540107">
        <w:rPr>
          <w:rStyle w:val="Emphasis"/>
        </w:rPr>
        <w:t>importance of these domestic issues to</w:t>
      </w:r>
      <w:r w:rsidRPr="00540107">
        <w:rPr>
          <w:u w:val="single"/>
        </w:rPr>
        <w:t xml:space="preserve"> voters relative to foreign policy, </w:t>
      </w:r>
      <w:r w:rsidRPr="00540107">
        <w:rPr>
          <w:rStyle w:val="Emphasis"/>
          <w:highlight w:val="green"/>
        </w:rPr>
        <w:t>passing the bills</w:t>
      </w:r>
      <w:r w:rsidRPr="00540107">
        <w:rPr>
          <w:rStyle w:val="Emphasis"/>
        </w:rPr>
        <w:t xml:space="preserve"> through Congress </w:t>
      </w:r>
      <w:r w:rsidRPr="00540107">
        <w:rPr>
          <w:rStyle w:val="Emphasis"/>
          <w:highlight w:val="green"/>
        </w:rPr>
        <w:t>will be</w:t>
      </w:r>
      <w:r w:rsidRPr="00540107">
        <w:rPr>
          <w:rStyle w:val="Emphasis"/>
        </w:rPr>
        <w:t xml:space="preserve"> the most </w:t>
      </w:r>
      <w:r w:rsidRPr="00540107">
        <w:rPr>
          <w:rStyle w:val="Emphasis"/>
          <w:highlight w:val="green"/>
        </w:rPr>
        <w:t>important</w:t>
      </w:r>
      <w:r w:rsidRPr="00540107">
        <w:rPr>
          <w:rStyle w:val="Emphasis"/>
        </w:rPr>
        <w:t xml:space="preserve"> politically for Biden</w:t>
      </w:r>
      <w:r w:rsidRPr="00540107">
        <w:rPr>
          <w:sz w:val="16"/>
        </w:rPr>
        <w:t xml:space="preserve">. According to estimates, </w:t>
      </w:r>
      <w:r w:rsidRPr="00540107">
        <w:rPr>
          <w:u w:val="single"/>
        </w:rPr>
        <w:t xml:space="preserve">the war in </w:t>
      </w:r>
      <w:r w:rsidRPr="00540107">
        <w:rPr>
          <w:highlight w:val="green"/>
          <w:u w:val="single"/>
        </w:rPr>
        <w:t>Afghanistan</w:t>
      </w:r>
      <w:r w:rsidRPr="00540107">
        <w:rPr>
          <w:u w:val="single"/>
        </w:rPr>
        <w:t xml:space="preserve"> alone has already </w:t>
      </w:r>
      <w:r w:rsidRPr="00540107">
        <w:rPr>
          <w:rStyle w:val="Emphasis"/>
          <w:highlight w:val="green"/>
        </w:rPr>
        <w:t>cost</w:t>
      </w:r>
      <w:r w:rsidRPr="00540107">
        <w:rPr>
          <w:rStyle w:val="Emphasis"/>
        </w:rPr>
        <w:t xml:space="preserve"> American </w:t>
      </w:r>
      <w:r w:rsidRPr="00540107">
        <w:rPr>
          <w:rStyle w:val="Emphasis"/>
          <w:highlight w:val="green"/>
        </w:rPr>
        <w:t>taxpayers</w:t>
      </w:r>
      <w:r w:rsidRPr="00540107">
        <w:rPr>
          <w:rStyle w:val="Emphasis"/>
        </w:rPr>
        <w:t xml:space="preserve"> more than $2.2 trillion</w:t>
      </w:r>
      <w:r w:rsidRPr="00540107">
        <w:rPr>
          <w:u w:val="single"/>
        </w:rPr>
        <w:t>. Concerns about the combined price tag of Democrats’ legislative agenda have triggered concerns about federal spending and inflation</w:t>
      </w:r>
      <w:r w:rsidRPr="00540107">
        <w:rPr>
          <w:sz w:val="16"/>
        </w:rPr>
        <w:t xml:space="preserve">. More spending on Afghanistan would make Biden and his fellow Democrats even more vulnerable to such attacks. The slim margins in Congress suggests that </w:t>
      </w:r>
      <w:r w:rsidRPr="00540107">
        <w:rPr>
          <w:rStyle w:val="Emphasis"/>
          <w:highlight w:val="green"/>
        </w:rPr>
        <w:t>Biden</w:t>
      </w:r>
      <w:r w:rsidRPr="00540107">
        <w:rPr>
          <w:rStyle w:val="Emphasis"/>
        </w:rPr>
        <w:t xml:space="preserve"> must </w:t>
      </w:r>
      <w:r w:rsidRPr="00540107">
        <w:rPr>
          <w:rStyle w:val="Emphasis"/>
          <w:highlight w:val="green"/>
        </w:rPr>
        <w:t>reserve his political capital</w:t>
      </w:r>
      <w:r w:rsidRPr="00540107">
        <w:rPr>
          <w:rStyle w:val="Emphasis"/>
        </w:rPr>
        <w:t xml:space="preserve"> to maintain the existing coalitions to pass these two bills</w:t>
      </w:r>
      <w:r w:rsidRPr="00540107">
        <w:rPr>
          <w:sz w:val="16"/>
        </w:rPr>
        <w:t>, not a new war effort. Doing so would also offer the Democrats the best chance for retaining control of Congress in the 2022 midterm elections.</w:t>
      </w:r>
    </w:p>
    <w:p w14:paraId="258589AF" w14:textId="77777777" w:rsidR="00D22217" w:rsidRDefault="00D22217" w:rsidP="00D22217">
      <w:pPr>
        <w:rPr>
          <w:sz w:val="16"/>
        </w:rPr>
      </w:pPr>
    </w:p>
    <w:p w14:paraId="0EFFCCA7" w14:textId="77777777" w:rsidR="00D22217" w:rsidRDefault="00D22217" w:rsidP="00D22217">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65AE07D" w14:textId="77777777" w:rsidR="00D22217" w:rsidRDefault="00D22217" w:rsidP="00D22217">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 xml:space="preserve">Over </w:t>
      </w:r>
      <w:proofErr w:type="spellStart"/>
      <w:r w:rsidRPr="00FB3283">
        <w:rPr>
          <w:rStyle w:val="Emphasis"/>
        </w:rPr>
        <w:t>Covid</w:t>
      </w:r>
      <w:proofErr w:type="spellEnd"/>
      <w:r w:rsidRPr="00FB3283">
        <w:rPr>
          <w:rStyle w:val="Emphasis"/>
        </w:rPr>
        <w:t xml:space="preserve"> IP</w:t>
      </w:r>
      <w:r w:rsidRPr="005878A3">
        <w:rPr>
          <w:rStyle w:val="Emphasis"/>
        </w:rPr>
        <w:t xml:space="preserve"> Will </w:t>
      </w:r>
      <w:r w:rsidRPr="005878A3">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6762C944" w14:textId="77777777" w:rsidR="00D22217" w:rsidRPr="008B501C" w:rsidRDefault="00D22217" w:rsidP="00D22217">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53D015D6" w14:textId="77777777" w:rsidR="00D22217" w:rsidRPr="00C86CC7" w:rsidRDefault="00D22217" w:rsidP="00D22217">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70E28E4D" w14:textId="77777777" w:rsidR="00D22217" w:rsidRPr="00C86CC7" w:rsidRDefault="00D22217" w:rsidP="00D22217">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3E7A1ED4" w14:textId="77777777" w:rsidR="00D22217" w:rsidRDefault="00D22217" w:rsidP="00D22217">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6DFD726B" w14:textId="77777777" w:rsidR="00D22217" w:rsidRPr="008B501C" w:rsidRDefault="00D22217" w:rsidP="00D22217">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2F1B770C" w14:textId="77777777" w:rsidR="00D22217" w:rsidRPr="00712735" w:rsidRDefault="00D22217" w:rsidP="00D22217">
      <w:pPr>
        <w:rPr>
          <w:u w:val="single"/>
        </w:rPr>
      </w:pP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4BB2CAB8" w14:textId="77777777" w:rsidR="00D22217" w:rsidRPr="008B501C" w:rsidRDefault="00D22217" w:rsidP="00D22217">
      <w:pPr>
        <w:rPr>
          <w:sz w:val="16"/>
        </w:rPr>
      </w:pPr>
      <w:r w:rsidRPr="008B501C">
        <w:rPr>
          <w:sz w:val="16"/>
        </w:rPr>
        <w:t xml:space="preserve">Anthony </w:t>
      </w:r>
      <w:proofErr w:type="spellStart"/>
      <w:r w:rsidRPr="008B501C">
        <w:rPr>
          <w:sz w:val="16"/>
        </w:rPr>
        <w:t>Fauci</w:t>
      </w:r>
      <w:proofErr w:type="spellEnd"/>
      <w:r w:rsidRPr="008B501C">
        <w:rPr>
          <w:sz w:val="16"/>
        </w:rPr>
        <w:t>,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p>
    <w:p w14:paraId="2517DA00" w14:textId="77777777" w:rsidR="00D22217" w:rsidRPr="00F85024" w:rsidRDefault="00D22217" w:rsidP="00D22217">
      <w:pPr>
        <w:rPr>
          <w:sz w:val="16"/>
        </w:rPr>
      </w:pPr>
      <w:r w:rsidRPr="00F85024">
        <w:rPr>
          <w:sz w:val="16"/>
        </w:rPr>
        <w:t>Those claiming the waiver poses an immediate, rather than long-term, threat to IP rights also misunderstand what the waiver will—and won’t—do.</w:t>
      </w:r>
    </w:p>
    <w:p w14:paraId="1F12EDB8" w14:textId="77777777" w:rsidR="00D22217" w:rsidRPr="00F85024" w:rsidRDefault="00D22217" w:rsidP="00D22217">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34367CC4" w14:textId="77777777" w:rsidR="00D22217" w:rsidRPr="008B501C" w:rsidRDefault="00D22217" w:rsidP="00D22217">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295D4BA3" w14:textId="77777777" w:rsidR="00D22217" w:rsidRPr="008B501C" w:rsidRDefault="00D22217" w:rsidP="00D22217">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7B2B7D49" w14:textId="77777777" w:rsidR="00D22217" w:rsidRDefault="00D22217" w:rsidP="00D22217">
      <w:pPr>
        <w:rPr>
          <w:sz w:val="16"/>
        </w:rPr>
      </w:pPr>
    </w:p>
    <w:p w14:paraId="4E7247E3" w14:textId="77777777" w:rsidR="00D22217" w:rsidRDefault="00D22217" w:rsidP="00D22217">
      <w:pPr>
        <w:pStyle w:val="Heading4"/>
      </w:pPr>
      <w:r>
        <w:t xml:space="preserve">That solves </w:t>
      </w:r>
      <w:r w:rsidRPr="00540107">
        <w:rPr>
          <w:u w:val="single"/>
        </w:rPr>
        <w:t>existential climate change</w:t>
      </w:r>
      <w:r>
        <w:t>.</w:t>
      </w:r>
    </w:p>
    <w:p w14:paraId="113CBEBD" w14:textId="77777777" w:rsidR="00D22217" w:rsidRPr="00B574A3" w:rsidRDefault="00D22217" w:rsidP="00D22217">
      <w:r w:rsidRPr="004660A5">
        <w:rPr>
          <w:rStyle w:val="Style13ptBold"/>
        </w:rPr>
        <w:t>Castillo 21</w:t>
      </w:r>
      <w:r>
        <w:t xml:space="preserve"> [</w:t>
      </w:r>
      <w:proofErr w:type="spellStart"/>
      <w:r>
        <w:t>Rhyma</w:t>
      </w:r>
      <w:proofErr w:type="spellEnd"/>
      <w:r>
        <w:t>; 8/16/21; News</w:t>
      </w:r>
      <w:r w:rsidRPr="00B574A3">
        <w:t xml:space="preserve">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w:t>
      </w:r>
      <w:proofErr w:type="spellStart"/>
      <w:r w:rsidRPr="00B574A3">
        <w:t>Unversity</w:t>
      </w:r>
      <w:proofErr w:type="spellEnd"/>
      <w:r w:rsidRPr="00B574A3">
        <w:t xml:space="preserve">, </w:t>
      </w:r>
      <w:proofErr w:type="spellStart"/>
      <w:r w:rsidRPr="00B574A3">
        <w:t>Rhyma</w:t>
      </w:r>
      <w:proofErr w:type="spellEnd"/>
      <w:r w:rsidRPr="00B574A3">
        <w:t xml:space="preserve">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w:t>
      </w:r>
      <w:r>
        <w:t>; “</w:t>
      </w:r>
      <w:r w:rsidRPr="00B574A3">
        <w:rPr>
          <w:i/>
          <w:iCs/>
        </w:rPr>
        <w:t>Experts Explain What You Can Do About Climate Change After That Scary IPCC Report</w:t>
      </w:r>
      <w:r>
        <w:t xml:space="preserve">,” Elite Daily, </w:t>
      </w:r>
      <w:hyperlink r:id="rId11" w:history="1">
        <w:r w:rsidRPr="003C780C">
          <w:rPr>
            <w:rStyle w:val="Hyperlink"/>
          </w:rPr>
          <w:t>https://www.elitedaily.com/news/what-you-can-do-climate-change-after-ipcc-report</w:t>
        </w:r>
      </w:hyperlink>
      <w:r>
        <w:t>] Justin</w:t>
      </w:r>
    </w:p>
    <w:p w14:paraId="626E0205" w14:textId="77777777" w:rsidR="00D22217" w:rsidRPr="003B396B" w:rsidRDefault="00D22217" w:rsidP="00D22217">
      <w:pPr>
        <w:rPr>
          <w:u w:val="single"/>
        </w:rPr>
      </w:pPr>
      <w:r w:rsidRPr="003B396B">
        <w:rPr>
          <w:sz w:val="12"/>
          <w:szCs w:val="12"/>
        </w:rPr>
        <w:t xml:space="preserve">I’ll be honest: </w:t>
      </w:r>
      <w:r w:rsidRPr="003B396B">
        <w:rPr>
          <w:highlight w:val="green"/>
          <w:u w:val="single"/>
        </w:rPr>
        <w:t>climate change</w:t>
      </w:r>
      <w:r w:rsidRPr="003B396B">
        <w:rPr>
          <w:sz w:val="12"/>
          <w:szCs w:val="12"/>
        </w:rPr>
        <w:t xml:space="preserve"> is something I have </w:t>
      </w:r>
      <w:r w:rsidRPr="003B396B">
        <w:rPr>
          <w:u w:val="single"/>
        </w:rPr>
        <w:t xml:space="preserve">a daily </w:t>
      </w:r>
      <w:r w:rsidRPr="00B574A3">
        <w:rPr>
          <w:highlight w:val="green"/>
          <w:u w:val="single"/>
        </w:rPr>
        <w:t>existential crisis</w:t>
      </w:r>
      <w:r w:rsidRPr="003B396B">
        <w:rPr>
          <w:u w:val="single"/>
        </w:rPr>
        <w:t xml:space="preserve"> over</w:t>
      </w:r>
      <w:r w:rsidRPr="003B396B">
        <w:rPr>
          <w:sz w:val="12"/>
          <w:szCs w:val="12"/>
        </w:rPr>
        <w:t xml:space="preserve"> — and </w:t>
      </w:r>
      <w:r w:rsidRPr="003B396B">
        <w:rPr>
          <w:u w:val="single"/>
        </w:rPr>
        <w:t xml:space="preserve">with its </w:t>
      </w:r>
      <w:r w:rsidRPr="00B574A3">
        <w:rPr>
          <w:highlight w:val="green"/>
          <w:u w:val="single"/>
        </w:rPr>
        <w:t>effects</w:t>
      </w:r>
      <w:r w:rsidRPr="003B396B">
        <w:rPr>
          <w:u w:val="single"/>
        </w:rPr>
        <w:t xml:space="preserve"> quite literally </w:t>
      </w:r>
      <w:r w:rsidRPr="00B574A3">
        <w:rPr>
          <w:highlight w:val="green"/>
          <w:u w:val="single"/>
        </w:rPr>
        <w:t>showing up on</w:t>
      </w:r>
      <w:r w:rsidRPr="003B396B">
        <w:rPr>
          <w:u w:val="single"/>
        </w:rPr>
        <w:t xml:space="preserve"> people’s doorsteps in the form of </w:t>
      </w:r>
      <w:r w:rsidRPr="00B574A3">
        <w:rPr>
          <w:highlight w:val="green"/>
          <w:u w:val="single"/>
        </w:rPr>
        <w:t>floods</w:t>
      </w:r>
      <w:r w:rsidRPr="003B396B">
        <w:rPr>
          <w:u w:val="single"/>
        </w:rPr>
        <w:t xml:space="preserve">, </w:t>
      </w:r>
      <w:r w:rsidRPr="00B574A3">
        <w:rPr>
          <w:highlight w:val="green"/>
          <w:u w:val="single"/>
        </w:rPr>
        <w:t>wildfires</w:t>
      </w:r>
      <w:r w:rsidRPr="003B396B">
        <w:rPr>
          <w:u w:val="single"/>
        </w:rPr>
        <w:t xml:space="preserve">, record </w:t>
      </w:r>
      <w:r w:rsidRPr="00B574A3">
        <w:rPr>
          <w:highlight w:val="green"/>
          <w:u w:val="single"/>
        </w:rPr>
        <w:t>heatwaves</w:t>
      </w:r>
      <w:r w:rsidRPr="003B396B">
        <w:rPr>
          <w:u w:val="single"/>
        </w:rPr>
        <w:t>, and more, I know I’m not alone</w:t>
      </w:r>
      <w:r w:rsidRPr="003B396B">
        <w:rPr>
          <w:sz w:val="12"/>
          <w:szCs w:val="12"/>
        </w:rPr>
        <w:t>. On Aug. 9, the Intergovernmental Panel on Climate Change (</w:t>
      </w:r>
      <w:r w:rsidRPr="00B574A3">
        <w:rPr>
          <w:highlight w:val="green"/>
          <w:u w:val="single"/>
        </w:rPr>
        <w:t>IPCC</w:t>
      </w:r>
      <w:r w:rsidRPr="00B574A3">
        <w:rPr>
          <w:sz w:val="12"/>
          <w:szCs w:val="12"/>
        </w:rPr>
        <w:t>)</w:t>
      </w:r>
      <w:r w:rsidRPr="003B396B">
        <w:rPr>
          <w:sz w:val="12"/>
          <w:szCs w:val="12"/>
        </w:rPr>
        <w:t xml:space="preserve"> </w:t>
      </w:r>
      <w:r w:rsidRPr="003B396B">
        <w:rPr>
          <w:u w:val="single"/>
        </w:rPr>
        <w:t xml:space="preserve">released an alarming </w:t>
      </w:r>
      <w:r w:rsidRPr="00B574A3">
        <w:rPr>
          <w:highlight w:val="green"/>
          <w:u w:val="single"/>
        </w:rPr>
        <w:t>report</w:t>
      </w:r>
      <w:r w:rsidRPr="003B396B">
        <w:rPr>
          <w:u w:val="single"/>
        </w:rPr>
        <w:t xml:space="preserve"> that was </w:t>
      </w:r>
      <w:r w:rsidRPr="00B574A3">
        <w:rPr>
          <w:highlight w:val="green"/>
          <w:u w:val="single"/>
        </w:rPr>
        <w:t>characterized as a</w:t>
      </w:r>
      <w:r w:rsidRPr="003B396B">
        <w:rPr>
          <w:u w:val="single"/>
        </w:rPr>
        <w:t xml:space="preserve"> “code </w:t>
      </w:r>
      <w:r w:rsidRPr="00B574A3">
        <w:rPr>
          <w:highlight w:val="green"/>
          <w:u w:val="single"/>
        </w:rPr>
        <w:t>red</w:t>
      </w:r>
      <w:r w:rsidRPr="003B396B">
        <w:rPr>
          <w:u w:val="single"/>
        </w:rPr>
        <w:t xml:space="preserve"> for humanity,” which is terrifying</w:t>
      </w:r>
      <w:r w:rsidRPr="003B396B">
        <w:rPr>
          <w:sz w:val="12"/>
          <w:szCs w:val="12"/>
        </w:rPr>
        <w:t xml:space="preserve">, to say the least. But while it’s easy to surrender to fatalist feelings of doom and gloom, </w:t>
      </w:r>
      <w:r w:rsidRPr="003B396B">
        <w:rPr>
          <w:u w:val="single"/>
        </w:rPr>
        <w:t>there’s still time</w:t>
      </w:r>
      <w:r w:rsidRPr="003B396B">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sidRPr="003B396B">
        <w:rPr>
          <w:u w:val="single"/>
        </w:rPr>
        <w:t>climate change</w:t>
      </w:r>
      <w:r w:rsidRPr="003B396B">
        <w:rPr>
          <w:sz w:val="12"/>
          <w:szCs w:val="12"/>
        </w:rPr>
        <w:t xml:space="preserve">, which </w:t>
      </w:r>
      <w:r w:rsidRPr="003B396B">
        <w:rPr>
          <w:u w:val="single"/>
        </w:rPr>
        <w:t>is a largely institutional problem</w:t>
      </w:r>
      <w:r w:rsidRPr="003B396B">
        <w:rPr>
          <w:sz w:val="12"/>
          <w:szCs w:val="12"/>
        </w:rPr>
        <w:t xml:space="preserve">.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w:t>
      </w:r>
      <w:proofErr w:type="spellStart"/>
      <w:r w:rsidRPr="003B396B">
        <w:rPr>
          <w:sz w:val="12"/>
          <w:szCs w:val="12"/>
        </w:rPr>
        <w:t>its</w:t>
      </w:r>
      <w:proofErr w:type="spellEnd"/>
      <w:r w:rsidRPr="003B396B">
        <w:rPr>
          <w:sz w:val="12"/>
          <w:szCs w:val="12"/>
        </w:rPr>
        <w:t xml:space="preserve"> still important to limit your energy consumption, she acknowledges that large 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w:t>
      </w:r>
      <w:proofErr w:type="gramStart"/>
      <w:r w:rsidRPr="003B396B">
        <w:rPr>
          <w:sz w:val="12"/>
          <w:szCs w:val="12"/>
        </w:rPr>
        <w:t>live in</w:t>
      </w:r>
      <w:proofErr w:type="gramEnd"/>
      <w:r w:rsidRPr="003B396B">
        <w:rPr>
          <w:sz w:val="12"/>
          <w:szCs w:val="12"/>
        </w:rPr>
        <w:t xml:space="preserve"> neighborhoods where green energy options are available. So, what’s the solution? According to Ott, the answer is clear: “</w:t>
      </w:r>
      <w:r w:rsidRPr="00B574A3">
        <w:rPr>
          <w:highlight w:val="green"/>
          <w:u w:val="single"/>
        </w:rPr>
        <w:t>We need to change</w:t>
      </w:r>
      <w:r w:rsidRPr="003B396B">
        <w:rPr>
          <w:u w:val="single"/>
        </w:rPr>
        <w:t xml:space="preserve"> the way we consume </w:t>
      </w:r>
      <w:r w:rsidRPr="00B574A3">
        <w:rPr>
          <w:highlight w:val="green"/>
          <w:u w:val="single"/>
        </w:rPr>
        <w:t>energy</w:t>
      </w:r>
      <w:r w:rsidRPr="003B396B">
        <w:rPr>
          <w:sz w:val="12"/>
          <w:szCs w:val="12"/>
        </w:rPr>
        <w:t xml:space="preserve">,” she states. “We know the path that we need to go down to combat climate change. And </w:t>
      </w:r>
      <w:r w:rsidRPr="003B396B">
        <w:rPr>
          <w:u w:val="single"/>
        </w:rPr>
        <w:t>it's really up to our political leaders in our country and others to marshal the response</w:t>
      </w:r>
      <w:r w:rsidRPr="003B396B">
        <w:rPr>
          <w:sz w:val="12"/>
          <w:szCs w:val="12"/>
        </w:rPr>
        <w:t xml:space="preserve">, and really put the procedures in place to do just that, to reduce our emissions,” she adds. If it were up to Gavin Schmidt, Ph.D., director of GISS and Principal Investigator for the GISS </w:t>
      </w:r>
      <w:proofErr w:type="spellStart"/>
      <w:r w:rsidRPr="003B396B">
        <w:rPr>
          <w:sz w:val="12"/>
          <w:szCs w:val="12"/>
        </w:rPr>
        <w:t>ModelE</w:t>
      </w:r>
      <w:proofErr w:type="spellEnd"/>
      <w:r w:rsidRPr="003B396B">
        <w:rPr>
          <w:sz w:val="12"/>
          <w:szCs w:val="12"/>
        </w:rPr>
        <w:t xml:space="preserve"> Earth System Model at NASA, he’d combat the climate crisis using several strategies: </w:t>
      </w:r>
      <w:r w:rsidRPr="00B574A3">
        <w:rPr>
          <w:highlight w:val="green"/>
          <w:u w:val="single"/>
        </w:rPr>
        <w:t>shutting down coal</w:t>
      </w:r>
      <w:r w:rsidRPr="003B396B">
        <w:rPr>
          <w:u w:val="single"/>
        </w:rPr>
        <w:t xml:space="preserve"> power stations, </w:t>
      </w:r>
      <w:r w:rsidRPr="00B574A3">
        <w:rPr>
          <w:highlight w:val="green"/>
          <w:u w:val="single"/>
        </w:rPr>
        <w:t>phasing out</w:t>
      </w:r>
      <w:r w:rsidRPr="003B396B">
        <w:rPr>
          <w:u w:val="single"/>
        </w:rPr>
        <w:t xml:space="preserve"> natural </w:t>
      </w:r>
      <w:r w:rsidRPr="00B574A3">
        <w:rPr>
          <w:highlight w:val="green"/>
          <w:u w:val="single"/>
        </w:rPr>
        <w:t>gas, electrifying</w:t>
      </w:r>
      <w:r w:rsidRPr="003B396B">
        <w:rPr>
          <w:u w:val="single"/>
        </w:rPr>
        <w:t xml:space="preserve"> transportation </w:t>
      </w:r>
      <w:r w:rsidRPr="00B574A3">
        <w:rPr>
          <w:highlight w:val="green"/>
          <w:u w:val="single"/>
        </w:rPr>
        <w:t>systems, investing in infrastructure</w:t>
      </w:r>
      <w:r w:rsidRPr="003B396B">
        <w:rPr>
          <w:u w:val="single"/>
        </w:rPr>
        <w:t xml:space="preserve"> for more walk-able and bike-able cities</w:t>
      </w:r>
      <w:r w:rsidRPr="003B396B">
        <w:rPr>
          <w:sz w:val="12"/>
          <w:szCs w:val="12"/>
        </w:rPr>
        <w:t xml:space="preserve">, </w:t>
      </w:r>
      <w:r w:rsidRPr="00B574A3">
        <w:rPr>
          <w:highlight w:val="green"/>
          <w:u w:val="single"/>
        </w:rPr>
        <w:t>building</w:t>
      </w:r>
      <w:r w:rsidRPr="003B396B">
        <w:rPr>
          <w:u w:val="single"/>
        </w:rPr>
        <w:t xml:space="preserve"> a more </w:t>
      </w:r>
      <w:r w:rsidRPr="00B574A3">
        <w:rPr>
          <w:highlight w:val="green"/>
          <w:u w:val="single"/>
        </w:rPr>
        <w:t>unified</w:t>
      </w:r>
      <w:r w:rsidRPr="003B396B">
        <w:rPr>
          <w:u w:val="single"/>
        </w:rPr>
        <w:t xml:space="preserve"> power </w:t>
      </w:r>
      <w:r w:rsidRPr="00B574A3">
        <w:rPr>
          <w:highlight w:val="green"/>
          <w:u w:val="single"/>
        </w:rPr>
        <w:t>grid</w:t>
      </w:r>
      <w:r w:rsidRPr="003B396B">
        <w:rPr>
          <w:u w:val="single"/>
        </w:rPr>
        <w:t>, and pushing for improved public transit</w:t>
      </w:r>
      <w:r w:rsidRPr="003B396B">
        <w:rPr>
          <w:sz w:val="12"/>
          <w:szCs w:val="12"/>
        </w:rPr>
        <w:t xml:space="preserve">. But while scientists have developed the technology and resources for these strategies, </w:t>
      </w:r>
      <w:r w:rsidRPr="003B396B">
        <w:rPr>
          <w:u w:val="single"/>
        </w:rPr>
        <w:t xml:space="preserve">Schmidt notes many </w:t>
      </w:r>
      <w:r w:rsidRPr="00B574A3">
        <w:rPr>
          <w:highlight w:val="green"/>
          <w:u w:val="single"/>
        </w:rPr>
        <w:t>places</w:t>
      </w:r>
      <w:r w:rsidRPr="003B396B">
        <w:rPr>
          <w:u w:val="single"/>
        </w:rPr>
        <w:t xml:space="preserve"> — including the United States — simply </w:t>
      </w:r>
      <w:r w:rsidRPr="00B574A3">
        <w:rPr>
          <w:highlight w:val="green"/>
          <w:u w:val="single"/>
        </w:rPr>
        <w:t>haven’t invested in</w:t>
      </w:r>
      <w:r w:rsidRPr="003B396B">
        <w:rPr>
          <w:u w:val="single"/>
        </w:rPr>
        <w:t xml:space="preserve"> the </w:t>
      </w:r>
      <w:r w:rsidRPr="00B574A3">
        <w:rPr>
          <w:highlight w:val="green"/>
          <w:u w:val="single"/>
        </w:rPr>
        <w:t>infrastructure</w:t>
      </w:r>
      <w:r w:rsidRPr="003B396B">
        <w:rPr>
          <w:u w:val="single"/>
        </w:rPr>
        <w:t xml:space="preserve"> necessary to adopt these strategies. “The infrastructure is </w:t>
      </w:r>
      <w:r w:rsidRPr="00B574A3">
        <w:rPr>
          <w:highlight w:val="green"/>
          <w:u w:val="single"/>
        </w:rPr>
        <w:t>not</w:t>
      </w:r>
      <w:r w:rsidRPr="003B396B">
        <w:rPr>
          <w:u w:val="single"/>
        </w:rPr>
        <w:t xml:space="preserve"> all </w:t>
      </w:r>
      <w:r w:rsidRPr="00B574A3">
        <w:rPr>
          <w:highlight w:val="green"/>
          <w:u w:val="single"/>
        </w:rPr>
        <w:t>there</w:t>
      </w:r>
      <w:r w:rsidRPr="003B396B">
        <w:rPr>
          <w:u w:val="single"/>
        </w:rPr>
        <w:t xml:space="preserve">,” </w:t>
      </w:r>
      <w:r w:rsidRPr="003B396B">
        <w:rPr>
          <w:sz w:val="12"/>
          <w:szCs w:val="12"/>
        </w:rPr>
        <w:t xml:space="preserve">he states. </w:t>
      </w:r>
      <w:proofErr w:type="gramStart"/>
      <w:r w:rsidRPr="003B396B">
        <w:rPr>
          <w:sz w:val="12"/>
          <w:szCs w:val="12"/>
        </w:rPr>
        <w:t>So</w:t>
      </w:r>
      <w:proofErr w:type="gramEnd"/>
      <w:r w:rsidRPr="003B396B">
        <w:rPr>
          <w:sz w:val="12"/>
          <w:szCs w:val="12"/>
        </w:rPr>
        <w:t xml:space="preserve"> while we certainly have the concepts and resources available, </w:t>
      </w:r>
      <w:r w:rsidRPr="003B396B">
        <w:rPr>
          <w:u w:val="single"/>
        </w:rPr>
        <w:t xml:space="preserve">“we're still </w:t>
      </w:r>
      <w:r w:rsidRPr="00B574A3">
        <w:rPr>
          <w:highlight w:val="green"/>
          <w:u w:val="single"/>
        </w:rPr>
        <w:t>missing</w:t>
      </w:r>
      <w:r w:rsidRPr="003B396B">
        <w:rPr>
          <w:u w:val="single"/>
        </w:rPr>
        <w:t xml:space="preserve"> some practical </w:t>
      </w:r>
      <w:r w:rsidRPr="00B574A3">
        <w:rPr>
          <w:highlight w:val="green"/>
          <w:u w:val="single"/>
        </w:rPr>
        <w:t>application</w:t>
      </w:r>
      <w:r w:rsidRPr="003B396B">
        <w:rPr>
          <w:u w:val="single"/>
        </w:rPr>
        <w:t xml:space="preserve"> [for] those things,” he adds. “</w:t>
      </w:r>
      <w:r w:rsidRPr="00B574A3">
        <w:rPr>
          <w:highlight w:val="green"/>
          <w:u w:val="single"/>
        </w:rPr>
        <w:t>We have to make</w:t>
      </w:r>
      <w:r w:rsidRPr="003B396B">
        <w:rPr>
          <w:u w:val="single"/>
        </w:rPr>
        <w:t xml:space="preserve"> the </w:t>
      </w:r>
      <w:r w:rsidRPr="00B574A3">
        <w:rPr>
          <w:highlight w:val="green"/>
          <w:u w:val="single"/>
        </w:rPr>
        <w:t>investments</w:t>
      </w:r>
      <w:r w:rsidRPr="003B396B">
        <w:rPr>
          <w:u w:val="single"/>
        </w:rPr>
        <w:t>, [and] those investments take a while to come to fruition.”</w:t>
      </w:r>
    </w:p>
    <w:p w14:paraId="434115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932167"/>
    <w:multiLevelType w:val="hybridMultilevel"/>
    <w:tmpl w:val="D506D666"/>
    <w:lvl w:ilvl="0" w:tplc="426CA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956"/>
    <w:multiLevelType w:val="hybridMultilevel"/>
    <w:tmpl w:val="6E02A8F2"/>
    <w:lvl w:ilvl="0" w:tplc="D15C742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33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718"/>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3B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43295"/>
    <w:rsid w:val="005519C2"/>
    <w:rsid w:val="005523E0"/>
    <w:rsid w:val="0055320F"/>
    <w:rsid w:val="0055699B"/>
    <w:rsid w:val="0056020A"/>
    <w:rsid w:val="00563D3D"/>
    <w:rsid w:val="005659AA"/>
    <w:rsid w:val="005676E8"/>
    <w:rsid w:val="00570A0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221C"/>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B5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A1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221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3D2A"/>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14D"/>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3D0E42"/>
  <w14:defaultImageDpi w14:val="300"/>
  <w15:docId w15:val="{7A2CC0CD-3E17-434C-8619-90805F9D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33BD"/>
    <w:pPr>
      <w:spacing w:after="160" w:line="259" w:lineRule="auto"/>
    </w:pPr>
  </w:style>
  <w:style w:type="paragraph" w:styleId="Heading1">
    <w:name w:val="heading 1"/>
    <w:aliases w:val="Pocket"/>
    <w:basedOn w:val="Normal"/>
    <w:next w:val="Normal"/>
    <w:link w:val="Heading1Char"/>
    <w:uiPriority w:val="9"/>
    <w:qFormat/>
    <w:rsid w:val="004333B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33B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33B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333BD"/>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4333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3BD"/>
  </w:style>
  <w:style w:type="character" w:customStyle="1" w:styleId="Heading1Char">
    <w:name w:val="Heading 1 Char"/>
    <w:aliases w:val="Pocket Char"/>
    <w:basedOn w:val="DefaultParagraphFont"/>
    <w:link w:val="Heading1"/>
    <w:uiPriority w:val="9"/>
    <w:rsid w:val="004333B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333B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333B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333B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33B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4333BD"/>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4333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33BD"/>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Card"/>
    <w:uiPriority w:val="99"/>
    <w:unhideWhenUsed/>
    <w:rsid w:val="004333BD"/>
    <w:rPr>
      <w:color w:val="auto"/>
      <w:u w:val="none"/>
    </w:rPr>
  </w:style>
  <w:style w:type="paragraph" w:styleId="DocumentMap">
    <w:name w:val="Document Map"/>
    <w:basedOn w:val="Normal"/>
    <w:link w:val="DocumentMapChar"/>
    <w:uiPriority w:val="99"/>
    <w:semiHidden/>
    <w:unhideWhenUsed/>
    <w:rsid w:val="004333BD"/>
    <w:rPr>
      <w:rFonts w:ascii="Lucida Grande" w:hAnsi="Lucida Grande" w:cs="Lucida Grande"/>
    </w:rPr>
  </w:style>
  <w:style w:type="character" w:customStyle="1" w:styleId="DocumentMapChar">
    <w:name w:val="Document Map Char"/>
    <w:basedOn w:val="DefaultParagraphFont"/>
    <w:link w:val="DocumentMap"/>
    <w:uiPriority w:val="99"/>
    <w:semiHidden/>
    <w:rsid w:val="004333BD"/>
    <w:rPr>
      <w:rFonts w:ascii="Lucida Grande" w:hAnsi="Lucida Grande" w:cs="Lucida Grande"/>
    </w:rPr>
  </w:style>
  <w:style w:type="paragraph" w:styleId="ListParagraph">
    <w:name w:val="List Paragraph"/>
    <w:basedOn w:val="Normal"/>
    <w:uiPriority w:val="99"/>
    <w:qFormat/>
    <w:rsid w:val="004333BD"/>
    <w:pPr>
      <w:ind w:left="720"/>
      <w:contextualSpacing/>
    </w:pPr>
    <w:rPr>
      <w:rFonts w:asciiTheme="minorHAnsi" w:hAnsiTheme="minorHAnsi" w:cstheme="minorBidi"/>
    </w:rPr>
  </w:style>
  <w:style w:type="paragraph" w:customStyle="1" w:styleId="textbold">
    <w:name w:val="text bold"/>
    <w:basedOn w:val="Normal"/>
    <w:link w:val="Emphasis"/>
    <w:uiPriority w:val="20"/>
    <w:qFormat/>
    <w:rsid w:val="004333BD"/>
    <w:pP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tags"/>
    <w:basedOn w:val="Heading1"/>
    <w:link w:val="Hyperlink"/>
    <w:autoRedefine/>
    <w:uiPriority w:val="99"/>
    <w:qFormat/>
    <w:rsid w:val="004333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styleId="UnresolvedMention">
    <w:name w:val="Unresolved Mention"/>
    <w:basedOn w:val="DefaultParagraphFont"/>
    <w:uiPriority w:val="99"/>
    <w:semiHidden/>
    <w:unhideWhenUsed/>
    <w:rsid w:val="004333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litedaily.com/news/what-you-can-do-climate-change-after-ipcc-report" TargetMode="External"/><Relationship Id="rId5" Type="http://schemas.openxmlformats.org/officeDocument/2006/relationships/numbering" Target="numbering.xml"/><Relationship Id="rId10" Type="http://schemas.openxmlformats.org/officeDocument/2006/relationships/hyperlink" Target="https://www.barrons.com/articles/drawn-out-negotiations-over-covid-ip-will-blow-back-on-biden-51621973675" TargetMode="External"/><Relationship Id="rId4" Type="http://schemas.openxmlformats.org/officeDocument/2006/relationships/customXml" Target="../customXml/item4.xml"/><Relationship Id="rId9" Type="http://schemas.openxmlformats.org/officeDocument/2006/relationships/hyperlink" Target="https://thehill.com/blogs/congress-blog/politics/570422-everyone-has-an-opinion-on-afghanistan-do-voters-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3841</Words>
  <Characters>21897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9</cp:revision>
  <dcterms:created xsi:type="dcterms:W3CDTF">2021-09-12T15:40:00Z</dcterms:created>
  <dcterms:modified xsi:type="dcterms:W3CDTF">2021-09-12T17:29:00Z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