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E1E0D" w14:textId="77777777" w:rsidR="00743A1D" w:rsidRDefault="00743A1D" w:rsidP="00743A1D">
      <w:pPr>
        <w:pStyle w:val="Heading2"/>
      </w:pPr>
      <w:r>
        <w:t>1AC</w:t>
      </w:r>
    </w:p>
    <w:p w14:paraId="7A13C3F1" w14:textId="77777777" w:rsidR="00743A1D" w:rsidRPr="00421998" w:rsidRDefault="00743A1D" w:rsidP="00743A1D">
      <w:pPr>
        <w:pStyle w:val="Heading3"/>
      </w:pPr>
      <w:r w:rsidRPr="00421998">
        <w:lastRenderedPageBreak/>
        <w:t>Framing</w:t>
      </w:r>
    </w:p>
    <w:p w14:paraId="6350F1FB" w14:textId="77777777" w:rsidR="00743A1D" w:rsidRPr="00925D23" w:rsidRDefault="00743A1D" w:rsidP="00743A1D">
      <w:pPr>
        <w:pStyle w:val="Heading4"/>
        <w:rPr>
          <w:rFonts w:cs="Calibri"/>
        </w:rPr>
      </w:pPr>
      <w:r w:rsidRPr="00925D23">
        <w:rPr>
          <w:rFonts w:cs="Calibri"/>
        </w:rPr>
        <w:t>Ethics must begin a priori</w:t>
      </w:r>
      <w:r>
        <w:rPr>
          <w:rFonts w:cs="Calibri"/>
        </w:rPr>
        <w:t>:</w:t>
      </w:r>
    </w:p>
    <w:p w14:paraId="336006B9" w14:textId="77777777" w:rsidR="00743A1D" w:rsidRPr="00925D23" w:rsidRDefault="00743A1D" w:rsidP="00743A1D">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05EEA733" w14:textId="77777777" w:rsidR="00743A1D" w:rsidRPr="00D836FE" w:rsidRDefault="00743A1D" w:rsidP="00743A1D">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2F9107A6" w14:textId="77777777" w:rsidR="00743A1D" w:rsidRDefault="00743A1D" w:rsidP="00743A1D">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69DF4704" w14:textId="77777777" w:rsidR="00743A1D" w:rsidRPr="006B03DB" w:rsidRDefault="00743A1D" w:rsidP="00743A1D">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35B44AE2" w14:textId="77777777" w:rsidR="00743A1D" w:rsidRPr="00925D23" w:rsidRDefault="00743A1D" w:rsidP="00743A1D">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60A97F31" w14:textId="77777777" w:rsidR="00743A1D" w:rsidRDefault="00743A1D" w:rsidP="00743A1D">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61815264" w14:textId="77777777" w:rsidR="00743A1D" w:rsidRDefault="00743A1D" w:rsidP="00743A1D">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3942AD21" w14:textId="77777777" w:rsidR="00743A1D" w:rsidRPr="00CE11B7" w:rsidRDefault="00743A1D" w:rsidP="00743A1D">
      <w:pPr>
        <w:pStyle w:val="Heading4"/>
      </w:pPr>
      <w:r>
        <w:t xml:space="preserve">[3] </w:t>
      </w:r>
      <w:r w:rsidRPr="00CE11B7">
        <w:t>Only universalizable reason can effectively explain the perspectives of agents – that’s the best method for combatting oppression</w:t>
      </w:r>
      <w:r>
        <w:t>.</w:t>
      </w:r>
    </w:p>
    <w:p w14:paraId="4DF8ACEB" w14:textId="77777777" w:rsidR="00743A1D" w:rsidRPr="00426666" w:rsidRDefault="00743A1D" w:rsidP="00743A1D">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80E9CB8" w14:textId="77777777" w:rsidR="00743A1D" w:rsidRDefault="00743A1D" w:rsidP="00743A1D">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39F2785" w14:textId="679360EB" w:rsidR="00743A1D" w:rsidRDefault="00743A1D" w:rsidP="00743A1D">
      <w:pPr>
        <w:pStyle w:val="Heading4"/>
      </w:pPr>
      <w:r>
        <w:lastRenderedPageBreak/>
        <w:t xml:space="preserve">[4]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58E21F7A" w14:textId="769E7F09" w:rsidR="00241277" w:rsidRDefault="00241277" w:rsidP="00241277">
      <w:pPr>
        <w:pStyle w:val="Heading4"/>
      </w:pPr>
      <w:r>
        <w:t xml:space="preserve">5] </w:t>
      </w:r>
      <w:r>
        <w:t xml:space="preserve">Drop them </w:t>
      </w:r>
      <w:r>
        <w:t>if they read</w:t>
      </w:r>
      <w:r>
        <w:t xml:space="preserve"> ethics based in preservation–it creates a survival-at-all-costs mentality that justifies violence and makes debate unsafe. </w:t>
      </w:r>
    </w:p>
    <w:p w14:paraId="75DE6562" w14:textId="77777777" w:rsidR="00241277" w:rsidRDefault="00241277" w:rsidP="00241277">
      <w:pPr>
        <w:spacing w:after="40" w:line="276" w:lineRule="auto"/>
        <w:rPr>
          <w:rFonts w:asciiTheme="majorHAnsi" w:hAnsiTheme="majorHAnsi" w:cstheme="majorHAnsi"/>
          <w:color w:val="000000" w:themeColor="text1"/>
          <w:sz w:val="21"/>
          <w:szCs w:val="21"/>
          <w:shd w:val="clear" w:color="auto" w:fill="FFFFFF"/>
          <w:lang w:eastAsia="zh-CN"/>
        </w:rPr>
      </w:pPr>
      <w:r>
        <w:rPr>
          <w:rFonts w:asciiTheme="majorHAnsi" w:hAnsiTheme="majorHAnsi" w:cstheme="majorHAnsi"/>
          <w:b/>
          <w:bCs/>
          <w:color w:val="000000" w:themeColor="text1"/>
          <w:sz w:val="28"/>
          <w:szCs w:val="28"/>
          <w:shd w:val="clear" w:color="auto" w:fill="FFFFFF"/>
          <w:lang w:eastAsia="zh-CN"/>
        </w:rPr>
        <w:t>Callahan 73</w:t>
      </w:r>
      <w:r>
        <w:rPr>
          <w:rFonts w:asciiTheme="majorHAnsi" w:hAnsiTheme="majorHAnsi" w:cstheme="majorHAnsi"/>
          <w:color w:val="000000" w:themeColor="text1"/>
          <w:sz w:val="21"/>
          <w:szCs w:val="21"/>
          <w:shd w:val="clear" w:color="auto" w:fill="FFFFFF"/>
          <w:lang w:eastAsia="zh-CN"/>
        </w:rPr>
        <w:t xml:space="preserve"> </w:t>
      </w:r>
      <w:r>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6FE4472D" w14:textId="77777777" w:rsidR="00241277" w:rsidRDefault="00241277" w:rsidP="00241277">
      <w:pPr>
        <w:spacing w:after="40" w:line="276" w:lineRule="auto"/>
        <w:rPr>
          <w:rFonts w:asciiTheme="majorHAnsi" w:hAnsiTheme="majorHAnsi" w:cstheme="majorHAnsi"/>
          <w:color w:val="000000" w:themeColor="text1"/>
          <w:sz w:val="16"/>
          <w:shd w:val="clear" w:color="auto" w:fill="FFFFFF"/>
          <w:lang w:eastAsia="zh-CN"/>
        </w:rPr>
      </w:pPr>
      <w:r>
        <w:rPr>
          <w:rFonts w:asciiTheme="majorHAnsi" w:hAnsiTheme="majorHAnsi" w:cstheme="majorHAnsi"/>
          <w:color w:val="000000" w:themeColor="text1"/>
          <w:sz w:val="16"/>
          <w:shd w:val="clear" w:color="auto" w:fill="FFFFFF"/>
          <w:lang w:eastAsia="zh-CN"/>
        </w:rPr>
        <w:t xml:space="preserve">The </w:t>
      </w:r>
      <w:r>
        <w:rPr>
          <w:rStyle w:val="Emphasis"/>
          <w:rFonts w:asciiTheme="majorHAnsi" w:hAnsiTheme="majorHAnsi" w:cstheme="majorHAnsi"/>
          <w:lang w:eastAsia="zh-CN"/>
        </w:rPr>
        <w:t>value of survival could not be so readily abused</w:t>
      </w:r>
      <w:r>
        <w:rPr>
          <w:rFonts w:asciiTheme="majorHAnsi" w:hAnsiTheme="majorHAnsi" w:cstheme="majorHAnsi"/>
          <w:color w:val="000000" w:themeColor="text1"/>
          <w:sz w:val="16"/>
          <w:shd w:val="clear" w:color="auto" w:fill="FFFFFF"/>
          <w:lang w:eastAsia="zh-CN"/>
        </w:rPr>
        <w:t xml:space="preserve"> were it not for its evocative power. </w:t>
      </w:r>
      <w:r>
        <w:rPr>
          <w:rStyle w:val="Emphasis"/>
          <w:rFonts w:asciiTheme="majorHAnsi" w:hAnsiTheme="majorHAnsi" w:cstheme="majorHAnsi"/>
          <w:lang w:eastAsia="zh-CN"/>
        </w:rPr>
        <w:t xml:space="preserve">But abused it has been. </w:t>
      </w:r>
      <w:r>
        <w:rPr>
          <w:rStyle w:val="Emphasis"/>
          <w:rFonts w:asciiTheme="majorHAnsi" w:hAnsiTheme="majorHAnsi" w:cstheme="majorHAnsi"/>
          <w:highlight w:val="green"/>
          <w:lang w:eastAsia="zh-CN"/>
        </w:rPr>
        <w:t>In</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name of survival</w:t>
      </w:r>
      <w:r>
        <w:rPr>
          <w:rStyle w:val="Emphasis"/>
          <w:rFonts w:asciiTheme="majorHAnsi" w:hAnsiTheme="majorHAnsi" w:cstheme="majorHAnsi"/>
          <w:lang w:eastAsia="zh-CN"/>
        </w:rPr>
        <w:t xml:space="preserve">, all manner of social and political </w:t>
      </w:r>
      <w:r>
        <w:rPr>
          <w:rStyle w:val="Emphasis"/>
          <w:rFonts w:asciiTheme="majorHAnsi" w:hAnsiTheme="majorHAnsi" w:cstheme="majorHAnsi"/>
          <w:highlight w:val="green"/>
          <w:lang w:eastAsia="zh-CN"/>
        </w:rPr>
        <w:t xml:space="preserve">evils </w:t>
      </w:r>
      <w:proofErr w:type="gramStart"/>
      <w:r>
        <w:rPr>
          <w:rStyle w:val="Emphasis"/>
          <w:rFonts w:asciiTheme="majorHAnsi" w:hAnsiTheme="majorHAnsi" w:cstheme="majorHAnsi"/>
          <w:highlight w:val="green"/>
          <w:lang w:eastAsia="zh-CN"/>
        </w:rPr>
        <w:t>have</w:t>
      </w:r>
      <w:proofErr w:type="gramEnd"/>
      <w:r>
        <w:rPr>
          <w:rStyle w:val="Emphasis"/>
          <w:rFonts w:asciiTheme="majorHAnsi" w:hAnsiTheme="majorHAnsi" w:cstheme="majorHAnsi"/>
          <w:highlight w:val="green"/>
          <w:lang w:eastAsia="zh-CN"/>
        </w:rPr>
        <w:t xml:space="preserve"> been committed</w:t>
      </w:r>
      <w:r>
        <w:rPr>
          <w:rStyle w:val="Emphasis"/>
          <w:rFonts w:asciiTheme="majorHAnsi" w:hAnsiTheme="majorHAnsi" w:cstheme="majorHAnsi"/>
          <w:lang w:eastAsia="zh-CN"/>
        </w:rPr>
        <w:t xml:space="preserve"> against the rights of individuals, </w:t>
      </w:r>
      <w:r>
        <w:rPr>
          <w:rStyle w:val="Emphasis"/>
          <w:rFonts w:asciiTheme="majorHAnsi" w:hAnsiTheme="majorHAnsi" w:cstheme="majorHAnsi"/>
          <w:highlight w:val="green"/>
          <w:lang w:eastAsia="zh-CN"/>
        </w:rPr>
        <w:t>including</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right to life.</w:t>
      </w:r>
      <w:r>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Pr>
          <w:rStyle w:val="Emphasis"/>
          <w:rFonts w:asciiTheme="majorHAnsi" w:hAnsiTheme="majorHAnsi" w:cstheme="majorHAnsi"/>
          <w:lang w:eastAsia="zh-CN"/>
        </w:rPr>
        <w:t>upheld by the Supreme Court in Korematsu v. United States</w:t>
      </w:r>
      <w:r>
        <w:rPr>
          <w:rFonts w:asciiTheme="majorHAnsi" w:hAnsiTheme="majorHAnsi" w:cstheme="majorHAnsi"/>
          <w:color w:val="000000" w:themeColor="text1"/>
          <w:sz w:val="16"/>
          <w:shd w:val="clear" w:color="auto" w:fill="FFFFFF"/>
          <w:lang w:eastAsia="zh-CN"/>
        </w:rPr>
        <w:t xml:space="preserve"> (1944) </w:t>
      </w:r>
      <w:r>
        <w:rPr>
          <w:rStyle w:val="Emphasis"/>
          <w:rFonts w:asciiTheme="majorHAnsi" w:hAnsiTheme="majorHAnsi" w:cstheme="majorHAnsi"/>
          <w:lang w:eastAsia="zh-CN"/>
        </w:rPr>
        <w:t xml:space="preserve">in a general consensus that a threat to national security </w:t>
      </w:r>
      <w:r>
        <w:rPr>
          <w:rStyle w:val="Emphasis"/>
          <w:rFonts w:asciiTheme="majorHAnsi" w:hAnsiTheme="majorHAnsi" w:cstheme="majorHAnsi"/>
          <w:highlight w:val="green"/>
          <w:lang w:eastAsia="zh-CN"/>
        </w:rPr>
        <w:t>can justify acts</w:t>
      </w:r>
      <w:r>
        <w:rPr>
          <w:rStyle w:val="Emphasis"/>
          <w:rFonts w:asciiTheme="majorHAnsi" w:hAnsiTheme="majorHAnsi" w:cstheme="majorHAnsi"/>
          <w:lang w:eastAsia="zh-CN"/>
        </w:rPr>
        <w:t xml:space="preserve"> otherwise blatantly </w:t>
      </w:r>
      <w:r>
        <w:rPr>
          <w:rStyle w:val="Emphasis"/>
          <w:rFonts w:asciiTheme="majorHAnsi" w:hAnsiTheme="majorHAnsi" w:cstheme="majorHAnsi"/>
          <w:highlight w:val="green"/>
          <w:lang w:eastAsia="zh-CN"/>
        </w:rPr>
        <w:t>unjustifiable</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survival of the Aryan race was</w:t>
      </w:r>
      <w:r>
        <w:rPr>
          <w:rStyle w:val="Emphasis"/>
          <w:rFonts w:asciiTheme="majorHAnsi" w:hAnsiTheme="majorHAnsi" w:cstheme="majorHAnsi"/>
          <w:lang w:eastAsia="zh-CN"/>
        </w:rPr>
        <w:t xml:space="preserve"> one of the official legitimizations of </w:t>
      </w:r>
      <w:r>
        <w:rPr>
          <w:rStyle w:val="Emphasis"/>
          <w:rFonts w:asciiTheme="majorHAnsi" w:hAnsiTheme="majorHAnsi" w:cstheme="majorHAnsi"/>
          <w:highlight w:val="green"/>
          <w:lang w:eastAsia="zh-CN"/>
        </w:rPr>
        <w:t>Nazism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w:t>
      </w:r>
      <w:r>
        <w:rPr>
          <w:rStyle w:val="Emphasis"/>
          <w:rFonts w:asciiTheme="majorHAnsi" w:hAnsiTheme="majorHAnsi" w:cstheme="majorHAnsi"/>
          <w:lang w:eastAsia="zh-CN"/>
        </w:rPr>
        <w:t xml:space="preserve">Under the banner of survival, the government of </w:t>
      </w:r>
      <w:r>
        <w:rPr>
          <w:rStyle w:val="Emphasis"/>
          <w:rFonts w:asciiTheme="majorHAnsi" w:hAnsiTheme="majorHAnsi" w:cstheme="majorHAnsi"/>
          <w:highlight w:val="green"/>
          <w:lang w:eastAsia="zh-CN"/>
        </w:rPr>
        <w:t xml:space="preserve">South Africa imposed </w:t>
      </w:r>
      <w:r>
        <w:rPr>
          <w:rStyle w:val="Emphasis"/>
          <w:rFonts w:asciiTheme="majorHAnsi" w:hAnsiTheme="majorHAnsi" w:cstheme="majorHAnsi"/>
          <w:lang w:eastAsia="zh-CN"/>
        </w:rPr>
        <w:t xml:space="preserve">a ruthless </w:t>
      </w:r>
      <w:r>
        <w:rPr>
          <w:rStyle w:val="Emphasis"/>
          <w:rFonts w:asciiTheme="majorHAnsi" w:hAnsiTheme="majorHAnsi" w:cstheme="majorHAnsi"/>
          <w:highlight w:val="green"/>
          <w:lang w:eastAsia="zh-CN"/>
        </w:rPr>
        <w:t>apartheid</w:t>
      </w:r>
      <w:r>
        <w:rPr>
          <w:rStyle w:val="Emphasis"/>
          <w:rFonts w:asciiTheme="majorHAnsi" w:hAnsiTheme="majorHAnsi" w:cstheme="majorHAnsi"/>
          <w:lang w:eastAsia="zh-CN"/>
        </w:rPr>
        <w:t>, heedless of the most elementary human rights.</w:t>
      </w:r>
      <w:r>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Pr>
          <w:rFonts w:asciiTheme="majorHAnsi" w:hAnsiTheme="majorHAnsi" w:cstheme="majorHAnsi"/>
          <w:color w:val="000000" w:themeColor="text1"/>
          <w:sz w:val="16"/>
          <w:shd w:val="clear" w:color="auto" w:fill="FFFFFF"/>
          <w:lang w:eastAsia="zh-CN"/>
        </w:rPr>
        <w:t>Jaques</w:t>
      </w:r>
      <w:proofErr w:type="spellEnd"/>
      <w:r>
        <w:rPr>
          <w:rFonts w:asciiTheme="majorHAnsi" w:hAnsiTheme="majorHAnsi" w:cstheme="majorHAnsi"/>
          <w:color w:val="000000" w:themeColor="text1"/>
          <w:sz w:val="16"/>
          <w:shd w:val="clear" w:color="auto" w:fill="FFFFFF"/>
          <w:lang w:eastAsia="zh-CN"/>
        </w:rPr>
        <w:t xml:space="preserve"> Monod, in Chance and Necessity, </w:t>
      </w:r>
      <w:r>
        <w:rPr>
          <w:rStyle w:val="Emphasis"/>
          <w:rFonts w:asciiTheme="majorHAnsi" w:hAnsiTheme="majorHAnsi" w:cstheme="majorHAnsi"/>
          <w:highlight w:val="green"/>
          <w:lang w:eastAsia="zh-CN"/>
        </w:rPr>
        <w:t>survival requires</w:t>
      </w:r>
      <w:r>
        <w:rPr>
          <w:rStyle w:val="Emphasis"/>
          <w:rFonts w:asciiTheme="majorHAnsi" w:hAnsiTheme="majorHAnsi" w:cstheme="majorHAnsi"/>
          <w:lang w:eastAsia="zh-CN"/>
        </w:rPr>
        <w:t xml:space="preserve"> that </w:t>
      </w:r>
      <w:r>
        <w:rPr>
          <w:rStyle w:val="Emphasis"/>
          <w:rFonts w:asciiTheme="majorHAnsi" w:hAnsiTheme="majorHAnsi" w:cstheme="majorHAnsi"/>
          <w:highlight w:val="green"/>
          <w:lang w:eastAsia="zh-CN"/>
        </w:rPr>
        <w:t>we overthrow</w:t>
      </w:r>
      <w:r>
        <w:rPr>
          <w:rStyle w:val="Emphasis"/>
          <w:rFonts w:asciiTheme="majorHAnsi" w:hAnsiTheme="majorHAnsi" w:cstheme="majorHAnsi"/>
          <w:lang w:eastAsia="zh-CN"/>
        </w:rPr>
        <w:t xml:space="preserve"> almost all known religious, </w:t>
      </w:r>
      <w:r>
        <w:rPr>
          <w:rStyle w:val="Emphasis"/>
          <w:rFonts w:asciiTheme="majorHAnsi" w:hAnsiTheme="majorHAnsi" w:cstheme="majorHAnsi"/>
          <w:highlight w:val="green"/>
          <w:lang w:eastAsia="zh-CN"/>
        </w:rPr>
        <w:t>ethical</w:t>
      </w:r>
      <w:r>
        <w:rPr>
          <w:rStyle w:val="Emphasis"/>
          <w:rFonts w:asciiTheme="majorHAnsi" w:hAnsiTheme="majorHAnsi" w:cstheme="majorHAnsi"/>
          <w:lang w:eastAsia="zh-CN"/>
        </w:rPr>
        <w:t xml:space="preserve">, and political </w:t>
      </w:r>
      <w:r>
        <w:rPr>
          <w:rStyle w:val="Emphasis"/>
          <w:rFonts w:asciiTheme="majorHAnsi" w:hAnsiTheme="majorHAnsi" w:cstheme="majorHAnsi"/>
          <w:highlight w:val="green"/>
          <w:lang w:eastAsia="zh-CN"/>
        </w:rPr>
        <w:t>system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w:t>
      </w:r>
      <w:proofErr w:type="gramStart"/>
      <w:r>
        <w:rPr>
          <w:rFonts w:asciiTheme="majorHAnsi" w:hAnsiTheme="majorHAnsi" w:cstheme="majorHAnsi"/>
          <w:color w:val="000000" w:themeColor="text1"/>
          <w:sz w:val="16"/>
          <w:shd w:val="clear" w:color="auto" w:fill="FFFFFF"/>
          <w:lang w:eastAsia="zh-CN"/>
        </w:rPr>
        <w:t>For</w:t>
      </w:r>
      <w:proofErr w:type="gramEnd"/>
      <w:r>
        <w:rPr>
          <w:rFonts w:asciiTheme="majorHAnsi" w:hAnsiTheme="majorHAnsi" w:cstheme="majorHAnsi"/>
          <w:color w:val="000000" w:themeColor="text1"/>
          <w:sz w:val="16"/>
          <w:shd w:val="clear" w:color="auto" w:fill="FFFFFF"/>
          <w:lang w:eastAsia="zh-CN"/>
        </w:rPr>
        <w:t xml:space="preserve"> all these reasons, it is possible to counterpoise over against the need for survival a "tyranny of survival." </w:t>
      </w:r>
      <w:r>
        <w:rPr>
          <w:rStyle w:val="Emphasis"/>
          <w:rFonts w:asciiTheme="majorHAnsi" w:hAnsiTheme="majorHAnsi" w:cstheme="majorHAnsi"/>
          <w:lang w:eastAsia="zh-CN"/>
        </w:rPr>
        <w:t>There seems to be no imaginable evil which some group is not willing to inflict on another for the sake of survival, no rights, liberties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Pr>
          <w:rFonts w:asciiTheme="majorHAnsi" w:hAnsiTheme="majorHAnsi" w:cstheme="majorHAnsi"/>
          <w:color w:val="000000" w:themeColor="text1"/>
          <w:sz w:val="16"/>
          <w:shd w:val="clear" w:color="auto" w:fill="FFFFFF"/>
          <w:lang w:eastAsia="zh-CN"/>
        </w:rPr>
        <w:t xml:space="preserve">. But my point goes deeper than that. It is directed even at legitimate concern for survival, when that concern is allowed to reach an intensity which would ignore, suppress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w:t>
      </w:r>
      <w:r>
        <w:rPr>
          <w:rFonts w:asciiTheme="majorHAnsi" w:hAnsiTheme="majorHAnsi" w:cstheme="majorHAnsi"/>
          <w:color w:val="000000" w:themeColor="text1"/>
          <w:sz w:val="16"/>
          <w:shd w:val="clear" w:color="auto" w:fill="FFFFFF"/>
          <w:lang w:eastAsia="zh-CN"/>
        </w:rPr>
        <w:lastRenderedPageBreak/>
        <w:t xml:space="preserve">survival. To put it more strongly, if the price of survival is human degradation, then there is no moral reason why an effort should be </w:t>
      </w:r>
      <w:proofErr w:type="spellStart"/>
      <w:proofErr w:type="gramStart"/>
      <w:r>
        <w:rPr>
          <w:rFonts w:asciiTheme="majorHAnsi" w:hAnsiTheme="majorHAnsi" w:cstheme="majorHAnsi"/>
          <w:color w:val="000000" w:themeColor="text1"/>
          <w:sz w:val="16"/>
          <w:shd w:val="clear" w:color="auto" w:fill="FFFFFF"/>
          <w:lang w:eastAsia="zh-CN"/>
        </w:rPr>
        <w:t>make</w:t>
      </w:r>
      <w:proofErr w:type="spellEnd"/>
      <w:proofErr w:type="gramEnd"/>
      <w:r>
        <w:rPr>
          <w:rFonts w:asciiTheme="majorHAnsi" w:hAnsiTheme="majorHAnsi" w:cstheme="majorHAnsi"/>
          <w:color w:val="000000" w:themeColor="text1"/>
          <w:sz w:val="16"/>
          <w:shd w:val="clear" w:color="auto" w:fill="FFFFFF"/>
          <w:lang w:eastAsia="zh-CN"/>
        </w:rPr>
        <w:t xml:space="preserve"> to ensure that survival. It would be the Pyrrhic victory to end all Pyrrhic victories.</w:t>
      </w:r>
    </w:p>
    <w:p w14:paraId="02FF07A2" w14:textId="77777777" w:rsidR="00743A1D" w:rsidRDefault="00743A1D" w:rsidP="00743A1D">
      <w:pPr>
        <w:pStyle w:val="Heading3"/>
      </w:pPr>
      <w:r>
        <w:lastRenderedPageBreak/>
        <w:t>Advocacy</w:t>
      </w:r>
    </w:p>
    <w:p w14:paraId="0CD4772B" w14:textId="77777777" w:rsidR="00743A1D" w:rsidRDefault="00743A1D" w:rsidP="00743A1D">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4DEC71A2" w14:textId="77777777" w:rsidR="00743A1D" w:rsidRDefault="00743A1D" w:rsidP="00743A1D">
      <w:pPr>
        <w:pStyle w:val="Heading4"/>
      </w:pPr>
      <w:r>
        <w:t xml:space="preserve">Enforcement is to eliminate all IPR for medicines </w:t>
      </w:r>
    </w:p>
    <w:p w14:paraId="02D0297D" w14:textId="77777777" w:rsidR="00743A1D" w:rsidRPr="00E60F04" w:rsidRDefault="00743A1D" w:rsidP="00743A1D">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06D45C35" w14:textId="77777777" w:rsidR="00743A1D" w:rsidRPr="00F52E80" w:rsidRDefault="00743A1D" w:rsidP="00743A1D">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w:t>
      </w:r>
      <w:r w:rsidRPr="00F52E80">
        <w:rPr>
          <w:sz w:val="16"/>
        </w:rPr>
        <w:lastRenderedPageBreak/>
        <w:t>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1BE20EC9" w14:textId="77777777" w:rsidR="00743A1D" w:rsidRPr="00E60F04" w:rsidRDefault="00743A1D" w:rsidP="00743A1D"/>
    <w:p w14:paraId="4A5E01F6" w14:textId="77777777" w:rsidR="00743A1D" w:rsidRDefault="00743A1D" w:rsidP="00743A1D">
      <w:pPr>
        <w:pStyle w:val="Heading3"/>
      </w:pPr>
      <w:r>
        <w:lastRenderedPageBreak/>
        <w:t>Offense</w:t>
      </w:r>
    </w:p>
    <w:p w14:paraId="137E19DE" w14:textId="77777777" w:rsidR="00743A1D" w:rsidRPr="00305C79" w:rsidRDefault="00743A1D" w:rsidP="00743A1D">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67B30D32" w14:textId="77777777" w:rsidR="00743A1D" w:rsidRPr="00305C79" w:rsidRDefault="00743A1D" w:rsidP="00743A1D">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5B0E362B" w14:textId="77777777" w:rsidR="00743A1D" w:rsidRPr="00305C79" w:rsidRDefault="00743A1D" w:rsidP="00743A1D">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w:t>
      </w:r>
      <w:r w:rsidRPr="00305C79">
        <w:lastRenderedPageBreak/>
        <w:t xml:space="preserve">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xml:space="preserve">. The boundary of Kant's copyright is the public use of </w:t>
      </w:r>
      <w:r w:rsidRPr="00305C79">
        <w:rPr>
          <w:rStyle w:val="Emphasis"/>
        </w:rPr>
        <w:lastRenderedPageBreak/>
        <w:t>reason, as a key element of a basic right that should be recognized to everyone. Kant does not stick to the Roman Law tradition because of conservatism, but because of Enlightenment.</w:t>
      </w:r>
    </w:p>
    <w:p w14:paraId="4B40E4E4" w14:textId="77777777" w:rsidR="00743A1D" w:rsidRPr="00065E12" w:rsidRDefault="00743A1D" w:rsidP="00743A1D"/>
    <w:p w14:paraId="1399CD6E" w14:textId="77777777" w:rsidR="00743A1D" w:rsidRPr="00305C79" w:rsidRDefault="00743A1D" w:rsidP="00743A1D">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0E6ABD32" w14:textId="77777777" w:rsidR="00743A1D" w:rsidRPr="00305C79" w:rsidRDefault="00743A1D" w:rsidP="00743A1D">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2FE8DE8A" w14:textId="77777777" w:rsidR="00743A1D" w:rsidRPr="00305C79" w:rsidRDefault="00743A1D" w:rsidP="00743A1D">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t>
      </w:r>
      <w:r w:rsidRPr="00305C79">
        <w:rPr>
          <w:rStyle w:val="Emphasis"/>
        </w:rPr>
        <w:lastRenderedPageBreak/>
        <w:t xml:space="preserve">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13AE1087" w14:textId="77777777" w:rsidR="00743A1D" w:rsidRPr="00305C79" w:rsidRDefault="00743A1D" w:rsidP="00743A1D">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17BCCDF5" w14:textId="77777777" w:rsidR="00743A1D" w:rsidRPr="00305C79" w:rsidRDefault="00743A1D" w:rsidP="00743A1D">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4135EB59" w14:textId="77777777" w:rsidR="00743A1D" w:rsidRDefault="00743A1D" w:rsidP="00743A1D">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C9289C7" w14:textId="77777777" w:rsidR="00743A1D" w:rsidRDefault="00743A1D" w:rsidP="00743A1D">
      <w:pPr>
        <w:pStyle w:val="Heading4"/>
      </w:pPr>
      <w:r>
        <w:t>4] IPP unjustifiably restricts agents from setting and pursuing ends in healthcare because patents prevent people from taking part in scientific advancements in medicine – that violates freedom in multiple ways</w:t>
      </w:r>
    </w:p>
    <w:p w14:paraId="2CBC65F8" w14:textId="77777777" w:rsidR="00743A1D" w:rsidRPr="00C71D84" w:rsidRDefault="00743A1D" w:rsidP="00743A1D">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52A0AA4B" w14:textId="77777777" w:rsidR="00743A1D" w:rsidRPr="00C71D84" w:rsidRDefault="00743A1D" w:rsidP="00743A1D">
      <w:r w:rsidRPr="00C71D84">
        <w:lastRenderedPageBreak/>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78B1D8DB" w14:textId="77777777" w:rsidR="00743A1D" w:rsidRPr="00305C79" w:rsidRDefault="00743A1D" w:rsidP="00743A1D"/>
    <w:p w14:paraId="59D9530D" w14:textId="77777777" w:rsidR="00743A1D" w:rsidRPr="00352008" w:rsidRDefault="00743A1D" w:rsidP="00743A1D">
      <w:pPr>
        <w:pStyle w:val="Heading3"/>
      </w:pPr>
      <w:r>
        <w:lastRenderedPageBreak/>
        <w:t>UV</w:t>
      </w:r>
    </w:p>
    <w:p w14:paraId="0153FF8E" w14:textId="77777777" w:rsidR="00743A1D" w:rsidRDefault="00743A1D" w:rsidP="00743A1D">
      <w:pPr>
        <w:pStyle w:val="Heading4"/>
      </w:pPr>
      <w:r>
        <w:t xml:space="preserve">[1] </w:t>
      </w:r>
      <w:r w:rsidRPr="00E600C8">
        <w:t xml:space="preserve">Presumption and permissibility affirm – </w:t>
      </w:r>
    </w:p>
    <w:p w14:paraId="0E7F984C" w14:textId="77777777" w:rsidR="00743A1D" w:rsidRDefault="00743A1D" w:rsidP="00743A1D">
      <w:pPr>
        <w:pStyle w:val="Heading4"/>
      </w:pPr>
      <w:r w:rsidRPr="00E600C8">
        <w:t xml:space="preserve">[a] Statements are true before false since if I told you my name, you’d believe me. </w:t>
      </w:r>
    </w:p>
    <w:p w14:paraId="50024771" w14:textId="77777777" w:rsidR="00743A1D" w:rsidRDefault="00743A1D" w:rsidP="00743A1D">
      <w:pPr>
        <w:pStyle w:val="Heading4"/>
      </w:pPr>
      <w:r w:rsidRPr="00E600C8">
        <w:t xml:space="preserve">[b] Epistemics – we wouldn’t be able to start a strand of reasoning since we’d have to question that reason. </w:t>
      </w:r>
    </w:p>
    <w:p w14:paraId="027BA95C" w14:textId="77777777" w:rsidR="00743A1D" w:rsidRDefault="00743A1D" w:rsidP="00743A1D">
      <w:pPr>
        <w:pStyle w:val="Heading4"/>
      </w:pPr>
      <w:r w:rsidRPr="00E600C8">
        <w:t xml:space="preserve">[c] Otherwise we’d have to have a proactive justification to do things like drink water. </w:t>
      </w:r>
    </w:p>
    <w:p w14:paraId="5D1CEE69" w14:textId="77777777" w:rsidR="00743A1D" w:rsidRDefault="00743A1D" w:rsidP="00743A1D">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39F310A2" w14:textId="77777777" w:rsidR="00743A1D" w:rsidRDefault="00743A1D" w:rsidP="00743A1D"/>
    <w:p w14:paraId="3CD1E334" w14:textId="77777777" w:rsidR="00743A1D" w:rsidRDefault="00743A1D" w:rsidP="00743A1D">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5B061F40" w14:textId="77777777" w:rsidR="00743A1D" w:rsidRDefault="00743A1D" w:rsidP="00743A1D">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14E9C088" w14:textId="77777777" w:rsidR="00743A1D" w:rsidRDefault="00743A1D" w:rsidP="00743A1D">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668BD28F" w14:textId="77777777" w:rsidR="00743A1D" w:rsidRDefault="00743A1D" w:rsidP="00743A1D">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1D1997C9" w14:textId="77777777" w:rsidR="00743A1D" w:rsidRPr="00A20754" w:rsidRDefault="00743A1D" w:rsidP="00743A1D">
      <w:pPr>
        <w:pStyle w:val="Heading3"/>
      </w:pPr>
      <w:r>
        <w:lastRenderedPageBreak/>
        <w:t xml:space="preserve">Adv- </w:t>
      </w:r>
      <w:proofErr w:type="spellStart"/>
      <w:r>
        <w:t>Covid</w:t>
      </w:r>
      <w:proofErr w:type="spellEnd"/>
    </w:p>
    <w:p w14:paraId="79E0B9B5" w14:textId="77777777" w:rsidR="00743A1D" w:rsidRPr="00976E44" w:rsidRDefault="00743A1D" w:rsidP="00743A1D">
      <w:pPr>
        <w:pStyle w:val="Heading4"/>
        <w:rPr>
          <w:rFonts w:cs="Calibri"/>
        </w:rPr>
      </w:pPr>
      <w:r w:rsidRPr="00976E44">
        <w:rPr>
          <w:rFonts w:cs="Calibri"/>
        </w:rPr>
        <w:t xml:space="preserve">Only the plan can solve </w:t>
      </w:r>
      <w:proofErr w:type="spellStart"/>
      <w:r w:rsidRPr="00976E44">
        <w:rPr>
          <w:rFonts w:cs="Calibri"/>
          <w:u w:val="single"/>
        </w:rPr>
        <w:t>covid</w:t>
      </w:r>
      <w:proofErr w:type="spellEnd"/>
      <w:r w:rsidRPr="00976E44">
        <w:rPr>
          <w:rFonts w:cs="Calibri"/>
          <w:u w:val="single"/>
        </w:rPr>
        <w:t xml:space="preserve">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D413DBB" w14:textId="77777777" w:rsidR="00743A1D" w:rsidRPr="00976E44" w:rsidRDefault="00743A1D" w:rsidP="00743A1D">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76E44">
          <w:rPr>
            <w:rStyle w:val="Hyperlink"/>
          </w:rPr>
          <w:t>https://idsa.in/issuebrief/wto-trips-waiver-covid-vaccine-rkumar-120721</w:t>
        </w:r>
      </w:hyperlink>
      <w:r w:rsidRPr="00976E44">
        <w:t>] Justin</w:t>
      </w:r>
    </w:p>
    <w:p w14:paraId="0AE9F4D8" w14:textId="77777777" w:rsidR="00743A1D" w:rsidRPr="00976E44" w:rsidRDefault="00743A1D" w:rsidP="00743A1D">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C62C800" w14:textId="77777777" w:rsidR="00743A1D" w:rsidRPr="00976E44" w:rsidRDefault="00743A1D" w:rsidP="00743A1D">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049F976C" w14:textId="77777777" w:rsidR="00743A1D" w:rsidRPr="00976E44" w:rsidRDefault="00743A1D" w:rsidP="00743A1D">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980C187" w14:textId="77777777" w:rsidR="00743A1D" w:rsidRPr="00976E44" w:rsidRDefault="00743A1D" w:rsidP="00743A1D">
      <w:pPr>
        <w:rPr>
          <w:u w:val="single"/>
        </w:rPr>
      </w:pPr>
      <w:r w:rsidRPr="00976E44">
        <w:rPr>
          <w:highlight w:val="green"/>
          <w:u w:val="single"/>
        </w:rPr>
        <w:lastRenderedPageBreak/>
        <w:t xml:space="preserve">TRIPS: </w:t>
      </w:r>
      <w:r w:rsidRPr="00976E44">
        <w:rPr>
          <w:rStyle w:val="Emphasis"/>
          <w:highlight w:val="green"/>
        </w:rPr>
        <w:t>Barrier</w:t>
      </w:r>
      <w:r w:rsidRPr="00976E44">
        <w:rPr>
          <w:rStyle w:val="Emphasis"/>
        </w:rPr>
        <w:t xml:space="preserve"> to Equitable Health Care Access</w:t>
      </w:r>
    </w:p>
    <w:p w14:paraId="5B8D5A31" w14:textId="77777777" w:rsidR="00743A1D" w:rsidRPr="00976E44" w:rsidRDefault="00743A1D" w:rsidP="00743A1D">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8C9F745" w14:textId="77777777" w:rsidR="00743A1D" w:rsidRPr="00976E44" w:rsidRDefault="00743A1D" w:rsidP="00743A1D">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71FFA5E" w14:textId="77777777" w:rsidR="00743A1D" w:rsidRPr="00976E44" w:rsidRDefault="00743A1D" w:rsidP="00743A1D">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0D4BBFF" w14:textId="77777777" w:rsidR="00743A1D" w:rsidRPr="00976E44" w:rsidRDefault="00743A1D" w:rsidP="00743A1D">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C3CE2ED" w14:textId="77777777" w:rsidR="00743A1D" w:rsidRPr="00976E44" w:rsidRDefault="00743A1D" w:rsidP="00743A1D">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46DA8E44" w14:textId="77777777" w:rsidR="00743A1D" w:rsidRPr="00976E44" w:rsidRDefault="00743A1D" w:rsidP="00743A1D">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4990A8EF" w14:textId="77777777" w:rsidR="00743A1D" w:rsidRPr="00976E44" w:rsidRDefault="00743A1D" w:rsidP="00743A1D">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w:t>
      </w:r>
      <w:r w:rsidRPr="00976E44">
        <w:rPr>
          <w:sz w:val="16"/>
        </w:rPr>
        <w:lastRenderedPageBreak/>
        <w:t xml:space="preserve">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4DADB7AF" w14:textId="77777777" w:rsidR="00743A1D" w:rsidRPr="00976E44" w:rsidRDefault="00743A1D" w:rsidP="00743A1D">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C6C8CC4" w14:textId="77777777" w:rsidR="00743A1D" w:rsidRPr="00976E44" w:rsidRDefault="00743A1D" w:rsidP="00743A1D">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0B610D07" w14:textId="77777777" w:rsidR="00743A1D" w:rsidRPr="00976E44" w:rsidRDefault="00743A1D" w:rsidP="00743A1D">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253D8682" w14:textId="77777777" w:rsidR="00743A1D" w:rsidRPr="00976E44" w:rsidRDefault="00743A1D" w:rsidP="00743A1D">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t>
      </w:r>
      <w:r w:rsidRPr="00976E44">
        <w:rPr>
          <w:sz w:val="16"/>
          <w:szCs w:val="16"/>
        </w:rPr>
        <w:lastRenderedPageBreak/>
        <w:t xml:space="preserve">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445DEF36" w14:textId="77777777" w:rsidR="00743A1D" w:rsidRPr="00976E44" w:rsidRDefault="00743A1D" w:rsidP="00743A1D">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w:t>
      </w:r>
      <w:proofErr w:type="spellStart"/>
      <w:r w:rsidRPr="00976E44">
        <w:rPr>
          <w:rFonts w:cs="Calibri"/>
        </w:rPr>
        <w:t>covid</w:t>
      </w:r>
      <w:proofErr w:type="spellEnd"/>
      <w:r w:rsidRPr="00976E44">
        <w:rPr>
          <w:rFonts w:cs="Calibri"/>
        </w:rPr>
        <w:t>.</w:t>
      </w:r>
    </w:p>
    <w:p w14:paraId="62AEB71E" w14:textId="77777777" w:rsidR="00743A1D" w:rsidRPr="00976E44" w:rsidRDefault="00743A1D" w:rsidP="00743A1D">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976E44">
          <w:rPr>
            <w:rStyle w:val="Hyperlink"/>
          </w:rPr>
          <w:t>https://www.statnews.com/2021/05/19/beyond-a-symbolic-gesture-whats-needed-to-turn-the-ip-waiver-into-covid-19-vaccines/</w:t>
        </w:r>
      </w:hyperlink>
      <w:r w:rsidRPr="00976E44">
        <w:t>] Justin</w:t>
      </w:r>
    </w:p>
    <w:p w14:paraId="63B3E532" w14:textId="77777777" w:rsidR="00743A1D" w:rsidRPr="00976E44" w:rsidRDefault="00743A1D" w:rsidP="00743A1D">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976E44">
        <w:rPr>
          <w:sz w:val="16"/>
        </w:rPr>
        <w:t>Covid</w:t>
      </w:r>
      <w:proofErr w:type="spellEnd"/>
      <w:r w:rsidRPr="00976E44">
        <w:rPr>
          <w:sz w:val="16"/>
        </w:rPr>
        <w:t xml:space="preserve"> variants.”</w:t>
      </w:r>
    </w:p>
    <w:p w14:paraId="076C8D34" w14:textId="77777777" w:rsidR="00743A1D" w:rsidRPr="00976E44" w:rsidRDefault="00743A1D" w:rsidP="00743A1D">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6A71B5CA" w14:textId="77777777" w:rsidR="00743A1D" w:rsidRPr="00976E44" w:rsidRDefault="00743A1D" w:rsidP="00743A1D">
      <w:pPr>
        <w:rPr>
          <w:rStyle w:val="Emphasis"/>
        </w:rPr>
      </w:pPr>
      <w:r w:rsidRPr="00976E44">
        <w:rPr>
          <w:u w:val="single"/>
        </w:rPr>
        <w:t xml:space="preserve">Both truths suggest that we </w:t>
      </w:r>
      <w:r w:rsidRPr="00976E44">
        <w:rPr>
          <w:rStyle w:val="Emphasis"/>
        </w:rPr>
        <w:t>pass the blueprint and build the kitchen.</w:t>
      </w:r>
    </w:p>
    <w:p w14:paraId="2758058A" w14:textId="77777777" w:rsidR="00743A1D" w:rsidRPr="00976E44" w:rsidRDefault="00743A1D" w:rsidP="00743A1D">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76D93BF9" w14:textId="77777777" w:rsidR="00743A1D" w:rsidRPr="00976E44" w:rsidRDefault="00743A1D" w:rsidP="00743A1D"/>
    <w:p w14:paraId="06DEAC2F" w14:textId="77777777" w:rsidR="00743A1D" w:rsidRPr="00976E44" w:rsidRDefault="00743A1D" w:rsidP="00743A1D"/>
    <w:p w14:paraId="278029C5" w14:textId="77777777" w:rsidR="00743A1D" w:rsidRPr="00976E44" w:rsidRDefault="00743A1D" w:rsidP="00743A1D">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ACF21DC" w14:textId="77777777" w:rsidR="00743A1D" w:rsidRPr="00976E44" w:rsidRDefault="00743A1D" w:rsidP="00743A1D">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w:t>
      </w:r>
      <w:r w:rsidRPr="00976E44">
        <w:lastRenderedPageBreak/>
        <w:t xml:space="preserve">final report,” Journal for Peace and Nuclear Disarmament; 5/28/21; </w:t>
      </w:r>
      <w:hyperlink r:id="rId21" w:history="1">
        <w:r w:rsidRPr="00976E44">
          <w:rPr>
            <w:rStyle w:val="Hyperlink"/>
          </w:rPr>
          <w:t>https://www.tandfonline.com/doi/full/10.1080/25751654.2021.1890867</w:t>
        </w:r>
      </w:hyperlink>
      <w:r w:rsidRPr="00976E44">
        <w:t>] Justin</w:t>
      </w:r>
    </w:p>
    <w:p w14:paraId="7752F712" w14:textId="77777777" w:rsidR="00743A1D" w:rsidRPr="00976E44" w:rsidRDefault="00743A1D" w:rsidP="00743A1D">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44DD5B02" w14:textId="77777777" w:rsidR="00743A1D" w:rsidRPr="00976E44" w:rsidRDefault="00743A1D" w:rsidP="00743A1D">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AF94419" w14:textId="77777777" w:rsidR="00743A1D" w:rsidRPr="00976E44" w:rsidRDefault="00743A1D" w:rsidP="00743A1D">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7B67442" w14:textId="77777777" w:rsidR="00743A1D" w:rsidRPr="00976E44" w:rsidRDefault="00743A1D" w:rsidP="00743A1D">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3D96E783" w14:textId="77777777" w:rsidR="00743A1D" w:rsidRPr="00976E44" w:rsidRDefault="00743A1D" w:rsidP="00743A1D">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13C56C4" w14:textId="77777777" w:rsidR="00743A1D" w:rsidRPr="00976E44" w:rsidRDefault="00743A1D" w:rsidP="00743A1D">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2D996A9" w14:textId="77777777" w:rsidR="00743A1D" w:rsidRPr="00976E44" w:rsidRDefault="00743A1D" w:rsidP="00743A1D">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 xml:space="preserve">first </w:t>
      </w:r>
      <w:r w:rsidRPr="00976E44">
        <w:rPr>
          <w:highlight w:val="green"/>
          <w:u w:val="single"/>
        </w:rPr>
        <w:lastRenderedPageBreak/>
        <w:t>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5075BC17" w14:textId="77777777" w:rsidR="00743A1D" w:rsidRPr="00976E44" w:rsidRDefault="00743A1D" w:rsidP="00743A1D">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4FBDB15F" w14:textId="77777777" w:rsidR="00743A1D" w:rsidRPr="00976E44" w:rsidRDefault="00743A1D" w:rsidP="00743A1D">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3B4A5C62" w14:textId="77777777" w:rsidR="00743A1D" w:rsidRDefault="00743A1D" w:rsidP="00743A1D">
      <w:pPr>
        <w:pStyle w:val="Heading3"/>
      </w:pPr>
      <w:r>
        <w:lastRenderedPageBreak/>
        <w:t>Adv- Vaccine Diplomacy</w:t>
      </w:r>
    </w:p>
    <w:p w14:paraId="2EC6F165" w14:textId="77777777" w:rsidR="00743A1D" w:rsidRPr="00976E44" w:rsidRDefault="00743A1D" w:rsidP="00743A1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12788B5" w14:textId="77777777" w:rsidR="00743A1D" w:rsidRPr="00976E44" w:rsidRDefault="00743A1D" w:rsidP="00743A1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22" w:history="1">
        <w:r w:rsidRPr="00976E44">
          <w:rPr>
            <w:rStyle w:val="Hyperlink"/>
          </w:rPr>
          <w:t>https://theglobalamericans.org/2021/06/a-u-s-vaccine-diplomacy-strategy-for-latin-america-and-the-caribbean/</w:t>
        </w:r>
      </w:hyperlink>
      <w:r w:rsidRPr="00976E44">
        <w:t xml:space="preserve">] Justin </w:t>
      </w:r>
    </w:p>
    <w:p w14:paraId="04B45981" w14:textId="77777777" w:rsidR="00743A1D" w:rsidRPr="00976E44" w:rsidRDefault="00743A1D" w:rsidP="00743A1D">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15DA63DC" w14:textId="77777777" w:rsidR="00743A1D" w:rsidRPr="00976E44" w:rsidRDefault="00743A1D" w:rsidP="00743A1D">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7635B906" w14:textId="77777777" w:rsidR="00743A1D" w:rsidRPr="00976E44" w:rsidRDefault="00743A1D" w:rsidP="00743A1D">
      <w:pPr>
        <w:rPr>
          <w:sz w:val="16"/>
        </w:rPr>
      </w:pPr>
      <w:r w:rsidRPr="00976E44">
        <w:rPr>
          <w:sz w:val="16"/>
        </w:rPr>
        <w:t>History repeats itself</w:t>
      </w:r>
    </w:p>
    <w:p w14:paraId="06080DAD" w14:textId="77777777" w:rsidR="00743A1D" w:rsidRPr="00976E44" w:rsidRDefault="00743A1D" w:rsidP="00743A1D">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7E0147F0" w14:textId="77777777" w:rsidR="00743A1D" w:rsidRPr="00976E44" w:rsidRDefault="00743A1D" w:rsidP="00743A1D">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1231B4D5" w14:textId="77777777" w:rsidR="00743A1D" w:rsidRPr="00976E44" w:rsidRDefault="00743A1D" w:rsidP="00743A1D">
      <w:pPr>
        <w:rPr>
          <w:sz w:val="16"/>
        </w:rPr>
      </w:pPr>
      <w:r w:rsidRPr="00976E44">
        <w:rPr>
          <w:sz w:val="16"/>
        </w:rPr>
        <w:lastRenderedPageBreak/>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17F2FF90" w14:textId="77777777" w:rsidR="00743A1D" w:rsidRPr="00976E44" w:rsidRDefault="00743A1D" w:rsidP="00743A1D">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042E2EB" w14:textId="77777777" w:rsidR="00743A1D" w:rsidRPr="00976E44" w:rsidRDefault="00743A1D" w:rsidP="00743A1D">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010846A3" w14:textId="77777777" w:rsidR="00743A1D" w:rsidRPr="00976E44" w:rsidRDefault="00743A1D" w:rsidP="00743A1D">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358A98F5" w14:textId="77777777" w:rsidR="00743A1D" w:rsidRPr="00976E44" w:rsidRDefault="00743A1D" w:rsidP="00743A1D">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211ABC42" w14:textId="77777777" w:rsidR="00743A1D" w:rsidRPr="00976E44" w:rsidRDefault="00743A1D" w:rsidP="00743A1D">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19B4F956" w14:textId="77777777" w:rsidR="00743A1D" w:rsidRPr="00976E44" w:rsidRDefault="00743A1D" w:rsidP="00743A1D">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4ECE050C" w14:textId="77777777" w:rsidR="00743A1D" w:rsidRPr="00976E44" w:rsidRDefault="00743A1D" w:rsidP="00743A1D">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50A48F06" w14:textId="77777777" w:rsidR="00743A1D" w:rsidRPr="00976E44" w:rsidRDefault="00743A1D" w:rsidP="00743A1D">
      <w:pPr>
        <w:rPr>
          <w:u w:val="single"/>
        </w:rPr>
      </w:pPr>
      <w:r w:rsidRPr="00976E44">
        <w:rPr>
          <w:rStyle w:val="Emphasis"/>
        </w:rPr>
        <w:lastRenderedPageBreak/>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540FC813" w14:textId="77777777" w:rsidR="00743A1D" w:rsidRPr="00976E44" w:rsidRDefault="00743A1D" w:rsidP="00743A1D">
      <w:pPr>
        <w:rPr>
          <w:sz w:val="16"/>
        </w:rPr>
      </w:pPr>
      <w:r w:rsidRPr="00976E44">
        <w:rPr>
          <w:sz w:val="16"/>
        </w:rPr>
        <w:t>A lack of strategy and political will</w:t>
      </w:r>
    </w:p>
    <w:p w14:paraId="7C7B5425" w14:textId="77777777" w:rsidR="00743A1D" w:rsidRPr="00976E44" w:rsidRDefault="00743A1D" w:rsidP="00743A1D">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22580814" w14:textId="77777777" w:rsidR="00743A1D" w:rsidRPr="00976E44" w:rsidRDefault="00743A1D" w:rsidP="00743A1D">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263AABD4" w14:textId="77777777" w:rsidR="00743A1D" w:rsidRPr="00976E44" w:rsidRDefault="00743A1D" w:rsidP="00743A1D">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33DE9F36" w14:textId="77777777" w:rsidR="00743A1D" w:rsidRPr="00976E44" w:rsidRDefault="00743A1D" w:rsidP="00743A1D">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7E8EA11F" w14:textId="77777777" w:rsidR="00743A1D" w:rsidRPr="00976E44" w:rsidRDefault="00743A1D" w:rsidP="00743A1D">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w:t>
      </w:r>
      <w:r w:rsidRPr="00976E44">
        <w:rPr>
          <w:sz w:val="16"/>
        </w:rPr>
        <w:lastRenderedPageBreak/>
        <w:t xml:space="preserve">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0C81F8B" w14:textId="77777777" w:rsidR="00743A1D" w:rsidRPr="00976E44" w:rsidRDefault="00743A1D" w:rsidP="00743A1D">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586EE5F2" w14:textId="77777777" w:rsidR="00743A1D" w:rsidRPr="00976E44" w:rsidRDefault="00743A1D" w:rsidP="00743A1D">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31785593" w14:textId="77777777" w:rsidR="00743A1D" w:rsidRPr="00976E44" w:rsidRDefault="00743A1D" w:rsidP="00743A1D">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7077A804" w14:textId="77777777" w:rsidR="00743A1D" w:rsidRPr="00976E44" w:rsidRDefault="00743A1D" w:rsidP="00743A1D">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39758376" w14:textId="77777777" w:rsidR="00743A1D" w:rsidRPr="00976E44" w:rsidRDefault="00743A1D" w:rsidP="00743A1D">
      <w:pPr>
        <w:rPr>
          <w:sz w:val="16"/>
        </w:rPr>
      </w:pPr>
      <w:r w:rsidRPr="00976E44">
        <w:rPr>
          <w:sz w:val="16"/>
        </w:rPr>
        <w:t>A forward-thinking strategy</w:t>
      </w:r>
    </w:p>
    <w:p w14:paraId="6C410FD2" w14:textId="77777777" w:rsidR="00743A1D" w:rsidRPr="00976E44" w:rsidRDefault="00743A1D" w:rsidP="00743A1D">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1708CFD8" w14:textId="77777777" w:rsidR="00743A1D" w:rsidRPr="00976E44" w:rsidRDefault="00743A1D" w:rsidP="00743A1D">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481A6251" w14:textId="77777777" w:rsidR="00743A1D" w:rsidRDefault="00743A1D" w:rsidP="00743A1D"/>
    <w:p w14:paraId="373A96E4" w14:textId="77777777" w:rsidR="00743A1D" w:rsidRPr="00976E44" w:rsidRDefault="00743A1D" w:rsidP="00743A1D"/>
    <w:p w14:paraId="5DBB7E05" w14:textId="77777777" w:rsidR="00743A1D" w:rsidRPr="00976E44" w:rsidRDefault="00743A1D" w:rsidP="00743A1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CDE73CF" w14:textId="77777777" w:rsidR="00743A1D" w:rsidRPr="00976E44" w:rsidRDefault="00743A1D" w:rsidP="00743A1D">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23" w:history="1">
        <w:r w:rsidRPr="00976E44">
          <w:rPr>
            <w:rStyle w:val="Hyperlink"/>
          </w:rPr>
          <w:t>https://thediplomat.com/2021/08/chinas-vaccine-diplomacy-in-latin-america/</w:t>
        </w:r>
      </w:hyperlink>
      <w:r w:rsidRPr="00976E44">
        <w:t>] Justin</w:t>
      </w:r>
    </w:p>
    <w:p w14:paraId="7D0DBEE9" w14:textId="77777777" w:rsidR="00743A1D" w:rsidRPr="00976E44" w:rsidRDefault="00743A1D" w:rsidP="00743A1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w:t>
      </w:r>
      <w:proofErr w:type="spellStart"/>
      <w:r w:rsidRPr="00976E44">
        <w:rPr>
          <w:u w:val="single"/>
        </w:rPr>
        <w:t>Sinovac</w:t>
      </w:r>
      <w:proofErr w:type="spellEnd"/>
      <w:r w:rsidRPr="00976E44">
        <w:rPr>
          <w:u w:val="single"/>
        </w:rPr>
        <w:t xml:space="preserve">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1361F472" w14:textId="77777777" w:rsidR="00743A1D" w:rsidRPr="00976E44" w:rsidRDefault="00743A1D" w:rsidP="00743A1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FEB805F" w14:textId="77777777" w:rsidR="00743A1D" w:rsidRPr="00976E44" w:rsidRDefault="00743A1D" w:rsidP="00743A1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 xml:space="preserve">of Chinese </w:t>
      </w:r>
      <w:proofErr w:type="spellStart"/>
      <w:r w:rsidRPr="00976E44">
        <w:rPr>
          <w:rStyle w:val="Emphasis"/>
        </w:rPr>
        <w:t>Sinovac</w:t>
      </w:r>
      <w:proofErr w:type="spellEnd"/>
      <w:r w:rsidRPr="00976E44">
        <w:rPr>
          <w:rStyle w:val="Emphasis"/>
        </w:rPr>
        <w:t xml:space="preserve"> inoculations</w:t>
      </w:r>
      <w:r w:rsidRPr="00976E44">
        <w:rPr>
          <w:u w:val="single"/>
        </w:rPr>
        <w:t xml:space="preserve">, and a Chilean study found that </w:t>
      </w:r>
      <w:proofErr w:type="spellStart"/>
      <w:r w:rsidRPr="00976E44">
        <w:rPr>
          <w:u w:val="single"/>
        </w:rPr>
        <w:t>Sinovac</w:t>
      </w:r>
      <w:proofErr w:type="spellEnd"/>
      <w:r w:rsidRPr="00976E44">
        <w:rPr>
          <w:u w:val="single"/>
        </w:rPr>
        <w:t xml:space="preserve"> was only 54 percent effective</w:t>
      </w:r>
      <w:r w:rsidRPr="00976E44">
        <w:rPr>
          <w:sz w:val="16"/>
        </w:rPr>
        <w:t xml:space="preserve"> in preventing contagion, </w:t>
      </w:r>
      <w:r w:rsidRPr="00976E44">
        <w:rPr>
          <w:u w:val="single"/>
        </w:rPr>
        <w:t xml:space="preserve">while </w:t>
      </w:r>
      <w:r w:rsidRPr="00976E44">
        <w:rPr>
          <w:highlight w:val="green"/>
          <w:u w:val="single"/>
        </w:rPr>
        <w:t xml:space="preserve">Pfizer and </w:t>
      </w:r>
      <w:proofErr w:type="spellStart"/>
      <w:r w:rsidRPr="00976E44">
        <w:rPr>
          <w:highlight w:val="green"/>
          <w:u w:val="single"/>
        </w:rPr>
        <w:t>Moderna</w:t>
      </w:r>
      <w:proofErr w:type="spellEnd"/>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78A896DF" w14:textId="77777777" w:rsidR="00743A1D" w:rsidRPr="00976E44" w:rsidRDefault="00743A1D" w:rsidP="00743A1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76B0EB75" w14:textId="77777777" w:rsidR="00743A1D" w:rsidRPr="00976E44" w:rsidRDefault="00743A1D" w:rsidP="00743A1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C45F0D8" w14:textId="77777777" w:rsidR="00743A1D" w:rsidRPr="00976E44" w:rsidRDefault="00743A1D" w:rsidP="00743A1D"/>
    <w:p w14:paraId="22358CBA" w14:textId="77777777" w:rsidR="00743A1D" w:rsidRPr="00976E44" w:rsidRDefault="00743A1D" w:rsidP="00743A1D">
      <w:pPr>
        <w:pStyle w:val="Heading4"/>
        <w:rPr>
          <w:rFonts w:cs="Calibri"/>
        </w:rPr>
      </w:pPr>
      <w:r w:rsidRPr="00976E44">
        <w:rPr>
          <w:rFonts w:cs="Calibri"/>
        </w:rPr>
        <w:lastRenderedPageBreak/>
        <w:t xml:space="preserve">Chinese influence </w:t>
      </w:r>
      <w:r w:rsidRPr="00976E44">
        <w:rPr>
          <w:rFonts w:cs="Calibri"/>
          <w:u w:val="single"/>
        </w:rPr>
        <w:t>ends the liberal order</w:t>
      </w:r>
      <w:r w:rsidRPr="00976E44">
        <w:rPr>
          <w:rFonts w:cs="Calibri"/>
        </w:rPr>
        <w:t>.</w:t>
      </w:r>
    </w:p>
    <w:p w14:paraId="7B647197" w14:textId="77777777" w:rsidR="00743A1D" w:rsidRPr="00976E44" w:rsidRDefault="00743A1D" w:rsidP="00743A1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4" w:history="1">
        <w:r w:rsidRPr="00976E44">
          <w:rPr>
            <w:rStyle w:val="Hyperlink"/>
          </w:rPr>
          <w:t>https://scroll.in/article/1000114/in-latin-america-chinese-vaccine-diplomacy-is-directly-challenging-uss-declining-authority</w:t>
        </w:r>
      </w:hyperlink>
      <w:r w:rsidRPr="00976E44">
        <w:t>] Justin</w:t>
      </w:r>
    </w:p>
    <w:p w14:paraId="5766ACA2" w14:textId="77777777" w:rsidR="00743A1D" w:rsidRPr="00976E44" w:rsidRDefault="00743A1D" w:rsidP="00743A1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18F9A995" w14:textId="77777777" w:rsidR="00743A1D" w:rsidRPr="00976E44" w:rsidRDefault="00743A1D" w:rsidP="00743A1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3CEB6DBB" w14:textId="77777777" w:rsidR="00743A1D" w:rsidRPr="00976E44" w:rsidRDefault="00743A1D" w:rsidP="00743A1D">
      <w:pPr>
        <w:rPr>
          <w:sz w:val="16"/>
        </w:rPr>
      </w:pPr>
      <w:r w:rsidRPr="00976E44">
        <w:rPr>
          <w:sz w:val="16"/>
        </w:rPr>
        <w:t>During a global vaccine shortage, China has been able to provide 252 million doses to the world. This includes the majority of total doses made available to Latin American countries.</w:t>
      </w:r>
    </w:p>
    <w:p w14:paraId="2EDD660B" w14:textId="77777777" w:rsidR="00743A1D" w:rsidRPr="00976E44" w:rsidRDefault="00743A1D" w:rsidP="00743A1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7EA075EE" w14:textId="77777777" w:rsidR="00743A1D" w:rsidRPr="00976E44" w:rsidRDefault="00743A1D" w:rsidP="00743A1D">
      <w:pPr>
        <w:rPr>
          <w:sz w:val="16"/>
        </w:rPr>
      </w:pPr>
      <w:r w:rsidRPr="00976E44">
        <w:rPr>
          <w:sz w:val="16"/>
        </w:rPr>
        <w:t>As of May, no other country can match this figure. Most countries are focused primarily on achieving their own herd immunity first.</w:t>
      </w:r>
    </w:p>
    <w:p w14:paraId="6CD925AB" w14:textId="77777777" w:rsidR="00743A1D" w:rsidRPr="00976E44" w:rsidRDefault="00743A1D" w:rsidP="00743A1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186F4D9" w14:textId="77777777" w:rsidR="00743A1D" w:rsidRPr="00976E44" w:rsidRDefault="00743A1D" w:rsidP="00743A1D">
      <w:pPr>
        <w:rPr>
          <w:u w:val="single"/>
        </w:rPr>
      </w:pPr>
      <w:r w:rsidRPr="00976E44">
        <w:rPr>
          <w:u w:val="single"/>
        </w:rPr>
        <w:t xml:space="preserve">Declining </w:t>
      </w:r>
      <w:r w:rsidRPr="00976E44">
        <w:rPr>
          <w:rStyle w:val="Emphasis"/>
        </w:rPr>
        <w:t>‘Washington Consensus’</w:t>
      </w:r>
    </w:p>
    <w:p w14:paraId="116C200C" w14:textId="77777777" w:rsidR="00743A1D" w:rsidRPr="00976E44" w:rsidRDefault="00743A1D" w:rsidP="00743A1D">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C161F75" w14:textId="77777777" w:rsidR="00743A1D" w:rsidRPr="00976E44" w:rsidRDefault="00743A1D" w:rsidP="00743A1D">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77C1C70F" w14:textId="77777777" w:rsidR="00743A1D" w:rsidRPr="00976E44" w:rsidRDefault="00743A1D" w:rsidP="00743A1D">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FFE7884" w14:textId="77777777" w:rsidR="00743A1D" w:rsidRPr="00976E44" w:rsidRDefault="00743A1D" w:rsidP="00743A1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06259B6" w14:textId="77777777" w:rsidR="00743A1D" w:rsidRPr="00976E44" w:rsidRDefault="00743A1D" w:rsidP="00743A1D">
      <w:pPr>
        <w:rPr>
          <w:sz w:val="16"/>
        </w:rPr>
      </w:pPr>
      <w:r w:rsidRPr="00976E44">
        <w:rPr>
          <w:sz w:val="16"/>
        </w:rPr>
        <w:lastRenderedPageBreak/>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18187B54" w14:textId="77777777" w:rsidR="00743A1D" w:rsidRPr="00976E44" w:rsidRDefault="00743A1D" w:rsidP="00743A1D">
      <w:pPr>
        <w:rPr>
          <w:sz w:val="16"/>
        </w:rPr>
      </w:pPr>
      <w:r w:rsidRPr="00976E44">
        <w:rPr>
          <w:sz w:val="16"/>
        </w:rPr>
        <w:t>Rising Chinese power</w:t>
      </w:r>
    </w:p>
    <w:p w14:paraId="7E4001AE" w14:textId="77777777" w:rsidR="00743A1D" w:rsidRPr="00976E44" w:rsidRDefault="00743A1D" w:rsidP="00743A1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788D6AF1" w14:textId="77777777" w:rsidR="00743A1D" w:rsidRPr="00976E44" w:rsidRDefault="00743A1D" w:rsidP="00743A1D">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644C8DC5" w14:textId="77777777" w:rsidR="00743A1D" w:rsidRPr="00976E44" w:rsidRDefault="00743A1D" w:rsidP="00743A1D">
      <w:pPr>
        <w:rPr>
          <w:sz w:val="16"/>
        </w:rPr>
      </w:pPr>
      <w:r w:rsidRPr="00976E44">
        <w:rPr>
          <w:sz w:val="16"/>
        </w:rPr>
        <w:t>The US and Chinese tools for economic diplomacy are very similar in practice, yet fundamentally different in philosophy.</w:t>
      </w:r>
    </w:p>
    <w:p w14:paraId="1F6879DA" w14:textId="3B257264" w:rsidR="00743A1D" w:rsidRPr="00976E44" w:rsidRDefault="00743A1D" w:rsidP="00CE3556">
      <w:pPr>
        <w:rPr>
          <w:rStyle w:val="Emphasis"/>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p>
    <w:p w14:paraId="06175240" w14:textId="77777777" w:rsidR="00743A1D" w:rsidRPr="00976E44" w:rsidRDefault="00743A1D" w:rsidP="00743A1D"/>
    <w:p w14:paraId="47BB219D" w14:textId="77777777" w:rsidR="00743A1D" w:rsidRPr="00976E44" w:rsidRDefault="00743A1D" w:rsidP="00743A1D">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71055EFF" w14:textId="77777777" w:rsidR="00743A1D" w:rsidRPr="00976E44" w:rsidRDefault="00743A1D" w:rsidP="00743A1D">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25" w:history="1">
        <w:r w:rsidRPr="00976E44">
          <w:rPr>
            <w:rStyle w:val="Hyperlink"/>
          </w:rPr>
          <w:t>http://pennpoliticalreview.org/2017/04/in-defense-of-liberal-internationalism/</w:t>
        </w:r>
      </w:hyperlink>
      <w:r w:rsidRPr="00976E44">
        <w:t>] // Re-Cut Justin</w:t>
      </w:r>
    </w:p>
    <w:p w14:paraId="761A4A1B" w14:textId="77777777" w:rsidR="00743A1D" w:rsidRPr="00976E44" w:rsidRDefault="00743A1D" w:rsidP="00743A1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6999D62E" w14:textId="77777777" w:rsidR="00743A1D" w:rsidRPr="00976E44" w:rsidRDefault="00743A1D" w:rsidP="00743A1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w:t>
      </w:r>
      <w:r w:rsidRPr="00976E44">
        <w:rPr>
          <w:u w:val="single"/>
        </w:rPr>
        <w:lastRenderedPageBreak/>
        <w:t xml:space="preserve">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4DBAA3F6" w14:textId="77777777" w:rsidR="00743A1D" w:rsidRPr="00976E44" w:rsidRDefault="00743A1D" w:rsidP="00743A1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0C30FADF" w14:textId="77777777" w:rsidR="00743A1D" w:rsidRPr="00976E44" w:rsidRDefault="00743A1D" w:rsidP="00743A1D"/>
    <w:p w14:paraId="4E150312" w14:textId="77777777" w:rsidR="00743A1D" w:rsidRPr="00976E44" w:rsidRDefault="00743A1D" w:rsidP="00743A1D">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17239D03" w14:textId="77777777" w:rsidR="00743A1D" w:rsidRPr="00976E44" w:rsidRDefault="00743A1D" w:rsidP="00743A1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26" w:history="1">
        <w:r w:rsidRPr="00976E44">
          <w:rPr>
            <w:rStyle w:val="Hyperlink"/>
          </w:rPr>
          <w:t>https://www.emerald.com/insight/content/doi/10.1108/ITPD-02-2019-003/full/html</w:t>
        </w:r>
      </w:hyperlink>
      <w:r w:rsidRPr="00976E44">
        <w:rPr>
          <w:rStyle w:val="Hyperlink"/>
        </w:rPr>
        <w:t xml:space="preserve"> // Re-Cut Justin</w:t>
      </w:r>
    </w:p>
    <w:p w14:paraId="4C4B3CE7" w14:textId="77777777" w:rsidR="00743A1D" w:rsidRPr="00976E44" w:rsidRDefault="00743A1D" w:rsidP="00743A1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w:t>
      </w:r>
      <w:r w:rsidRPr="00976E44">
        <w:rPr>
          <w:sz w:val="14"/>
        </w:rPr>
        <w:lastRenderedPageBreak/>
        <w:t xml:space="preserve">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7D6C4853" w14:textId="77777777" w:rsidR="00743A1D" w:rsidRPr="00F601E6" w:rsidRDefault="00743A1D" w:rsidP="00743A1D"/>
    <w:p w14:paraId="3E1F9343" w14:textId="77777777" w:rsidR="00743A1D" w:rsidRPr="00F601E6" w:rsidRDefault="00743A1D" w:rsidP="00743A1D"/>
    <w:p w14:paraId="341DE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3A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27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43A1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8B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556"/>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86C73"/>
  <w14:defaultImageDpi w14:val="300"/>
  <w15:docId w15:val="{7C1BD165-AB3F-DC43-B5ED-1C96929A2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A1D"/>
    <w:pPr>
      <w:spacing w:after="160" w:line="259" w:lineRule="auto"/>
    </w:pPr>
  </w:style>
  <w:style w:type="paragraph" w:styleId="Heading1">
    <w:name w:val="heading 1"/>
    <w:aliases w:val="Pocket"/>
    <w:basedOn w:val="Normal"/>
    <w:next w:val="Normal"/>
    <w:link w:val="Heading1Char"/>
    <w:uiPriority w:val="9"/>
    <w:qFormat/>
    <w:rsid w:val="00743A1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3A1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3A1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43A1D"/>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743A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A1D"/>
  </w:style>
  <w:style w:type="character" w:customStyle="1" w:styleId="Heading1Char">
    <w:name w:val="Heading 1 Char"/>
    <w:aliases w:val="Pocket Char"/>
    <w:basedOn w:val="DefaultParagraphFont"/>
    <w:link w:val="Heading1"/>
    <w:uiPriority w:val="9"/>
    <w:rsid w:val="00743A1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43A1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43A1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43A1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3A1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43A1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43A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3A1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43A1D"/>
    <w:rPr>
      <w:color w:val="auto"/>
      <w:u w:val="none"/>
    </w:rPr>
  </w:style>
  <w:style w:type="paragraph" w:styleId="DocumentMap">
    <w:name w:val="Document Map"/>
    <w:basedOn w:val="Normal"/>
    <w:link w:val="DocumentMapChar"/>
    <w:uiPriority w:val="99"/>
    <w:semiHidden/>
    <w:unhideWhenUsed/>
    <w:rsid w:val="00743A1D"/>
    <w:rPr>
      <w:rFonts w:ascii="Lucida Grande" w:hAnsi="Lucida Grande" w:cs="Lucida Grande"/>
    </w:rPr>
  </w:style>
  <w:style w:type="character" w:customStyle="1" w:styleId="DocumentMapChar">
    <w:name w:val="Document Map Char"/>
    <w:basedOn w:val="DefaultParagraphFont"/>
    <w:link w:val="DocumentMap"/>
    <w:uiPriority w:val="99"/>
    <w:semiHidden/>
    <w:rsid w:val="00743A1D"/>
    <w:rPr>
      <w:rFonts w:ascii="Lucida Grande" w:hAnsi="Lucida Grande" w:cs="Lucida Grande"/>
    </w:rPr>
  </w:style>
  <w:style w:type="paragraph" w:customStyle="1" w:styleId="textbold">
    <w:name w:val="text bold"/>
    <w:basedOn w:val="Normal"/>
    <w:link w:val="Emphasis"/>
    <w:uiPriority w:val="20"/>
    <w:qFormat/>
    <w:rsid w:val="00743A1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43A1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743A1D"/>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hyperlink" Target="https://www.emerald.com/insight/content/doi/10.1108/ITPD-02-2019-003/full/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scroll.in/article/1000114/in-latin-america-chinese-vaccine-diplomacy-is-directly-challenging-uss-declining-authority"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thediplomat.com/2021/08/chinas-vaccine-diplomacy-in-latin-america/" TargetMode="External"/><Relationship Id="rId28"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theglobalamericans.org/2021/06/a-u-s-vaccine-diplomacy-strategy-for-latin-america-and-the-caribbea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28</Pages>
  <Words>14712</Words>
  <Characters>83861</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2021-09-19T19:51:00Z</dcterms:created>
  <dcterms:modified xsi:type="dcterms:W3CDTF">2021-09-19T21:34:00Z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