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71594" w14:textId="77777777" w:rsidR="00E52B1B" w:rsidRPr="00E52B1B" w:rsidRDefault="00E52B1B" w:rsidP="00E52B1B"/>
    <w:p w14:paraId="22CEB2D3" w14:textId="59BCC9F8" w:rsidR="00A41B7C" w:rsidRDefault="00A41B7C" w:rsidP="00A41B7C">
      <w:pPr>
        <w:pStyle w:val="Heading3"/>
      </w:pPr>
      <w:r>
        <w:lastRenderedPageBreak/>
        <w:t>1AC – Adv – Customary International Law</w:t>
      </w:r>
    </w:p>
    <w:p w14:paraId="6EAF159A" w14:textId="77777777" w:rsidR="00A41B7C" w:rsidRDefault="00A41B7C" w:rsidP="00A41B7C">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4DDCA3B0" w14:textId="77777777" w:rsidR="00A41B7C" w:rsidRPr="00D2046C" w:rsidRDefault="00A41B7C" w:rsidP="00A41B7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248082C3" w14:textId="77777777" w:rsidR="00A41B7C" w:rsidRPr="00875A8F" w:rsidRDefault="00A41B7C" w:rsidP="00A41B7C">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w:t>
      </w:r>
      <w:r w:rsidRPr="003E22A7">
        <w:rPr>
          <w:u w:val="single"/>
        </w:rPr>
        <w:lastRenderedPageBreak/>
        <w:t xml:space="preserve">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xml:space="preserve">. 127 At a national level, </w:t>
      </w:r>
      <w:proofErr w:type="gramStart"/>
      <w:r w:rsidRPr="00F807D1">
        <w:rPr>
          <w:u w:val="single"/>
        </w:rPr>
        <w:t>the vast majority of</w:t>
      </w:r>
      <w:proofErr w:type="gramEnd"/>
      <w:r w:rsidRPr="00F807D1">
        <w:rPr>
          <w:u w:val="single"/>
        </w:rPr>
        <w:t xml:space="preserve">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w:t>
      </w:r>
      <w:r w:rsidRPr="00F807D1">
        <w:rPr>
          <w:sz w:val="16"/>
        </w:rPr>
        <w:lastRenderedPageBreak/>
        <w:t xml:space="preserve">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 xml:space="preserve">International Law </w:t>
      </w:r>
      <w:r w:rsidRPr="0098613E">
        <w:rPr>
          <w:rStyle w:val="Emphasis"/>
        </w:rPr>
        <w:lastRenderedPageBreak/>
        <w:t>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(opinio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 xml:space="preserve">A third reason to infer opinio juris (in addition to the centrality of FOA principles within the ILO Constitution and the strong evidence of FOA and </w:t>
      </w:r>
      <w:proofErr w:type="spellStart"/>
      <w:r w:rsidRPr="00F807D1">
        <w:rPr>
          <w:sz w:val="16"/>
        </w:rPr>
        <w:t>rightto</w:t>
      </w:r>
      <w:proofErr w:type="spellEnd"/>
      <w:r w:rsidRPr="00F807D1">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 xml:space="preserve">In 2018, responding to a press briefing on a strike by U.N. employees following announced pay cuts, the Deputy Spokesman for the U.N. </w:t>
      </w:r>
      <w:proofErr w:type="spellStart"/>
      <w:r w:rsidRPr="00F807D1">
        <w:rPr>
          <w:sz w:val="16"/>
        </w:rPr>
        <w:t>SecretaryGeneral</w:t>
      </w:r>
      <w:proofErr w:type="spellEnd"/>
      <w:r w:rsidRPr="00F807D1">
        <w:rPr>
          <w:sz w:val="16"/>
        </w:rPr>
        <w:t xml:space="preserve">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 xml:space="preserve">The widely recognized general practice on strikes has </w:t>
      </w:r>
      <w:r w:rsidRPr="00425E77">
        <w:rPr>
          <w:sz w:val="16"/>
        </w:rPr>
        <w:lastRenderedPageBreak/>
        <w:t>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12534ED" w14:textId="77777777" w:rsidR="00A41B7C" w:rsidRDefault="00A41B7C" w:rsidP="00A41B7C"/>
    <w:p w14:paraId="2A233107" w14:textId="77777777" w:rsidR="00A41B7C" w:rsidRDefault="00A41B7C" w:rsidP="00A41B7C">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231CAB97" w14:textId="77777777" w:rsidR="00A41B7C" w:rsidRPr="00D2046C" w:rsidRDefault="00A41B7C" w:rsidP="00A41B7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0" w:history="1">
        <w:r w:rsidRPr="00111F4F">
          <w:rPr>
            <w:rStyle w:val="Hyperlink"/>
          </w:rPr>
          <w:t>https://digitalcommons.law.yale.edu/cgi/viewcontent.cgi?article=1710&amp;context=yjil</w:t>
        </w:r>
      </w:hyperlink>
      <w:r>
        <w:t xml:space="preserve">] Justin </w:t>
      </w:r>
    </w:p>
    <w:p w14:paraId="1DEF95BA" w14:textId="77777777" w:rsidR="00A41B7C" w:rsidRPr="00285CA1" w:rsidRDefault="00A41B7C" w:rsidP="00A41B7C">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proofErr w:type="gramStart"/>
      <w:r w:rsidRPr="0098613E">
        <w:rPr>
          <w:rStyle w:val="Emphasis"/>
        </w:rPr>
        <w:lastRenderedPageBreak/>
        <w:t>otherwise</w:t>
      </w:r>
      <w:proofErr w:type="gramEnd"/>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B4FBA32" w14:textId="77777777" w:rsidR="00A41B7C" w:rsidRDefault="00A41B7C" w:rsidP="00A41B7C">
      <w:pPr>
        <w:rPr>
          <w:sz w:val="16"/>
        </w:rPr>
      </w:pPr>
    </w:p>
    <w:p w14:paraId="0CA6B76E" w14:textId="77777777" w:rsidR="00A41B7C" w:rsidRDefault="00A41B7C" w:rsidP="00A41B7C">
      <w:pPr>
        <w:pStyle w:val="Heading4"/>
      </w:pPr>
      <w:r>
        <w:t xml:space="preserve">Scenario one is </w:t>
      </w:r>
      <w:r w:rsidRPr="00C7231B">
        <w:rPr>
          <w:u w:val="single"/>
        </w:rPr>
        <w:t>SDG</w:t>
      </w:r>
      <w:r>
        <w:t>:</w:t>
      </w:r>
    </w:p>
    <w:p w14:paraId="72D7B154" w14:textId="77777777" w:rsidR="00A41B7C" w:rsidRDefault="00A41B7C" w:rsidP="00A41B7C">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57BAD076" w14:textId="77777777" w:rsidR="00A41B7C" w:rsidRPr="008751FE" w:rsidRDefault="00A41B7C" w:rsidP="00A41B7C">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34DC1CE7" w14:textId="77777777" w:rsidR="00A41B7C" w:rsidRPr="00CF4094" w:rsidRDefault="00A41B7C" w:rsidP="00A41B7C">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 xml:space="preserve">decent </w:t>
      </w:r>
      <w:r w:rsidRPr="00CF4094">
        <w:rPr>
          <w:highlight w:val="green"/>
          <w:u w:val="single"/>
        </w:rPr>
        <w:lastRenderedPageBreak/>
        <w:t>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 xml:space="preserve">legal elements </w:t>
      </w:r>
      <w:r w:rsidRPr="00726C77">
        <w:rPr>
          <w:rStyle w:val="Emphasis"/>
        </w:rPr>
        <w:lastRenderedPageBreak/>
        <w:t>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F807D1">
        <w:rPr>
          <w:u w:val="single"/>
        </w:rPr>
        <w:t xml:space="preserve">Most ILO standards </w:t>
      </w:r>
      <w:r w:rsidRPr="00F807D1">
        <w:rPr>
          <w:rStyle w:val="Emphasis"/>
        </w:rPr>
        <w:t>apply to all workers, not just those working under formal employment arrangemen</w:t>
      </w:r>
      <w:r w:rsidRPr="00F807D1">
        <w:rPr>
          <w:u w:val="single"/>
        </w:rPr>
        <w:t>ts. Some standards</w:t>
      </w:r>
      <w:r w:rsidRPr="00F807D1">
        <w:rPr>
          <w:sz w:val="16"/>
        </w:rPr>
        <w:t xml:space="preserve">, such as those dealing with homeworkers, migrant and rural workers, and indigenous and tribal peoples, </w:t>
      </w:r>
      <w:r w:rsidRPr="00F807D1">
        <w:rPr>
          <w:u w:val="single"/>
        </w:rPr>
        <w:t xml:space="preserve">deal specifically with certain areas of the informal economy. The reinforcement of </w:t>
      </w:r>
      <w:r w:rsidRPr="00F807D1">
        <w:rPr>
          <w:rStyle w:val="Emphasis"/>
        </w:rPr>
        <w:t>freedom of association, the extension of social protection, the improvement of occupational safety and health, the development of vocational training</w:t>
      </w:r>
      <w:r w:rsidRPr="00F807D1">
        <w:rPr>
          <w:u w:val="single"/>
        </w:rPr>
        <w:t xml:space="preserve">, and other measures required by international </w:t>
      </w:r>
      <w:proofErr w:type="spellStart"/>
      <w:r w:rsidRPr="00F807D1">
        <w:rPr>
          <w:u w:val="single"/>
        </w:rPr>
        <w:t>labour</w:t>
      </w:r>
      <w:proofErr w:type="spellEnd"/>
      <w:r w:rsidRPr="00F807D1">
        <w:rPr>
          <w:u w:val="single"/>
        </w:rPr>
        <w:t xml:space="preserve"> standards have proved to be effective strategies in reducing poverty and bringing workers into the formal economy</w:t>
      </w:r>
      <w:r w:rsidRPr="00F807D1">
        <w:rPr>
          <w:sz w:val="16"/>
        </w:rPr>
        <w:t xml:space="preserve">. </w:t>
      </w:r>
      <w:r w:rsidRPr="00F807D1">
        <w:rPr>
          <w:rStyle w:val="StyleUnderline"/>
          <w:sz w:val="16"/>
          <w:u w:val="none"/>
        </w:rPr>
        <w:t xml:space="preserve">Furthermore, </w:t>
      </w:r>
      <w:r w:rsidRPr="00F807D1">
        <w:rPr>
          <w:u w:val="single"/>
        </w:rPr>
        <w:t xml:space="preserve">international </w:t>
      </w:r>
      <w:proofErr w:type="spellStart"/>
      <w:r w:rsidRPr="00F807D1">
        <w:rPr>
          <w:u w:val="single"/>
        </w:rPr>
        <w:t>labour</w:t>
      </w:r>
      <w:proofErr w:type="spellEnd"/>
      <w:r w:rsidRPr="00F807D1">
        <w:rPr>
          <w:u w:val="single"/>
        </w:rPr>
        <w:t xml:space="preserve"> standards call for the creation of institutions and mechanisms which can enforce </w:t>
      </w:r>
      <w:proofErr w:type="spellStart"/>
      <w:r w:rsidRPr="00F807D1">
        <w:rPr>
          <w:u w:val="single"/>
        </w:rPr>
        <w:t>labour</w:t>
      </w:r>
      <w:proofErr w:type="spellEnd"/>
      <w:r w:rsidRPr="00F807D1">
        <w:rPr>
          <w:u w:val="single"/>
        </w:rPr>
        <w:t xml:space="preserve"> rights</w:t>
      </w:r>
      <w:r w:rsidRPr="00F807D1">
        <w:rPr>
          <w:sz w:val="16"/>
        </w:rPr>
        <w:t xml:space="preserve">. In combination with a set of defined rights and rules, </w:t>
      </w:r>
      <w:r w:rsidRPr="00F807D1">
        <w:rPr>
          <w:u w:val="single"/>
        </w:rPr>
        <w:t xml:space="preserve">functioning legal institutions can help </w:t>
      </w:r>
      <w:r w:rsidRPr="00F807D1">
        <w:rPr>
          <w:rStyle w:val="Emphasis"/>
        </w:rPr>
        <w:t>formalize the economy and create a climate of trust and order which is essential for economic growth and development</w:t>
      </w:r>
      <w:r w:rsidRPr="00F807D1">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7B4DA22E" w14:textId="77777777" w:rsidR="00A41B7C" w:rsidRDefault="00A41B7C" w:rsidP="00A41B7C"/>
    <w:p w14:paraId="6C53BDDD" w14:textId="77777777" w:rsidR="00A41B7C" w:rsidRPr="00594ADE" w:rsidRDefault="00A41B7C" w:rsidP="00A41B7C">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63A7AA90" w14:textId="77777777" w:rsidR="00A41B7C" w:rsidRPr="00594ADE" w:rsidRDefault="00A41B7C" w:rsidP="00A41B7C">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32474A14" w14:textId="77777777" w:rsidR="00A41B7C" w:rsidRPr="00F807D1" w:rsidRDefault="00A41B7C" w:rsidP="00A41B7C">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 xml:space="preserve">most likely </w:t>
      </w:r>
      <w:r w:rsidRPr="00594ADE">
        <w:rPr>
          <w:rStyle w:val="StyleUnderline"/>
        </w:rPr>
        <w:lastRenderedPageBreak/>
        <w:t>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w:t>
      </w:r>
      <w:r w:rsidRPr="00594ADE">
        <w:rPr>
          <w:sz w:val="16"/>
        </w:rPr>
        <w:lastRenderedPageBreak/>
        <w:t>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 xml:space="preserve">will drive disruptive changes in both </w:t>
      </w:r>
      <w:proofErr w:type="spellStart"/>
      <w:r w:rsidRPr="00F807D1">
        <w:rPr>
          <w:rStyle w:val="StyleUnderline"/>
        </w:rPr>
        <w:t>terrestial</w:t>
      </w:r>
      <w:proofErr w:type="spellEnd"/>
      <w:r w:rsidRPr="00F807D1">
        <w:rPr>
          <w:rStyle w:val="StyleUnderline"/>
        </w:rPr>
        <w:t xml:space="preserve"> and aquatic ecosystems</w:t>
      </w:r>
      <w:r w:rsidRPr="00F807D1">
        <w:rPr>
          <w:sz w:val="16"/>
        </w:rPr>
        <w:t xml:space="preserve"> affecting SDG 15 (Life on Land) and SDG 14 (Life Below Water) adding to their vulnerability to increases in pollution driven by a growing economy. Loop B (in Fig. </w:t>
      </w:r>
      <w:proofErr w:type="gramStart"/>
      <w:r w:rsidRPr="00F807D1">
        <w:rPr>
          <w:sz w:val="16"/>
        </w:rPr>
        <w:t>4)shows</w:t>
      </w:r>
      <w:proofErr w:type="gramEnd"/>
      <w:r w:rsidRPr="00F807D1">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F807D1">
        <w:rPr>
          <w:sz w:val="16"/>
        </w:rPr>
        <w:t>self evident</w:t>
      </w:r>
      <w:proofErr w:type="spellEnd"/>
      <w:r w:rsidRPr="00F807D1">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w:t>
      </w:r>
      <w:proofErr w:type="spellStart"/>
      <w:r w:rsidRPr="00F807D1">
        <w:rPr>
          <w:sz w:val="16"/>
        </w:rPr>
        <w:t>cyber attacks</w:t>
      </w:r>
      <w:proofErr w:type="spellEnd"/>
      <w:r w:rsidRPr="00F807D1">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 xml:space="preserve">. </w:t>
      </w:r>
    </w:p>
    <w:p w14:paraId="73F1AD17" w14:textId="77777777" w:rsidR="00A41B7C" w:rsidRDefault="00A41B7C" w:rsidP="00A41B7C">
      <w:pPr>
        <w:pStyle w:val="Heading3"/>
      </w:pPr>
      <w:r w:rsidRPr="00F807D1">
        <w:lastRenderedPageBreak/>
        <w:t>1AC</w:t>
      </w:r>
      <w:r>
        <w:t xml:space="preserve"> – Plan</w:t>
      </w:r>
    </w:p>
    <w:p w14:paraId="198A44AB" w14:textId="77777777" w:rsidR="00A41B7C" w:rsidRDefault="00A41B7C" w:rsidP="00A41B7C">
      <w:pPr>
        <w:pStyle w:val="Heading4"/>
      </w:pPr>
      <w:r>
        <w:t>Plan text: The United States of America ought to recognize an unconditional right of workers to strike.</w:t>
      </w:r>
    </w:p>
    <w:p w14:paraId="68790A98" w14:textId="77777777" w:rsidR="00A41B7C" w:rsidRDefault="00A41B7C" w:rsidP="00A41B7C"/>
    <w:p w14:paraId="06984516" w14:textId="77777777" w:rsidR="00A41B7C" w:rsidRPr="002D5537" w:rsidRDefault="00A41B7C" w:rsidP="00A41B7C">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1A9F04A2" w14:textId="77777777" w:rsidR="00A41B7C" w:rsidRPr="00D2046C" w:rsidRDefault="00A41B7C" w:rsidP="00A41B7C">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Justin ** Brackets in original</w:t>
      </w:r>
    </w:p>
    <w:p w14:paraId="7D0E99D8" w14:textId="77777777" w:rsidR="00B46972" w:rsidRDefault="00A41B7C" w:rsidP="00B46972">
      <w:pPr>
        <w:pStyle w:val="Heading4"/>
        <w:jc w:val="both"/>
      </w:pPr>
      <w:proofErr w:type="gramStart"/>
      <w:r w:rsidRPr="008D2E40">
        <w:rPr>
          <w:highlight w:val="green"/>
          <w:u w:val="single"/>
        </w:rPr>
        <w:lastRenderedPageBreak/>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A41B7C">
        <w:rPr>
          <w:u w:val="single"/>
        </w:rPr>
        <w:t xml:space="preserve">Court has also </w:t>
      </w:r>
      <w:r w:rsidRPr="00A41B7C">
        <w:rPr>
          <w:rStyle w:val="Emphasis"/>
        </w:rPr>
        <w:t>invoked CIL</w:t>
      </w:r>
      <w:r w:rsidRPr="00A41B7C">
        <w:rPr>
          <w:u w:val="single"/>
        </w:rPr>
        <w:t xml:space="preserve"> in determining when an instrumentality of a sovereign state becomes the </w:t>
      </w:r>
      <w:r w:rsidRPr="00A41B7C">
        <w:rPr>
          <w:rStyle w:val="Emphasis"/>
        </w:rPr>
        <w:t>“alter ego” of that state</w:t>
      </w:r>
      <w:r w:rsidRPr="00A41B7C">
        <w:rPr>
          <w:sz w:val="16"/>
        </w:rPr>
        <w:t xml:space="preserve">, </w:t>
      </w:r>
      <w:r w:rsidRPr="00A41B7C">
        <w:rPr>
          <w:u w:val="single"/>
        </w:rPr>
        <w:t xml:space="preserve">a question not controlled by the </w:t>
      </w:r>
      <w:r w:rsidRPr="00A41B7C">
        <w:rPr>
          <w:rStyle w:val="Emphasis"/>
        </w:rPr>
        <w:t>relevant foreign sovereign immunity statute</w:t>
      </w:r>
      <w:r w:rsidRPr="00A41B7C">
        <w:rPr>
          <w:sz w:val="16"/>
        </w:rPr>
        <w:t xml:space="preserve">.237 Relatedly, </w:t>
      </w:r>
      <w:r w:rsidRPr="00A41B7C">
        <w:rPr>
          <w:u w:val="single"/>
        </w:rPr>
        <w:t xml:space="preserve">the </w:t>
      </w:r>
      <w:r w:rsidRPr="00A41B7C">
        <w:rPr>
          <w:rStyle w:val="Emphasis"/>
        </w:rPr>
        <w:t>Court</w:t>
      </w:r>
      <w:r w:rsidRPr="00A41B7C">
        <w:rPr>
          <w:u w:val="single"/>
        </w:rPr>
        <w:t xml:space="preserve"> in </w:t>
      </w:r>
      <w:r w:rsidRPr="00A41B7C">
        <w:rPr>
          <w:rStyle w:val="Emphasis"/>
        </w:rPr>
        <w:t>Banco Nacional de Cuba v. Sabbatino238</w:t>
      </w:r>
      <w:r w:rsidRPr="00A41B7C">
        <w:rPr>
          <w:u w:val="single"/>
        </w:rPr>
        <w:t xml:space="preserve"> relied on a judge-made principle of U.S. foreign relations law—the </w:t>
      </w:r>
      <w:r w:rsidRPr="00A41B7C">
        <w:rPr>
          <w:rStyle w:val="Emphasis"/>
        </w:rPr>
        <w:t>Act of State doctrine</w:t>
      </w:r>
      <w:r w:rsidRPr="00A41B7C">
        <w:rPr>
          <w:u w:val="single"/>
        </w:rPr>
        <w:t xml:space="preserve">—to decline to </w:t>
      </w:r>
      <w:r w:rsidRPr="00A41B7C">
        <w:rPr>
          <w:rStyle w:val="Emphasis"/>
        </w:rPr>
        <w:t>examine the validity</w:t>
      </w:r>
      <w:r w:rsidRPr="00A41B7C">
        <w:rPr>
          <w:u w:val="single"/>
        </w:rPr>
        <w:t xml:space="preserve"> of the taking of property by a </w:t>
      </w:r>
      <w:r w:rsidRPr="00A41B7C">
        <w:rPr>
          <w:rStyle w:val="Emphasis"/>
        </w:rPr>
        <w:t>foreign sovereign government</w:t>
      </w:r>
      <w:r w:rsidRPr="00A41B7C">
        <w:rPr>
          <w:u w:val="single"/>
        </w:rPr>
        <w:t xml:space="preserve"> within its own territory</w:t>
      </w:r>
      <w:r w:rsidRPr="00A41B7C">
        <w:rPr>
          <w:sz w:val="16"/>
        </w:rPr>
        <w:t xml:space="preserve">.239 Turning to lower federal courts, </w:t>
      </w:r>
      <w:r w:rsidRPr="00A41B7C">
        <w:rPr>
          <w:u w:val="single"/>
        </w:rPr>
        <w:t xml:space="preserve">the </w:t>
      </w:r>
      <w:r w:rsidRPr="00A41B7C">
        <w:rPr>
          <w:rStyle w:val="Emphasis"/>
        </w:rPr>
        <w:t>courts of appeals have regularly applied the Vienna Convention</w:t>
      </w:r>
      <w:r w:rsidRPr="00A41B7C">
        <w:rPr>
          <w:u w:val="single"/>
        </w:rPr>
        <w:t xml:space="preserve"> on the </w:t>
      </w:r>
      <w:r w:rsidRPr="00A41B7C">
        <w:rPr>
          <w:rStyle w:val="Emphasis"/>
        </w:rPr>
        <w:t>Law of Treaties</w:t>
      </w:r>
      <w:r w:rsidRPr="00A41B7C">
        <w:rPr>
          <w:u w:val="single"/>
        </w:rPr>
        <w:t xml:space="preserve"> “as an articulation of the </w:t>
      </w:r>
      <w:r w:rsidRPr="00A41B7C">
        <w:rPr>
          <w:rStyle w:val="Emphasis"/>
        </w:rPr>
        <w:t>customary</w:t>
      </w:r>
      <w:r w:rsidRPr="00A41B7C">
        <w:rPr>
          <w:u w:val="single"/>
        </w:rPr>
        <w:t xml:space="preserve"> </w:t>
      </w:r>
      <w:r w:rsidRPr="00A41B7C">
        <w:rPr>
          <w:rStyle w:val="Emphasis"/>
        </w:rPr>
        <w:t>international</w:t>
      </w:r>
      <w:r w:rsidRPr="00A41B7C">
        <w:rPr>
          <w:u w:val="single"/>
        </w:rPr>
        <w:t xml:space="preserve"> </w:t>
      </w:r>
      <w:r w:rsidRPr="00A41B7C">
        <w:rPr>
          <w:rStyle w:val="Emphasis"/>
        </w:rPr>
        <w:t>law</w:t>
      </w:r>
      <w:r w:rsidRPr="00A41B7C">
        <w:rPr>
          <w:u w:val="single"/>
        </w:rPr>
        <w:t xml:space="preserve"> of treaty interpretation, even though </w:t>
      </w:r>
      <w:r w:rsidRPr="00A41B7C">
        <w:rPr>
          <w:rStyle w:val="Emphasis"/>
        </w:rPr>
        <w:t>the United States is not a party to the treaty itself</w:t>
      </w:r>
      <w:r w:rsidRPr="00A41B7C">
        <w:rPr>
          <w:sz w:val="16"/>
        </w:rPr>
        <w:t xml:space="preserve">.”240 And </w:t>
      </w:r>
      <w:r w:rsidRPr="00A41B7C">
        <w:rPr>
          <w:u w:val="single"/>
        </w:rPr>
        <w:t xml:space="preserve">at least one district court has </w:t>
      </w:r>
      <w:r w:rsidRPr="00A41B7C">
        <w:rPr>
          <w:rStyle w:val="Emphasis"/>
        </w:rPr>
        <w:t>recognized FOA and the right to organize as CIL</w:t>
      </w:r>
      <w:r w:rsidRPr="00A41B7C">
        <w:rPr>
          <w:u w:val="single"/>
        </w:rPr>
        <w:t xml:space="preserve"> when denying a motion to dismiss</w:t>
      </w:r>
      <w:r w:rsidRPr="00A41B7C">
        <w:rPr>
          <w:sz w:val="16"/>
        </w:rPr>
        <w:t xml:space="preserve">.241 Finally, </w:t>
      </w:r>
      <w:r w:rsidRPr="00A41B7C">
        <w:rPr>
          <w:u w:val="single"/>
        </w:rPr>
        <w:t xml:space="preserve">the </w:t>
      </w:r>
      <w:r w:rsidRPr="00A41B7C">
        <w:rPr>
          <w:rStyle w:val="Emphasis"/>
        </w:rPr>
        <w:t>executive branch</w:t>
      </w:r>
      <w:r w:rsidRPr="00A41B7C">
        <w:rPr>
          <w:u w:val="single"/>
        </w:rPr>
        <w:t xml:space="preserve"> also has applied </w:t>
      </w:r>
      <w:r w:rsidRPr="00A41B7C">
        <w:rPr>
          <w:rStyle w:val="Emphasis"/>
        </w:rPr>
        <w:t>CIL in certain circumstances</w:t>
      </w:r>
      <w:r w:rsidRPr="00A41B7C">
        <w:rPr>
          <w:u w:val="single"/>
        </w:rPr>
        <w:t xml:space="preserve">. Although the </w:t>
      </w:r>
      <w:r w:rsidRPr="00A41B7C">
        <w:rPr>
          <w:rStyle w:val="Emphasis"/>
        </w:rPr>
        <w:t>U.S. voted against adoption</w:t>
      </w:r>
      <w:r w:rsidRPr="00A41B7C">
        <w:rPr>
          <w:u w:val="single"/>
        </w:rPr>
        <w:t xml:space="preserve"> of the </w:t>
      </w:r>
      <w:r w:rsidRPr="00A41B7C">
        <w:rPr>
          <w:rStyle w:val="Emphasis"/>
        </w:rPr>
        <w:t>1982</w:t>
      </w:r>
      <w:r w:rsidRPr="00A41B7C">
        <w:rPr>
          <w:u w:val="single"/>
        </w:rPr>
        <w:t xml:space="preserve"> </w:t>
      </w:r>
      <w:r w:rsidRPr="00A41B7C">
        <w:rPr>
          <w:rStyle w:val="Emphasis"/>
        </w:rPr>
        <w:t>UN</w:t>
      </w:r>
      <w:r w:rsidRPr="00A41B7C">
        <w:rPr>
          <w:u w:val="single"/>
        </w:rPr>
        <w:t xml:space="preserve"> </w:t>
      </w:r>
      <w:r w:rsidRPr="00A41B7C">
        <w:rPr>
          <w:rStyle w:val="Emphasis"/>
        </w:rPr>
        <w:t>Convention</w:t>
      </w:r>
      <w:r w:rsidRPr="00A41B7C">
        <w:rPr>
          <w:u w:val="single"/>
        </w:rPr>
        <w:t xml:space="preserve"> on the Law of the Seas, </w:t>
      </w:r>
      <w:r w:rsidRPr="00A41B7C">
        <w:rPr>
          <w:rStyle w:val="Emphasis"/>
        </w:rPr>
        <w:t>the U.S. government accepts its key provisions</w:t>
      </w:r>
      <w:r w:rsidRPr="00A41B7C">
        <w:rPr>
          <w:u w:val="single"/>
        </w:rPr>
        <w:t xml:space="preserve"> regarding the </w:t>
      </w:r>
      <w:r w:rsidRPr="00A41B7C">
        <w:rPr>
          <w:rStyle w:val="Emphasis"/>
        </w:rPr>
        <w:t>maximum breadth of territorial sea</w:t>
      </w:r>
      <w:r w:rsidRPr="00A41B7C">
        <w:rPr>
          <w:u w:val="single"/>
        </w:rPr>
        <w:t xml:space="preserve"> and the extent of </w:t>
      </w:r>
      <w:r w:rsidRPr="00A41B7C">
        <w:rPr>
          <w:rStyle w:val="Emphasis"/>
        </w:rPr>
        <w:t>exclusive economic zones as</w:t>
      </w:r>
      <w:r w:rsidRPr="00A41B7C">
        <w:rPr>
          <w:u w:val="single"/>
        </w:rPr>
        <w:t xml:space="preserve"> </w:t>
      </w:r>
      <w:r w:rsidRPr="00A41B7C">
        <w:rPr>
          <w:rStyle w:val="Emphasis"/>
        </w:rPr>
        <w:t>CIL</w:t>
      </w:r>
      <w:r w:rsidRPr="00A41B7C">
        <w:rPr>
          <w:sz w:val="16"/>
        </w:rPr>
        <w:t xml:space="preserve">.242 In short, </w:t>
      </w:r>
      <w:r w:rsidRPr="00A41B7C">
        <w:rPr>
          <w:u w:val="single"/>
        </w:rPr>
        <w:t xml:space="preserve">U.S. </w:t>
      </w:r>
      <w:r w:rsidRPr="00A41B7C">
        <w:rPr>
          <w:rStyle w:val="Emphasis"/>
        </w:rPr>
        <w:t>courts and executive branch</w:t>
      </w:r>
      <w:r w:rsidRPr="00A41B7C">
        <w:rPr>
          <w:u w:val="single"/>
        </w:rPr>
        <w:t xml:space="preserve"> </w:t>
      </w:r>
      <w:r w:rsidRPr="00A41B7C">
        <w:rPr>
          <w:rStyle w:val="Emphasis"/>
        </w:rPr>
        <w:t>officials</w:t>
      </w:r>
      <w:r w:rsidRPr="00A41B7C">
        <w:rPr>
          <w:u w:val="single"/>
        </w:rPr>
        <w:t xml:space="preserve"> have directly </w:t>
      </w:r>
      <w:r w:rsidRPr="00A41B7C">
        <w:rPr>
          <w:rStyle w:val="Emphasis"/>
        </w:rPr>
        <w:t>applied CIL</w:t>
      </w:r>
      <w:r w:rsidRPr="00A41B7C">
        <w:rPr>
          <w:u w:val="single"/>
        </w:rPr>
        <w:t xml:space="preserve"> and been guided by its </w:t>
      </w:r>
      <w:r w:rsidRPr="00A41B7C">
        <w:rPr>
          <w:rStyle w:val="Emphasis"/>
        </w:rPr>
        <w:t>teachings in a range of doctrinal settings</w:t>
      </w:r>
      <w:r w:rsidRPr="00A41B7C">
        <w:rPr>
          <w:sz w:val="16"/>
        </w:rPr>
        <w:t xml:space="preserve">. 243 As noted earlier, </w:t>
      </w:r>
      <w:r w:rsidRPr="00A41B7C">
        <w:rPr>
          <w:u w:val="single"/>
        </w:rPr>
        <w:t xml:space="preserve">CIL on human rights has been </w:t>
      </w:r>
      <w:r w:rsidRPr="00A41B7C">
        <w:rPr>
          <w:rStyle w:val="Emphasis"/>
        </w:rPr>
        <w:t>deemed applicable in U.S. courts</w:t>
      </w:r>
      <w:r w:rsidRPr="00A41B7C">
        <w:rPr>
          <w:u w:val="single"/>
        </w:rPr>
        <w:t xml:space="preserve"> for suitably defined misconduct occurring in other countries</w:t>
      </w:r>
      <w:r w:rsidRPr="00A41B7C">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A41B7C">
        <w:rPr>
          <w:u w:val="single"/>
        </w:rPr>
        <w:t xml:space="preserve">the use of CIL when </w:t>
      </w:r>
      <w:r w:rsidRPr="00A41B7C">
        <w:rPr>
          <w:rStyle w:val="Emphasis"/>
        </w:rPr>
        <w:t>applying</w:t>
      </w:r>
      <w:r w:rsidRPr="00A41B7C">
        <w:rPr>
          <w:u w:val="single"/>
        </w:rPr>
        <w:t xml:space="preserve"> and </w:t>
      </w:r>
      <w:r w:rsidRPr="00A41B7C">
        <w:rPr>
          <w:rStyle w:val="Emphasis"/>
        </w:rPr>
        <w:t>construing various federal statutes</w:t>
      </w:r>
      <w:r w:rsidRPr="00A41B7C">
        <w:rPr>
          <w:u w:val="single"/>
        </w:rPr>
        <w:t xml:space="preserve"> has increased markedly in recent decades</w:t>
      </w:r>
      <w:r w:rsidRPr="00A41B7C">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A41B7C">
        <w:rPr>
          <w:u w:val="single"/>
        </w:rPr>
        <w:t xml:space="preserve">CIL has been </w:t>
      </w:r>
      <w:r w:rsidRPr="00A41B7C">
        <w:rPr>
          <w:rStyle w:val="Emphasis"/>
        </w:rPr>
        <w:t>applied to help courts apply the choice</w:t>
      </w:r>
      <w:r w:rsidRPr="00A41B7C">
        <w:rPr>
          <w:u w:val="single"/>
        </w:rPr>
        <w:t xml:space="preserve"> between </w:t>
      </w:r>
      <w:r w:rsidRPr="00A41B7C">
        <w:rPr>
          <w:rStyle w:val="Emphasis"/>
        </w:rPr>
        <w:t>indefinite detention</w:t>
      </w:r>
      <w:r w:rsidRPr="00A41B7C">
        <w:rPr>
          <w:u w:val="single"/>
        </w:rPr>
        <w:t xml:space="preserve"> and </w:t>
      </w:r>
      <w:r w:rsidRPr="00A41B7C">
        <w:rPr>
          <w:rStyle w:val="Emphasis"/>
        </w:rPr>
        <w:t>exclusion</w:t>
      </w:r>
      <w:r w:rsidRPr="00A41B7C">
        <w:rPr>
          <w:u w:val="single"/>
        </w:rPr>
        <w:t xml:space="preserve"> under a different </w:t>
      </w:r>
      <w:r w:rsidRPr="00A41B7C">
        <w:rPr>
          <w:rStyle w:val="Emphasis"/>
        </w:rPr>
        <w:t xml:space="preserve">immigration </w:t>
      </w:r>
      <w:r w:rsidRPr="00A41B7C">
        <w:rPr>
          <w:rStyle w:val="Emphasis"/>
        </w:rPr>
        <w:lastRenderedPageBreak/>
        <w:t>statute</w:t>
      </w:r>
      <w:r w:rsidRPr="00A41B7C">
        <w:rPr>
          <w:u w:val="single"/>
        </w:rPr>
        <w:t>,</w:t>
      </w:r>
      <w:r w:rsidRPr="00A41B7C">
        <w:rPr>
          <w:sz w:val="16"/>
        </w:rPr>
        <w:t xml:space="preserve">249 </w:t>
      </w:r>
      <w:r w:rsidRPr="00A41B7C">
        <w:rPr>
          <w:u w:val="single"/>
        </w:rPr>
        <w:t xml:space="preserve">and to </w:t>
      </w:r>
      <w:r w:rsidRPr="00A41B7C">
        <w:rPr>
          <w:rStyle w:val="Emphasis"/>
        </w:rPr>
        <w:t>assist judicial construction</w:t>
      </w:r>
      <w:r w:rsidRPr="00A41B7C">
        <w:rPr>
          <w:u w:val="single"/>
        </w:rPr>
        <w:t xml:space="preserve"> of a </w:t>
      </w:r>
      <w:r w:rsidRPr="00A41B7C">
        <w:rPr>
          <w:rStyle w:val="Emphasis"/>
        </w:rPr>
        <w:t>statute regulating recovery</w:t>
      </w:r>
      <w:r w:rsidRPr="00A41B7C">
        <w:rPr>
          <w:u w:val="single"/>
        </w:rPr>
        <w:t xml:space="preserve"> of sunken warships in U.S. waters</w:t>
      </w:r>
      <w:r w:rsidRPr="00A41B7C">
        <w:rPr>
          <w:sz w:val="16"/>
        </w:rPr>
        <w:t xml:space="preserve">. 250 </w:t>
      </w:r>
      <w:r w:rsidRPr="00A41B7C">
        <w:rPr>
          <w:u w:val="single"/>
        </w:rPr>
        <w:t>It is not obvious why CIL should be deemed inapplicable when construing federal statutes that implicate appropriately qualified labor/human rights misconduct occurring within our borders</w:t>
      </w:r>
      <w:r w:rsidRPr="00A41B7C">
        <w:rPr>
          <w:sz w:val="16"/>
        </w:rPr>
        <w:t xml:space="preserve">.251 Moreover, as previously noted, </w:t>
      </w:r>
      <w:r w:rsidRPr="00A41B7C">
        <w:rPr>
          <w:u w:val="single"/>
        </w:rPr>
        <w:t>a number</w:t>
      </w:r>
      <w:r w:rsidRPr="00947E67">
        <w:rPr>
          <w:u w:val="single"/>
        </w:rPr>
        <w:t xml:space="preserve">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w:t>
      </w:r>
      <w:r w:rsidRPr="00A41B7C">
        <w:rPr>
          <w:sz w:val="16"/>
        </w:rPr>
        <w:t xml:space="preserve">Controlling Law As indicated in The </w:t>
      </w:r>
      <w:proofErr w:type="spellStart"/>
      <w:r w:rsidRPr="00A41B7C">
        <w:rPr>
          <w:sz w:val="16"/>
        </w:rPr>
        <w:t>Paquete</w:t>
      </w:r>
      <w:proofErr w:type="spellEnd"/>
      <w:r w:rsidRPr="00A41B7C">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A41B7C">
        <w:rPr>
          <w:u w:val="single"/>
        </w:rPr>
        <w:t xml:space="preserve">court decisions </w:t>
      </w:r>
      <w:r w:rsidRPr="00A41B7C">
        <w:rPr>
          <w:rStyle w:val="Emphasis"/>
        </w:rPr>
        <w:t>invoking the “controlling law” principle</w:t>
      </w:r>
      <w:r w:rsidRPr="00A41B7C">
        <w:rPr>
          <w:u w:val="single"/>
        </w:rPr>
        <w:t xml:space="preserve"> from </w:t>
      </w:r>
      <w:proofErr w:type="spellStart"/>
      <w:r w:rsidRPr="00A41B7C">
        <w:rPr>
          <w:u w:val="single"/>
        </w:rPr>
        <w:t>Paquete</w:t>
      </w:r>
      <w:proofErr w:type="spellEnd"/>
      <w:r w:rsidRPr="00A41B7C">
        <w:rPr>
          <w:u w:val="single"/>
        </w:rPr>
        <w:t xml:space="preserve"> Habana have applied a </w:t>
      </w:r>
      <w:r w:rsidRPr="00A41B7C">
        <w:rPr>
          <w:rStyle w:val="Emphasis"/>
        </w:rPr>
        <w:t>fairly rigorous standard</w:t>
      </w:r>
      <w:r w:rsidRPr="00A41B7C">
        <w:rPr>
          <w:u w:val="single"/>
        </w:rPr>
        <w:t xml:space="preserve">, relying on a comprehensive scheme of </w:t>
      </w:r>
      <w:r w:rsidRPr="00A41B7C">
        <w:rPr>
          <w:rStyle w:val="Emphasis"/>
        </w:rPr>
        <w:t>statutes and regulations</w:t>
      </w:r>
      <w:r w:rsidRPr="00A41B7C">
        <w:rPr>
          <w:u w:val="single"/>
        </w:rPr>
        <w:t xml:space="preserve"> addressing the </w:t>
      </w:r>
      <w:r w:rsidRPr="00A41B7C">
        <w:rPr>
          <w:rStyle w:val="Emphasis"/>
        </w:rPr>
        <w:t>precise issue</w:t>
      </w:r>
      <w:r w:rsidRPr="00A41B7C">
        <w:rPr>
          <w:sz w:val="16"/>
        </w:rPr>
        <w:t xml:space="preserve">,264 or on a treaty ratified by the U.S. directed to the same problem.265 </w:t>
      </w:r>
      <w:r w:rsidRPr="00A41B7C">
        <w:rPr>
          <w:u w:val="single"/>
        </w:rPr>
        <w:t xml:space="preserve">These lower courts also have invoked Supreme Court </w:t>
      </w:r>
      <w:r w:rsidRPr="00A41B7C">
        <w:rPr>
          <w:rStyle w:val="Emphasis"/>
        </w:rPr>
        <w:t>statements that focus</w:t>
      </w:r>
      <w:r w:rsidRPr="00A41B7C">
        <w:rPr>
          <w:u w:val="single"/>
        </w:rPr>
        <w:t xml:space="preserve"> on the central role of </w:t>
      </w:r>
      <w:r w:rsidRPr="00A41B7C">
        <w:rPr>
          <w:rStyle w:val="Emphasis"/>
        </w:rPr>
        <w:t>legislative expression</w:t>
      </w:r>
      <w:r w:rsidRPr="00A41B7C">
        <w:rPr>
          <w:u w:val="single"/>
        </w:rPr>
        <w:t xml:space="preserve"> when concluding that certain </w:t>
      </w:r>
      <w:r w:rsidRPr="00A41B7C">
        <w:rPr>
          <w:rStyle w:val="Emphasis"/>
        </w:rPr>
        <w:t>controlling congressional acts</w:t>
      </w:r>
      <w:r w:rsidRPr="00A41B7C">
        <w:rPr>
          <w:u w:val="single"/>
        </w:rPr>
        <w:t xml:space="preserve"> were taken with a purpose to </w:t>
      </w:r>
      <w:r w:rsidRPr="00A41B7C">
        <w:rPr>
          <w:rStyle w:val="Emphasis"/>
        </w:rPr>
        <w:t>preclude the application</w:t>
      </w:r>
      <w:r w:rsidRPr="00A41B7C">
        <w:rPr>
          <w:u w:val="single"/>
        </w:rPr>
        <w:t xml:space="preserve"> of CIL to a particular situation</w:t>
      </w:r>
      <w:r w:rsidRPr="00A41B7C">
        <w:rPr>
          <w:sz w:val="16"/>
        </w:rPr>
        <w:t xml:space="preserve">.266 Under this standard, </w:t>
      </w:r>
      <w:r w:rsidRPr="00A41B7C">
        <w:rPr>
          <w:rStyle w:val="Emphasis"/>
        </w:rPr>
        <w:t>controlling U.S. domestic law</w:t>
      </w:r>
      <w:r w:rsidRPr="00A41B7C">
        <w:rPr>
          <w:u w:val="single"/>
        </w:rPr>
        <w:t xml:space="preserve"> does not preclude </w:t>
      </w:r>
      <w:r w:rsidRPr="00A41B7C">
        <w:rPr>
          <w:rStyle w:val="Emphasis"/>
        </w:rPr>
        <w:t>federal courts’ authority</w:t>
      </w:r>
      <w:r w:rsidRPr="00A41B7C">
        <w:rPr>
          <w:u w:val="single"/>
        </w:rPr>
        <w:t xml:space="preserve"> to recognize a right to strike as CIL; on the contrary, it </w:t>
      </w:r>
      <w:r w:rsidRPr="00A41B7C">
        <w:rPr>
          <w:rStyle w:val="Emphasis"/>
        </w:rPr>
        <w:t>arguably supports such authority</w:t>
      </w:r>
      <w:r w:rsidRPr="00A41B7C">
        <w:rPr>
          <w:u w:val="single"/>
        </w:rPr>
        <w:t>. As an ILO member</w:t>
      </w:r>
      <w:r w:rsidRPr="00A41B7C">
        <w:rPr>
          <w:rStyle w:val="Emphasis"/>
        </w:rPr>
        <w:t>, the U.S.</w:t>
      </w:r>
      <w:r w:rsidRPr="00A41B7C">
        <w:rPr>
          <w:u w:val="single"/>
        </w:rPr>
        <w:t xml:space="preserve"> is a party to the 1944 Declaration of Philadelphia</w:t>
      </w:r>
      <w:r w:rsidRPr="00A41B7C">
        <w:rPr>
          <w:sz w:val="16"/>
        </w:rPr>
        <w:t xml:space="preserve">, </w:t>
      </w:r>
      <w:r w:rsidRPr="00A41B7C">
        <w:rPr>
          <w:u w:val="single"/>
        </w:rPr>
        <w:t xml:space="preserve">the 1998 Declaration on Fundamental Principles and Rights at Work, and the 2008 Declaration on Social Justice for a Fair Globalization.267 Each </w:t>
      </w:r>
      <w:r w:rsidRPr="00A41B7C">
        <w:rPr>
          <w:u w:val="single"/>
        </w:rPr>
        <w:lastRenderedPageBreak/>
        <w:t>of these core ILO commitments specifies</w:t>
      </w:r>
      <w:r w:rsidRPr="00696421">
        <w:rPr>
          <w:u w:val="single"/>
        </w:rPr>
        <w:t xml:space="preserve"> the </w:t>
      </w:r>
      <w:r w:rsidRPr="002018C1">
        <w:rPr>
          <w:rStyle w:val="Emphasis"/>
        </w:rPr>
        <w:t>fundamental importance of FOA</w:t>
      </w:r>
      <w:r w:rsidRPr="00696421">
        <w:rPr>
          <w:sz w:val="16"/>
        </w:rPr>
        <w:t>.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w:t>
      </w:r>
      <w:r w:rsidR="00B46972">
        <w:rPr>
          <w:sz w:val="16"/>
        </w:rPr>
        <w:br/>
      </w:r>
      <w:r w:rsidR="00B46972">
        <w:t xml:space="preserve">Current laws are </w:t>
      </w:r>
      <w:r w:rsidR="00B46972" w:rsidRPr="00FC6656">
        <w:rPr>
          <w:u w:val="single"/>
        </w:rPr>
        <w:t>ambiguous</w:t>
      </w:r>
      <w:r w:rsidR="00B46972">
        <w:t xml:space="preserve"> and there is </w:t>
      </w:r>
      <w:r w:rsidR="00B46972" w:rsidRPr="00FC6656">
        <w:rPr>
          <w:u w:val="single"/>
        </w:rPr>
        <w:t>Cause of Action</w:t>
      </w:r>
      <w:r w:rsidR="00B46972">
        <w:t>.</w:t>
      </w:r>
    </w:p>
    <w:p w14:paraId="3430F938" w14:textId="77777777" w:rsidR="00B46972" w:rsidRPr="00B76282" w:rsidRDefault="00B46972" w:rsidP="00B4697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55D595A9" w14:textId="77777777" w:rsidR="00B46972" w:rsidRDefault="00B46972" w:rsidP="00B46972">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lastRenderedPageBreak/>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7DDB56B2" w14:textId="77777777" w:rsidR="00B46972" w:rsidRDefault="00B46972" w:rsidP="00B46972">
      <w:pPr>
        <w:rPr>
          <w:u w:val="single"/>
        </w:rPr>
      </w:pPr>
    </w:p>
    <w:p w14:paraId="6299F6DA" w14:textId="77777777" w:rsidR="00B46972" w:rsidRPr="00CB1B8E" w:rsidRDefault="00B46972" w:rsidP="00B46972">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47A003B4" w14:textId="77777777" w:rsidR="00B46972" w:rsidRDefault="00B46972" w:rsidP="00B46972">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60BAE98E" w14:textId="77777777" w:rsidR="00B46972" w:rsidRDefault="00B46972" w:rsidP="00B46972">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w:t>
      </w:r>
      <w:r>
        <w:rPr>
          <w:highlight w:val="green"/>
          <w:u w:val="single"/>
        </w:rPr>
        <w:lastRenderedPageBreak/>
        <w:t xml:space="preserve">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7D9ECC44" w14:textId="77777777" w:rsidR="00B46972" w:rsidRDefault="00B46972" w:rsidP="00B46972">
      <w:pPr>
        <w:pStyle w:val="Heading4"/>
      </w:pPr>
      <w:r>
        <w:t>Reject “</w:t>
      </w:r>
      <w:r w:rsidRPr="00065862">
        <w:rPr>
          <w:u w:val="single"/>
        </w:rPr>
        <w:t>strikes bad</w:t>
      </w:r>
      <w:r>
        <w:t xml:space="preserve">” offense – the </w:t>
      </w:r>
      <w:proofErr w:type="spellStart"/>
      <w:r>
        <w:t>aff</w:t>
      </w:r>
      <w:proofErr w:type="spellEnd"/>
      <w:r>
        <w:t xml:space="preserve"> increases </w:t>
      </w:r>
      <w:r w:rsidRPr="00065862">
        <w:rPr>
          <w:u w:val="single"/>
        </w:rPr>
        <w:t>agreements</w:t>
      </w:r>
      <w:r>
        <w:t xml:space="preserve">, while decreasing </w:t>
      </w:r>
      <w:r w:rsidRPr="00065862">
        <w:rPr>
          <w:u w:val="single"/>
        </w:rPr>
        <w:t>strikes</w:t>
      </w:r>
      <w:r>
        <w:t>.</w:t>
      </w:r>
    </w:p>
    <w:p w14:paraId="500F4B2E" w14:textId="77777777" w:rsidR="00B46972" w:rsidRPr="00065862" w:rsidRDefault="00B46972" w:rsidP="00B46972">
      <w:r>
        <w:t xml:space="preserve">CHRIS </w:t>
      </w:r>
      <w:r w:rsidRPr="00956BCD">
        <w:rPr>
          <w:rStyle w:val="Style13ptBold"/>
        </w:rPr>
        <w:t>WHITE 08</w:t>
      </w:r>
      <w:r>
        <w:t xml:space="preserve">, </w:t>
      </w:r>
      <w:r w:rsidRPr="00956BCD">
        <w:t xml:space="preserve">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w:t>
      </w:r>
      <w:proofErr w:type="gramStart"/>
      <w:r w:rsidRPr="00956BCD">
        <w:t>researches</w:t>
      </w:r>
      <w:proofErr w:type="gramEnd"/>
      <w:r w:rsidRPr="00956BCD">
        <w:t xml:space="preserve"> </w:t>
      </w:r>
      <w:proofErr w:type="spellStart"/>
      <w:r w:rsidRPr="00956BCD">
        <w:t>labour</w:t>
      </w:r>
      <w:proofErr w:type="spellEnd"/>
      <w:r w:rsidRPr="00956BCD">
        <w:t xml:space="preserve"> law, does part-time work for unions and sessional tutoring in Politics at the Australian National University. See posts on the right to strike on his blog, http://chriswhiteonline.org June 2009</w:t>
      </w:r>
      <w:r>
        <w:t>, (“</w:t>
      </w:r>
      <w:r w:rsidRPr="00956BCD">
        <w:t xml:space="preserve">FIREWALLING THE RIGHT TO STRIKE IN </w:t>
      </w:r>
      <w:proofErr w:type="gramStart"/>
      <w:r w:rsidRPr="00956BCD">
        <w:t>AUSTRALIA?</w:t>
      </w:r>
      <w:r>
        <w:t>,</w:t>
      </w:r>
      <w:proofErr w:type="gramEnd"/>
      <w:r>
        <w:t>” 10 November, 2008, PDF) Justin</w:t>
      </w:r>
    </w:p>
    <w:p w14:paraId="75C414ED" w14:textId="77777777" w:rsidR="00B46972" w:rsidRPr="00065862" w:rsidRDefault="00B46972" w:rsidP="00B46972">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xml:space="preserve">, but </w:t>
      </w:r>
      <w:proofErr w:type="spellStart"/>
      <w:r w:rsidRPr="00065862">
        <w:rPr>
          <w:u w:val="single"/>
        </w:rPr>
        <w:t>Romeyn</w:t>
      </w:r>
      <w:proofErr w:type="spellEnd"/>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7E63B38B" w14:textId="77777777" w:rsidR="00B46972" w:rsidRDefault="00B46972" w:rsidP="00B46972">
      <w:pPr>
        <w:rPr>
          <w:u w:val="single"/>
        </w:rPr>
      </w:pPr>
    </w:p>
    <w:p w14:paraId="51EBC79E" w14:textId="77777777" w:rsidR="00B46972" w:rsidRPr="00C224B8" w:rsidRDefault="00B46972" w:rsidP="00B46972">
      <w:pPr>
        <w:pStyle w:val="Heading4"/>
      </w:pPr>
      <w:r w:rsidRPr="00C224B8">
        <w:t xml:space="preserve">WORKERS STILL DISRUPT WORK WITHOUT THE RIGHT TO STRIKE, NON-UNIQUES THEIR LINKS </w:t>
      </w:r>
    </w:p>
    <w:p w14:paraId="5D55D66F" w14:textId="77777777" w:rsidR="00B46972" w:rsidRPr="00C224B8" w:rsidRDefault="00B46972" w:rsidP="00B46972">
      <w:r w:rsidRPr="00C224B8">
        <w:rPr>
          <w:rStyle w:val="Style13ptBold"/>
        </w:rPr>
        <w:t>ULI 19</w:t>
      </w:r>
      <w:r w:rsidRPr="00C224B8">
        <w:t xml:space="preserve"> Undergraduate Labor Institute (labor policy think-tank run by Cornell undergraduates), 3/17/2019, The Case </w:t>
      </w:r>
      <w:proofErr w:type="gramStart"/>
      <w:r w:rsidRPr="00C224B8">
        <w:t>For</w:t>
      </w:r>
      <w:proofErr w:type="gramEnd"/>
      <w:r w:rsidRPr="00C224B8">
        <w:t xml:space="preserve"> Striking In The Public Sector, https://www.cornelluli.com/post/the-case-for-striking-in-the-public-sector</w:t>
      </w:r>
    </w:p>
    <w:p w14:paraId="41103897" w14:textId="77777777" w:rsidR="00B46972" w:rsidRPr="00C224B8" w:rsidRDefault="00B46972" w:rsidP="00B46972">
      <w:pPr>
        <w:rPr>
          <w:rStyle w:val="Emphasis"/>
        </w:rPr>
      </w:pPr>
      <w:r w:rsidRPr="00C224B8">
        <w:rPr>
          <w:sz w:val="16"/>
        </w:rPr>
        <w:t>Laws like this attempt to deter public sector strikes by attempting to penalize workers beyond the already numerous costs of striking. Reasons cited for restricting the ability of public sector employees to strike include the belief that public sector employees already receive sufficient pay and benefits, or that the provision of collective bargaining, especially strikes, would yield these employees too much political power, in that their services are necessary for society to function as it does.</w:t>
      </w:r>
      <w:r w:rsidRPr="00C819E4">
        <w:rPr>
          <w:sz w:val="16"/>
        </w:rPr>
        <w:t xml:space="preserve"> </w:t>
      </w:r>
      <w:r w:rsidRPr="00C224B8">
        <w:rPr>
          <w:sz w:val="16"/>
        </w:rPr>
        <w:t xml:space="preserve">The faultiness of the first reason lies in the fact that </w:t>
      </w:r>
      <w:r w:rsidRPr="00C224B8">
        <w:rPr>
          <w:rStyle w:val="Emphasis"/>
        </w:rPr>
        <w:t>when public sector employees are allowed to strike, the wage concessions made by employers are not excessive</w:t>
      </w:r>
      <w:r w:rsidRPr="00C224B8">
        <w:rPr>
          <w:sz w:val="16"/>
        </w:rPr>
        <w:t xml:space="preserve">. According to the Economic Policy Institute, </w:t>
      </w:r>
      <w:r w:rsidRPr="00C224B8">
        <w:rPr>
          <w:rStyle w:val="Emphasis"/>
        </w:rPr>
        <w:t>“Employees covered by the right to strike earn about 2 percent to 5 percent more than those without</w:t>
      </w:r>
      <w:r w:rsidRPr="00C224B8">
        <w:rPr>
          <w:sz w:val="16"/>
        </w:rPr>
        <w:t xml:space="preserve"> it.”</w:t>
      </w:r>
      <w:hyperlink r:id="rId14" w:anchor="_ftn2" w:tgtFrame="_top" w:history="1">
        <w:r w:rsidRPr="00C224B8">
          <w:rPr>
            <w:rStyle w:val="Hyperlink"/>
            <w:sz w:val="16"/>
          </w:rPr>
          <w:t>[2]</w:t>
        </w:r>
      </w:hyperlink>
      <w:r w:rsidRPr="00C224B8">
        <w:rPr>
          <w:sz w:val="16"/>
        </w:rPr>
        <w:t xml:space="preserve"> To give this figure significance, the relative union wage effect, states that </w:t>
      </w:r>
      <w:r w:rsidRPr="00C224B8">
        <w:rPr>
          <w:rStyle w:val="Emphasis"/>
        </w:rPr>
        <w:t>unionized workers earn about 15 to 20 percent more than nonunionized workers (in the private sector</w:t>
      </w:r>
      <w:r w:rsidRPr="00C224B8">
        <w:rPr>
          <w:sz w:val="16"/>
        </w:rPr>
        <w:t>).</w:t>
      </w:r>
      <w:hyperlink r:id="rId15" w:anchor="_ftn3" w:tgtFrame="_top" w:history="1">
        <w:r w:rsidRPr="00C224B8">
          <w:rPr>
            <w:rStyle w:val="Hyperlink"/>
            <w:sz w:val="16"/>
          </w:rPr>
          <w:t>[3]</w:t>
        </w:r>
      </w:hyperlink>
      <w:r w:rsidRPr="00C224B8">
        <w:rPr>
          <w:sz w:val="16"/>
        </w:rPr>
        <w:t xml:space="preserve"> While it may be true that public sector employees enjoy higher wages than employees in the private sector, the concern that they will be overpaid upon receiving collective bargaining rights is unreasonable.</w:t>
      </w:r>
      <w:r w:rsidRPr="00C819E4">
        <w:rPr>
          <w:sz w:val="16"/>
        </w:rPr>
        <w:t xml:space="preserve"> </w:t>
      </w:r>
      <w:r w:rsidRPr="00C224B8">
        <w:rPr>
          <w:sz w:val="16"/>
        </w:rPr>
        <w:t xml:space="preserve">The second reason, the fear of employees gaining undue political power and halting necessary functions of society would be reasonable, bar for the fact that </w:t>
      </w:r>
      <w:r w:rsidRPr="00C224B8">
        <w:rPr>
          <w:rStyle w:val="Emphasis"/>
          <w:highlight w:val="green"/>
        </w:rPr>
        <w:t>states without collective bargaining</w:t>
      </w:r>
      <w:r w:rsidRPr="00C224B8">
        <w:rPr>
          <w:rStyle w:val="Emphasis"/>
        </w:rPr>
        <w:t xml:space="preserve"> laws </w:t>
      </w:r>
      <w:r w:rsidRPr="00C224B8">
        <w:rPr>
          <w:rStyle w:val="Emphasis"/>
          <w:highlight w:val="green"/>
        </w:rPr>
        <w:t>are</w:t>
      </w:r>
      <w:r w:rsidRPr="00C224B8">
        <w:rPr>
          <w:rStyle w:val="Emphasis"/>
        </w:rPr>
        <w:t xml:space="preserve"> actually </w:t>
      </w:r>
      <w:r w:rsidRPr="00C224B8">
        <w:rPr>
          <w:rStyle w:val="Emphasis"/>
          <w:highlight w:val="green"/>
        </w:rPr>
        <w:t>prone to more industrial conflict, in which</w:t>
      </w:r>
      <w:r w:rsidRPr="00C224B8">
        <w:rPr>
          <w:rStyle w:val="Emphasis"/>
        </w:rPr>
        <w:t xml:space="preserve"> public sector </w:t>
      </w:r>
      <w:r w:rsidRPr="00C224B8">
        <w:rPr>
          <w:rStyle w:val="Emphasis"/>
          <w:highlight w:val="green"/>
        </w:rPr>
        <w:t>employees withhold their work using</w:t>
      </w:r>
      <w:r w:rsidRPr="00C224B8">
        <w:rPr>
          <w:rStyle w:val="Emphasis"/>
        </w:rPr>
        <w:t xml:space="preserve"> </w:t>
      </w:r>
      <w:r w:rsidRPr="00C224B8">
        <w:rPr>
          <w:rStyle w:val="Emphasis"/>
        </w:rPr>
        <w:lastRenderedPageBreak/>
        <w:t>other tactics, such as “</w:t>
      </w:r>
      <w:r w:rsidRPr="00C224B8">
        <w:rPr>
          <w:rStyle w:val="Emphasis"/>
          <w:highlight w:val="green"/>
        </w:rPr>
        <w:t>slowdowns, work-to-rule campaigns, and “sickouts</w:t>
      </w:r>
      <w:r w:rsidRPr="00C224B8">
        <w:rPr>
          <w:sz w:val="16"/>
        </w:rPr>
        <w:t>.”</w:t>
      </w:r>
      <w:hyperlink r:id="rId16" w:anchor="_ftn4" w:tgtFrame="_top" w:history="1">
        <w:r w:rsidRPr="00C224B8">
          <w:rPr>
            <w:rStyle w:val="Hyperlink"/>
            <w:sz w:val="16"/>
          </w:rPr>
          <w:t>[4]</w:t>
        </w:r>
      </w:hyperlink>
      <w:r w:rsidRPr="00C224B8">
        <w:rPr>
          <w:sz w:val="16"/>
        </w:rPr>
        <w:t xml:space="preserve"> </w:t>
      </w:r>
      <w:r w:rsidRPr="00C224B8">
        <w:rPr>
          <w:rStyle w:val="Emphasis"/>
          <w:highlight w:val="green"/>
        </w:rPr>
        <w:t>Without the right to strike</w:t>
      </w:r>
      <w:r w:rsidRPr="00C224B8">
        <w:rPr>
          <w:rStyle w:val="Emphasis"/>
        </w:rPr>
        <w:t xml:space="preserve"> or use other collective bargaining tools, </w:t>
      </w:r>
      <w:r w:rsidRPr="00C224B8">
        <w:rPr>
          <w:rStyle w:val="Emphasis"/>
          <w:highlight w:val="green"/>
        </w:rPr>
        <w:t>workers still find ways to withhold their work</w:t>
      </w:r>
      <w:r w:rsidRPr="00C224B8">
        <w:rPr>
          <w:rStyle w:val="Emphasis"/>
        </w:rPr>
        <w:t xml:space="preserve"> in the public sector</w:t>
      </w:r>
      <w:r w:rsidRPr="00C224B8">
        <w:rPr>
          <w:sz w:val="16"/>
        </w:rPr>
        <w:t>, so the fear of strikes having this effect is simply borne from a lack of concern for the rights of public sector workers.</w:t>
      </w:r>
      <w:r w:rsidRPr="00C819E4">
        <w:rPr>
          <w:sz w:val="16"/>
        </w:rPr>
        <w:t xml:space="preserve"> </w:t>
      </w:r>
      <w:r w:rsidRPr="00C224B8">
        <w:rPr>
          <w:sz w:val="16"/>
        </w:rPr>
        <w:t xml:space="preserve">Many public sector workers are subject to unfair labor practices and have little tools to combat them due to the notion that they wield massive economic and political power. However, for many employees in the public sector, that is not the case. </w:t>
      </w:r>
      <w:r w:rsidRPr="00C224B8">
        <w:rPr>
          <w:rStyle w:val="Emphasis"/>
        </w:rPr>
        <w:t xml:space="preserve">The right to collectively bargain and strike is not just essential for private sector workers—it is a right that should be extended to the public sector as well. </w:t>
      </w:r>
    </w:p>
    <w:p w14:paraId="2657D1A6" w14:textId="77777777" w:rsidR="00B46972" w:rsidRDefault="00B46972" w:rsidP="00B46972">
      <w:pPr>
        <w:rPr>
          <w:sz w:val="16"/>
        </w:rPr>
      </w:pPr>
    </w:p>
    <w:p w14:paraId="12128A26" w14:textId="77777777" w:rsidR="00B46972" w:rsidRDefault="00B46972" w:rsidP="00B46972">
      <w:pPr>
        <w:pStyle w:val="Heading4"/>
      </w:pPr>
      <w:r>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6C4A9A29" w14:textId="77777777" w:rsidR="00B46972" w:rsidRPr="004726E6" w:rsidRDefault="00B46972" w:rsidP="00B46972">
      <w:proofErr w:type="spellStart"/>
      <w:r w:rsidRPr="004726E6">
        <w:rPr>
          <w:rStyle w:val="Style13ptBold"/>
        </w:rPr>
        <w:t>Wisskerchen</w:t>
      </w:r>
      <w:proofErr w:type="spellEnd"/>
      <w:r w:rsidRPr="004726E6">
        <w:rPr>
          <w:rStyle w:val="Style13ptBold"/>
        </w:rPr>
        <w:t xml:space="preserve"> 5</w:t>
      </w:r>
      <w:r>
        <w:t xml:space="preserve"> [Alfred; 2005; “</w:t>
      </w:r>
      <w:r w:rsidRPr="004726E6">
        <w:t>The standard-setting and monitoring activity of the ILO: Legal questions and practical experience</w:t>
      </w:r>
      <w:r>
        <w:t xml:space="preserve">,” </w:t>
      </w:r>
      <w:r w:rsidRPr="004726E6">
        <w:t xml:space="preserve">International </w:t>
      </w:r>
      <w:proofErr w:type="spellStart"/>
      <w:r w:rsidRPr="004726E6">
        <w:t>Labour</w:t>
      </w:r>
      <w:proofErr w:type="spellEnd"/>
      <w:r w:rsidRPr="004726E6">
        <w:t xml:space="preserve"> Review, Vol. 144 (2005), No. 3</w:t>
      </w:r>
      <w:r>
        <w:t xml:space="preserve">, </w:t>
      </w:r>
      <w:hyperlink r:id="rId17" w:history="1">
        <w:r w:rsidRPr="004E2197">
          <w:rPr>
            <w:rStyle w:val="Hyperlink"/>
          </w:rPr>
          <w:t>https://sci-hub.se/https://onlinelibrary.wiley.com/doi/10.1111/j.1564-913X.2005.tb00569.x</w:t>
        </w:r>
      </w:hyperlink>
      <w:r>
        <w:t>] Justin</w:t>
      </w:r>
    </w:p>
    <w:p w14:paraId="0509063E" w14:textId="77777777" w:rsidR="00B46972" w:rsidRPr="004726E6" w:rsidRDefault="00B46972" w:rsidP="00B46972">
      <w:r>
        <w:t xml:space="preserve">To date there has been no further reaction from the experts in the old dispute over the interpretation of the Freedom of Association and Protection of the Right to </w:t>
      </w:r>
      <w:proofErr w:type="spellStart"/>
      <w:r>
        <w:t>Organise</w:t>
      </w:r>
      <w:proofErr w:type="spellEnd"/>
      <w:r>
        <w:t xml:space="preserve"> Convention, 1948 (No. 87), </w:t>
      </w:r>
      <w:proofErr w:type="gramStart"/>
      <w:r>
        <w:t>with regard to</w:t>
      </w:r>
      <w:proofErr w:type="gramEnd"/>
      <w:r>
        <w:t xml:space="preserve">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w:t>
      </w:r>
      <w:proofErr w:type="spellStart"/>
      <w:r>
        <w:t>programmes</w:t>
      </w:r>
      <w:proofErr w:type="spellEnd"/>
      <w:r>
        <w:t xml:space="preserve">”,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w:t>
      </w:r>
      <w:proofErr w:type="gramStart"/>
      <w:r>
        <w:t>a large number of</w:t>
      </w:r>
      <w:proofErr w:type="gramEnd"/>
      <w:r>
        <w:t xml:space="preserve">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 xml:space="preserve">are not compatible with Convention No. 87. </w:t>
      </w:r>
      <w:proofErr w:type="gramStart"/>
      <w:r w:rsidRPr="004726E6">
        <w:rPr>
          <w:highlight w:val="green"/>
          <w:u w:val="single"/>
        </w:rPr>
        <w:t>Thus</w:t>
      </w:r>
      <w:proofErr w:type="gramEnd"/>
      <w:r w:rsidRPr="004726E6">
        <w:rPr>
          <w:highlight w:val="green"/>
          <w:u w:val="single"/>
        </w:rPr>
        <w:t xml:space="preserve"> they have formulated</w:t>
      </w:r>
      <w:r w:rsidRPr="004726E6">
        <w:rPr>
          <w:u w:val="single"/>
        </w:rPr>
        <w:t xml:space="preserve"> a comprehensive corpus of minutely detailed strike law which amounts to a </w:t>
      </w:r>
      <w:r w:rsidRPr="004726E6">
        <w:rPr>
          <w:highlight w:val="green"/>
          <w:u w:val="single"/>
        </w:rPr>
        <w:t>far-reaching, unrestricted freedom to 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618171B3" w14:textId="46412901" w:rsidR="00A41B7C" w:rsidRDefault="00A41B7C" w:rsidP="00A41B7C">
      <w:pPr>
        <w:rPr>
          <w:sz w:val="16"/>
        </w:rPr>
      </w:pPr>
    </w:p>
    <w:p w14:paraId="7B051B96" w14:textId="77777777" w:rsidR="00A41B7C" w:rsidRDefault="00A41B7C" w:rsidP="00A41B7C">
      <w:pPr>
        <w:pStyle w:val="Heading3"/>
        <w:rPr>
          <w:rFonts w:cs="Calibri"/>
        </w:rPr>
      </w:pPr>
      <w:r w:rsidRPr="00976E44">
        <w:rPr>
          <w:rFonts w:cs="Calibri"/>
        </w:rPr>
        <w:lastRenderedPageBreak/>
        <w:t>1AC – Framing</w:t>
      </w:r>
    </w:p>
    <w:p w14:paraId="0E004B1F" w14:textId="77777777" w:rsidR="00A41B7C" w:rsidRDefault="00A41B7C" w:rsidP="00A41B7C">
      <w:pPr>
        <w:pStyle w:val="Heading4"/>
        <w:rPr>
          <w:rFonts w:cs="Calibri"/>
        </w:rPr>
      </w:pPr>
      <w:r w:rsidRPr="007B328F">
        <w:rPr>
          <w:rFonts w:cs="Calibri"/>
        </w:rPr>
        <w:t xml:space="preserve">The standard is </w:t>
      </w:r>
      <w:r>
        <w:rPr>
          <w:rFonts w:cs="Calibri"/>
        </w:rPr>
        <w:t>maximizing expected wellbeing-hedonistic act util</w:t>
      </w:r>
    </w:p>
    <w:p w14:paraId="3C4EA107" w14:textId="77777777" w:rsidR="00A41B7C" w:rsidRDefault="00A41B7C" w:rsidP="00A41B7C">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F846F4C" w14:textId="77777777" w:rsidR="00A41B7C" w:rsidRDefault="00A41B7C" w:rsidP="00A41B7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06AE83B7" w14:textId="77777777" w:rsidR="00A41B7C" w:rsidRPr="00611177" w:rsidRDefault="00A41B7C" w:rsidP="00A41B7C">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6FFFB36F" w14:textId="77777777" w:rsidR="00A41B7C" w:rsidRPr="00611177" w:rsidRDefault="00A41B7C" w:rsidP="00A41B7C">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F938CC1" w14:textId="77777777" w:rsidR="00A41B7C" w:rsidRPr="00484031" w:rsidRDefault="00A41B7C" w:rsidP="00A41B7C">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t>
      </w:r>
      <w:r w:rsidRPr="00611177">
        <w:rPr>
          <w:sz w:val="12"/>
        </w:rPr>
        <w:lastRenderedPageBreak/>
        <w:t xml:space="preserve">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1A8BA374" w14:textId="77777777" w:rsidR="00A41B7C" w:rsidRDefault="00A41B7C" w:rsidP="00A41B7C">
      <w:pPr>
        <w:pStyle w:val="Heading4"/>
      </w:pPr>
      <w:r>
        <w:t>4] Extinction outweighs</w:t>
      </w:r>
    </w:p>
    <w:p w14:paraId="7A0A5CB9" w14:textId="77777777" w:rsidR="00A41B7C" w:rsidRPr="00166CFF" w:rsidRDefault="00A41B7C" w:rsidP="00A41B7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A941F43" w14:textId="77777777" w:rsidR="00A41B7C" w:rsidRDefault="00A41B7C" w:rsidP="00A41B7C">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F804980" w14:textId="77777777" w:rsidR="00A41B7C" w:rsidRDefault="00A41B7C" w:rsidP="00A41B7C">
      <w:pPr>
        <w:pStyle w:val="Heading4"/>
      </w:pPr>
      <w:r>
        <w:t xml:space="preserve">5] No </w:t>
      </w:r>
      <w:r w:rsidRPr="00192D33">
        <w:rPr>
          <w:u w:val="single"/>
        </w:rPr>
        <w:t>intent-foresight</w:t>
      </w:r>
      <w:r>
        <w:t xml:space="preserve"> distinction for states.</w:t>
      </w:r>
    </w:p>
    <w:p w14:paraId="1790663B" w14:textId="77777777" w:rsidR="00A41B7C" w:rsidRPr="00152744" w:rsidRDefault="00A41B7C" w:rsidP="00A41B7C">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19AE97CA" w14:textId="77777777" w:rsidR="00A41B7C" w:rsidRPr="006754BB" w:rsidRDefault="00A41B7C" w:rsidP="00A41B7C">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w:t>
      </w:r>
      <w:r>
        <w:lastRenderedPageBreak/>
        <w:t xml:space="preserve">(more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5D984562" w14:textId="5BC7C70D" w:rsidR="00A41B7C" w:rsidRDefault="00A41B7C" w:rsidP="00A41B7C">
      <w:pPr>
        <w:pStyle w:val="Heading4"/>
      </w:pPr>
      <w:r w:rsidRPr="00361031">
        <w:t xml:space="preserve"> </w:t>
      </w:r>
      <w:r>
        <w:t xml:space="preserve">7]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35AAB51E" w14:textId="77777777" w:rsidR="00A41B7C" w:rsidRDefault="00A41B7C" w:rsidP="00A41B7C">
      <w:pPr>
        <w:rPr>
          <w:sz w:val="14"/>
          <w:szCs w:val="26"/>
        </w:rPr>
      </w:pPr>
    </w:p>
    <w:p w14:paraId="70F31025" w14:textId="77777777" w:rsidR="00A41B7C" w:rsidRDefault="00A41B7C" w:rsidP="00A41B7C">
      <w:pPr>
        <w:pStyle w:val="Heading3"/>
      </w:pPr>
      <w:r>
        <w:lastRenderedPageBreak/>
        <w:t>Underview</w:t>
      </w:r>
    </w:p>
    <w:p w14:paraId="37BF49E3" w14:textId="77777777" w:rsidR="00A41B7C" w:rsidRPr="00394AF8" w:rsidRDefault="00A41B7C" w:rsidP="00A41B7C">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w:t>
      </w:r>
      <w:r>
        <w:t>2NR has enough time to flesh out a proper CI</w:t>
      </w:r>
    </w:p>
    <w:p w14:paraId="4082596A" w14:textId="77777777" w:rsidR="00A41B7C" w:rsidRDefault="00A41B7C" w:rsidP="00A41B7C"/>
    <w:p w14:paraId="63AD0A14" w14:textId="77777777" w:rsidR="00A41B7C" w:rsidRDefault="00A41B7C" w:rsidP="00A41B7C">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0068818D" w14:textId="77777777" w:rsidR="00A41B7C" w:rsidRDefault="00A41B7C" w:rsidP="00A41B7C"/>
    <w:p w14:paraId="443EC15C" w14:textId="77777777" w:rsidR="00A41B7C" w:rsidRPr="00361031" w:rsidRDefault="00A41B7C" w:rsidP="00A41B7C">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368CB6AC" w14:textId="77777777" w:rsidR="00A41B7C" w:rsidRDefault="00A41B7C" w:rsidP="00A41B7C"/>
    <w:p w14:paraId="4F48BAF3" w14:textId="77777777" w:rsidR="00A41B7C" w:rsidRPr="00361031" w:rsidRDefault="00A41B7C" w:rsidP="00A41B7C">
      <w:pPr>
        <w:pStyle w:val="Heading4"/>
      </w:pPr>
      <w:r>
        <w:t>3</w:t>
      </w:r>
      <w:r w:rsidRPr="00361031">
        <w:t xml:space="preserve">] </w:t>
      </w:r>
      <w:r>
        <w:t xml:space="preserve">But if its good- </w:t>
      </w:r>
      <w:r w:rsidRPr="00361031">
        <w:t>Permissibility and presumption affirm.</w:t>
      </w:r>
    </w:p>
    <w:p w14:paraId="3438EDA5" w14:textId="77777777" w:rsidR="00A41B7C" w:rsidRPr="00361031" w:rsidRDefault="00A41B7C" w:rsidP="00A41B7C">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0701A5F7" w14:textId="77777777" w:rsidR="00A41B7C" w:rsidRPr="00361031" w:rsidRDefault="00A41B7C" w:rsidP="00A41B7C">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6548B218" w14:textId="77777777" w:rsidR="00A41B7C" w:rsidRPr="00361031" w:rsidRDefault="00A41B7C" w:rsidP="00A41B7C">
      <w:pPr>
        <w:pStyle w:val="Heading4"/>
      </w:pPr>
      <w:r w:rsidRPr="00361031">
        <w:t xml:space="preserve">C] </w:t>
      </w:r>
      <w:r w:rsidRPr="00361031">
        <w:rPr>
          <w:u w:val="single"/>
        </w:rPr>
        <w:t>Negation Theory</w:t>
      </w:r>
      <w:r w:rsidRPr="00361031">
        <w:t>- Negating requires a complete absence of an existing obligation</w:t>
      </w:r>
    </w:p>
    <w:p w14:paraId="30E539DB" w14:textId="77777777" w:rsidR="00A41B7C" w:rsidRPr="00361031" w:rsidRDefault="00A41B7C" w:rsidP="00A41B7C">
      <w:pPr>
        <w:rPr>
          <w:rStyle w:val="Emphasis"/>
        </w:rPr>
      </w:pPr>
      <w:r w:rsidRPr="00361031">
        <w:rPr>
          <w:rStyle w:val="Emphasis"/>
          <w:highlight w:val="green"/>
        </w:rPr>
        <w:t>Negate: to deny the existence of</w:t>
      </w:r>
    </w:p>
    <w:p w14:paraId="64E9590D" w14:textId="77777777" w:rsidR="00A41B7C" w:rsidRPr="00361031" w:rsidRDefault="00A41B7C" w:rsidP="00A41B7C">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670A4766" w14:textId="77777777" w:rsidR="00A41B7C" w:rsidRPr="00361031" w:rsidRDefault="00A41B7C" w:rsidP="00A41B7C">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106201AE" w14:textId="77777777" w:rsidR="00A41B7C" w:rsidRDefault="00A41B7C" w:rsidP="00A41B7C"/>
    <w:p w14:paraId="1A5B8BD7" w14:textId="77777777" w:rsidR="00A41B7C" w:rsidRDefault="00A41B7C" w:rsidP="00A41B7C">
      <w:pPr>
        <w:rPr>
          <w:sz w:val="16"/>
        </w:rPr>
      </w:pPr>
    </w:p>
    <w:p w14:paraId="45106C28" w14:textId="77777777" w:rsidR="00A41B7C" w:rsidRPr="00696421" w:rsidRDefault="00A41B7C" w:rsidP="00A41B7C">
      <w:pPr>
        <w:rPr>
          <w:sz w:val="16"/>
        </w:rPr>
      </w:pPr>
    </w:p>
    <w:p w14:paraId="2A7DD9BF" w14:textId="77777777" w:rsidR="00E42E4C" w:rsidRPr="00F601E6" w:rsidRDefault="00E42E4C" w:rsidP="00A41B7C">
      <w:pPr>
        <w:pStyle w:val="Heading2"/>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1B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0E5"/>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988"/>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AF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B7C"/>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972"/>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B1B"/>
    <w:rsid w:val="00E541F9"/>
    <w:rsid w:val="00E57B79"/>
    <w:rsid w:val="00E63419"/>
    <w:rsid w:val="00E64496"/>
    <w:rsid w:val="00E72115"/>
    <w:rsid w:val="00E8322E"/>
    <w:rsid w:val="00E903E0"/>
    <w:rsid w:val="00EA1115"/>
    <w:rsid w:val="00EA39EB"/>
    <w:rsid w:val="00EA58CE"/>
    <w:rsid w:val="00EB33FF"/>
    <w:rsid w:val="00EB3D1A"/>
    <w:rsid w:val="00EB673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41A"/>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D001D"/>
  <w14:defaultImageDpi w14:val="300"/>
  <w15:docId w15:val="{2E78FA0F-DFB8-0349-B6A1-E3D253A69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1B7C"/>
    <w:pPr>
      <w:spacing w:after="160" w:line="259" w:lineRule="auto"/>
    </w:pPr>
  </w:style>
  <w:style w:type="paragraph" w:styleId="Heading1">
    <w:name w:val="heading 1"/>
    <w:aliases w:val="Pocket"/>
    <w:basedOn w:val="Normal"/>
    <w:next w:val="Normal"/>
    <w:link w:val="Heading1Char"/>
    <w:uiPriority w:val="9"/>
    <w:qFormat/>
    <w:rsid w:val="00A41B7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1B7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A41B7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41B7C"/>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A41B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1B7C"/>
  </w:style>
  <w:style w:type="character" w:customStyle="1" w:styleId="Heading1Char">
    <w:name w:val="Heading 1 Char"/>
    <w:aliases w:val="Pocket Char"/>
    <w:basedOn w:val="DefaultParagraphFont"/>
    <w:link w:val="Heading1"/>
    <w:uiPriority w:val="9"/>
    <w:rsid w:val="00A41B7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A41B7C"/>
    <w:rPr>
      <w:rFonts w:eastAsiaTheme="majorEastAsia"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A41B7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41B7C"/>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41B7C"/>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A41B7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41B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1B7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A41B7C"/>
    <w:rPr>
      <w:color w:val="auto"/>
      <w:u w:val="none"/>
    </w:rPr>
  </w:style>
  <w:style w:type="paragraph" w:styleId="DocumentMap">
    <w:name w:val="Document Map"/>
    <w:basedOn w:val="Normal"/>
    <w:link w:val="DocumentMapChar"/>
    <w:uiPriority w:val="99"/>
    <w:semiHidden/>
    <w:unhideWhenUsed/>
    <w:rsid w:val="00A41B7C"/>
    <w:rPr>
      <w:rFonts w:ascii="Lucida Grande" w:hAnsi="Lucida Grande" w:cs="Lucida Grande"/>
    </w:rPr>
  </w:style>
  <w:style w:type="character" w:customStyle="1" w:styleId="DocumentMapChar">
    <w:name w:val="Document Map Char"/>
    <w:basedOn w:val="DefaultParagraphFont"/>
    <w:link w:val="DocumentMap"/>
    <w:uiPriority w:val="99"/>
    <w:semiHidden/>
    <w:rsid w:val="00A41B7C"/>
    <w:rPr>
      <w:rFonts w:ascii="Lucida Grande" w:hAnsi="Lucida Grande" w:cs="Lucida Grande"/>
    </w:rPr>
  </w:style>
  <w:style w:type="character" w:styleId="UnresolvedMention">
    <w:name w:val="Unresolved Mention"/>
    <w:basedOn w:val="DefaultParagraphFont"/>
    <w:uiPriority w:val="99"/>
    <w:semiHidden/>
    <w:unhideWhenUsed/>
    <w:rsid w:val="00A41B7C"/>
    <w:rPr>
      <w:color w:val="605E5C"/>
      <w:shd w:val="clear" w:color="auto" w:fill="E1DFDD"/>
    </w:rPr>
  </w:style>
  <w:style w:type="paragraph" w:customStyle="1" w:styleId="textbold">
    <w:name w:val="text bold"/>
    <w:basedOn w:val="Normal"/>
    <w:link w:val="Emphasis"/>
    <w:uiPriority w:val="20"/>
    <w:qFormat/>
    <w:rsid w:val="00A41B7C"/>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A41B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aliases w:val="6 font"/>
    <w:basedOn w:val="Normal"/>
    <w:uiPriority w:val="34"/>
    <w:qFormat/>
    <w:rsid w:val="00A41B7C"/>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A41B7C"/>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A41B7C"/>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A41B7C"/>
    <w:rPr>
      <w:u w:val="single"/>
    </w:rPr>
  </w:style>
  <w:style w:type="paragraph" w:styleId="Title">
    <w:name w:val="Title"/>
    <w:aliases w:val="title,UNDERLINE,Cites and Cards,Bold Underlined,Block Heading,Read This,Non Read Text,Debate Normal"/>
    <w:basedOn w:val="Normal"/>
    <w:link w:val="TitleChar"/>
    <w:uiPriority w:val="1"/>
    <w:qFormat/>
    <w:rsid w:val="00A41B7C"/>
    <w:pPr>
      <w:spacing w:before="240" w:after="60"/>
      <w:ind w:left="432" w:right="432"/>
      <w:jc w:val="center"/>
      <w:outlineLvl w:val="0"/>
    </w:pPr>
    <w:rPr>
      <w:u w:val="single"/>
    </w:rPr>
  </w:style>
  <w:style w:type="character" w:customStyle="1" w:styleId="TitleChar1">
    <w:name w:val="Title Char1"/>
    <w:basedOn w:val="DefaultParagraphFont"/>
    <w:uiPriority w:val="10"/>
    <w:rsid w:val="00A41B7C"/>
    <w:rPr>
      <w:rFonts w:asciiTheme="majorHAnsi" w:eastAsiaTheme="majorEastAsia" w:hAnsiTheme="majorHAnsi" w:cstheme="majorBidi"/>
      <w:spacing w:val="-10"/>
      <w:kern w:val="28"/>
      <w:sz w:val="56"/>
      <w:szCs w:val="56"/>
    </w:rPr>
  </w:style>
  <w:style w:type="paragraph" w:customStyle="1" w:styleId="Body">
    <w:name w:val="Body"/>
    <w:autoRedefine/>
    <w:rsid w:val="00A41B7C"/>
    <w:rPr>
      <w:rFonts w:ascii="Times New Roman" w:eastAsia="ヒラギノ角ゴ Pro W3" w:hAnsi="Times New Roman" w:cs="Times New Roman"/>
      <w:color w:val="000000"/>
      <w:sz w:val="24"/>
      <w:szCs w:val="20"/>
    </w:rPr>
  </w:style>
  <w:style w:type="character" w:styleId="IntenseEmphasis">
    <w:name w:val="Intense Emphasis"/>
    <w:aliases w:val="cites Char Ch,Intense Emphasis4,9.5 pt,Intense Emphasi,Box Out,Intense Emphasis5,Char Char Char1,Sty,Style Underli,Minimized Char,cites Char Char,Underlined Text Char,title Char1"/>
    <w:uiPriority w:val="5"/>
    <w:qFormat/>
    <w:rsid w:val="00A41B7C"/>
    <w:rPr>
      <w:bCs/>
      <w:sz w:val="20"/>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card"/>
    <w:basedOn w:val="Heading1"/>
    <w:autoRedefine/>
    <w:uiPriority w:val="99"/>
    <w:qFormat/>
    <w:rsid w:val="00A41B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2">
    <w:name w:val="Underline2"/>
    <w:basedOn w:val="Normal"/>
    <w:link w:val="Underline2Char"/>
    <w:autoRedefine/>
    <w:uiPriority w:val="4"/>
    <w:qFormat/>
    <w:rsid w:val="00A41B7C"/>
    <w:rPr>
      <w:b/>
      <w:u w:val="single"/>
    </w:rPr>
  </w:style>
  <w:style w:type="character" w:customStyle="1" w:styleId="Underline2Char">
    <w:name w:val="Underline2 Char"/>
    <w:basedOn w:val="DefaultParagraphFont"/>
    <w:link w:val="Underline2"/>
    <w:uiPriority w:val="4"/>
    <w:rsid w:val="00A41B7C"/>
    <w:rPr>
      <w:b/>
      <w:u w:val="single"/>
    </w:rPr>
  </w:style>
  <w:style w:type="character" w:customStyle="1" w:styleId="BoldUnderline">
    <w:name w:val="BoldUnderline"/>
    <w:basedOn w:val="DefaultParagraphFont"/>
    <w:uiPriority w:val="1"/>
    <w:qFormat/>
    <w:rsid w:val="00A41B7C"/>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hyperlink" Target="https://sci-hub.se/https://onlinelibrary.wiley.com/doi/10.1111/j.1564-913X.2005.tb00569.x" TargetMode="External"/><Relationship Id="rId2" Type="http://schemas.openxmlformats.org/officeDocument/2006/relationships/customXml" Target="../customXml/item2.xml"/><Relationship Id="rId16" Type="http://schemas.openxmlformats.org/officeDocument/2006/relationships/hyperlink" Target="https://www.wix.com/dashboard/8fa3bf37-6e96-4194-9f71-e81bfb562d0d/blog/5d44f0ca0c744700188d053b/ed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hyperlink" Target="https://www.wix.com/dashboard/8fa3bf37-6e96-4194-9f71-e81bfb562d0d/blog/5d44f0ca0c744700188d053b/edit" TargetMode="External"/><Relationship Id="rId10" Type="http://schemas.openxmlformats.org/officeDocument/2006/relationships/hyperlink" Target="https://digitalcommons.law.yale.edu/cgi/viewcontent.cgi?article=1710&amp;context=yji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wix.com/dashboard/8fa3bf37-6e96-4194-9f71-e81bfb562d0d/blog/5d44f0ca0c744700188d053b/ed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13947</Words>
  <Characters>79500</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2021-11-22T16:32:00Z</dcterms:created>
  <dcterms:modified xsi:type="dcterms:W3CDTF">2021-11-22T18:08:00Z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