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10BB2" w14:textId="74B46DC1" w:rsidR="001339A0" w:rsidRDefault="001339A0" w:rsidP="001339A0">
      <w:pPr>
        <w:pStyle w:val="Heading2"/>
      </w:pPr>
      <w:r>
        <w:t>1AC v1</w:t>
      </w:r>
    </w:p>
    <w:p w14:paraId="3A2A8A60" w14:textId="77777777" w:rsidR="001339A0" w:rsidRDefault="001339A0" w:rsidP="001339A0">
      <w:pPr>
        <w:pStyle w:val="Heading3"/>
      </w:pPr>
      <w:r>
        <w:t>1AC – Adv – Customary International Law</w:t>
      </w:r>
    </w:p>
    <w:p w14:paraId="0D0B4F22" w14:textId="77777777" w:rsidR="001339A0" w:rsidRDefault="001339A0" w:rsidP="001339A0">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sidRPr="00875A8F">
        <w:rPr>
          <w:i/>
        </w:rPr>
        <w:t>opinio juris</w:t>
      </w:r>
      <w:r>
        <w:t xml:space="preserve"> standards. Perception of US insufficiency breeds </w:t>
      </w:r>
      <w:r w:rsidRPr="00875A8F">
        <w:rPr>
          <w:u w:val="single"/>
        </w:rPr>
        <w:t>uncertainty</w:t>
      </w:r>
      <w:r>
        <w:t xml:space="preserve"> with confidence in international law and spirals into noncompliance – that causes a </w:t>
      </w:r>
      <w:r w:rsidRPr="00C7074B">
        <w:t>legitimacy crisis</w:t>
      </w:r>
      <w:r>
        <w:t xml:space="preserve">. </w:t>
      </w:r>
      <w:r w:rsidRPr="00875A8F">
        <w:rPr>
          <w:u w:val="single"/>
        </w:rPr>
        <w:t>No alt causes</w:t>
      </w:r>
      <w:r>
        <w:t xml:space="preserve"> to legitimacy – FOA is </w:t>
      </w:r>
      <w:r w:rsidRPr="00DD54C7">
        <w:rPr>
          <w:u w:val="single"/>
        </w:rPr>
        <w:t>central</w:t>
      </w:r>
      <w:r>
        <w:t xml:space="preserve"> to the ILO and the </w:t>
      </w:r>
      <w:r w:rsidRPr="00875A8F">
        <w:rPr>
          <w:u w:val="single"/>
        </w:rPr>
        <w:t>biggest internal link</w:t>
      </w:r>
      <w:r>
        <w:t>.</w:t>
      </w:r>
    </w:p>
    <w:p w14:paraId="05E77F0E" w14:textId="77777777" w:rsidR="001339A0" w:rsidRPr="00D2046C" w:rsidRDefault="001339A0" w:rsidP="001339A0">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9" w:history="1">
        <w:r w:rsidRPr="00111F4F">
          <w:rPr>
            <w:rStyle w:val="Hyperlink"/>
          </w:rPr>
          <w:t>https://digitalcommons.law.yale.edu/cgi/viewcontent.cgi?article=1710&amp;context=yjil</w:t>
        </w:r>
      </w:hyperlink>
      <w:r>
        <w:t>] Justin ** Brackets in original</w:t>
      </w:r>
    </w:p>
    <w:p w14:paraId="1D01FC4D" w14:textId="77777777" w:rsidR="001339A0" w:rsidRPr="001130DA" w:rsidRDefault="001339A0" w:rsidP="001339A0">
      <w:pPr>
        <w:rPr>
          <w:rStyle w:val="Emphasis"/>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p>
    <w:p w14:paraId="7038E2FF" w14:textId="77777777" w:rsidR="001339A0" w:rsidRPr="001130DA" w:rsidRDefault="001339A0" w:rsidP="001339A0">
      <w:pPr>
        <w:rPr>
          <w:sz w:val="16"/>
        </w:rPr>
      </w:pP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p>
    <w:p w14:paraId="51694659" w14:textId="77777777" w:rsidR="001339A0" w:rsidRPr="00425E77" w:rsidRDefault="001339A0" w:rsidP="001339A0">
      <w:pPr>
        <w:rPr>
          <w:rStyle w:val="Emphasis"/>
        </w:rPr>
      </w:pP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p>
    <w:p w14:paraId="4EBCABF5" w14:textId="77777777" w:rsidR="001339A0" w:rsidRPr="001130DA" w:rsidRDefault="001339A0" w:rsidP="001339A0">
      <w:pPr>
        <w:rPr>
          <w:sz w:val="16"/>
        </w:rPr>
      </w:pPr>
      <w:r w:rsidRPr="001130DA">
        <w:rPr>
          <w:sz w:val="16"/>
        </w:rPr>
        <w:t>A. Initial Definitions and Considerations</w:t>
      </w:r>
    </w:p>
    <w:p w14:paraId="371DB7DC" w14:textId="77777777" w:rsidR="001339A0" w:rsidRPr="00ED5AB7" w:rsidRDefault="001339A0" w:rsidP="001339A0">
      <w:pPr>
        <w:rPr>
          <w:rStyle w:val="Emphasis"/>
        </w:rPr>
      </w:pPr>
      <w:r w:rsidRPr="001130DA">
        <w:rPr>
          <w:sz w:val="16"/>
        </w:rPr>
        <w:t xml:space="preserve">1. </w:t>
      </w:r>
      <w:r w:rsidRPr="00ED5AB7">
        <w:rPr>
          <w:rStyle w:val="Emphasis"/>
        </w:rPr>
        <w:t>CIL Standards</w:t>
      </w:r>
    </w:p>
    <w:p w14:paraId="0A23554E" w14:textId="77777777" w:rsidR="001339A0" w:rsidRPr="003E22A7" w:rsidRDefault="001339A0" w:rsidP="001339A0">
      <w:pPr>
        <w:rPr>
          <w:u w:val="single"/>
        </w:rPr>
      </w:pP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p>
    <w:p w14:paraId="088C57C6" w14:textId="77777777" w:rsidR="001339A0" w:rsidRPr="00ED5AB7" w:rsidRDefault="001339A0" w:rsidP="001339A0">
      <w:pPr>
        <w:rPr>
          <w:rStyle w:val="Emphasis"/>
        </w:rPr>
      </w:pP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p>
    <w:p w14:paraId="0B0FF085" w14:textId="77777777" w:rsidR="001339A0" w:rsidRPr="003E22A7" w:rsidRDefault="001339A0" w:rsidP="001339A0">
      <w:pPr>
        <w:rPr>
          <w:u w:val="single"/>
        </w:rPr>
      </w:pP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p>
    <w:p w14:paraId="7D8ACA85" w14:textId="77777777" w:rsidR="001339A0" w:rsidRPr="001130DA" w:rsidRDefault="001339A0" w:rsidP="001339A0">
      <w:pPr>
        <w:rPr>
          <w:sz w:val="16"/>
        </w:rPr>
      </w:pP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p>
    <w:p w14:paraId="508856F6" w14:textId="77777777" w:rsidR="001339A0" w:rsidRPr="00A56669" w:rsidRDefault="001339A0" w:rsidP="001339A0">
      <w:pPr>
        <w:rPr>
          <w:rStyle w:val="Emphasis"/>
        </w:rPr>
      </w:pPr>
      <w:r w:rsidRPr="001130DA">
        <w:rPr>
          <w:sz w:val="16"/>
        </w:rPr>
        <w:t xml:space="preserve">B. </w:t>
      </w:r>
      <w:r w:rsidRPr="005901B7">
        <w:rPr>
          <w:u w:val="single"/>
        </w:rPr>
        <w:t xml:space="preserve">FOA and the </w:t>
      </w:r>
      <w:r w:rsidRPr="00A56669">
        <w:rPr>
          <w:rStyle w:val="Emphasis"/>
        </w:rPr>
        <w:t>Right to Strike as General Practice</w:t>
      </w:r>
    </w:p>
    <w:p w14:paraId="197D04F2" w14:textId="77777777" w:rsidR="001339A0" w:rsidRPr="001130DA" w:rsidRDefault="001339A0" w:rsidP="001339A0">
      <w:pPr>
        <w:rPr>
          <w:sz w:val="16"/>
        </w:rPr>
      </w:pP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p>
    <w:p w14:paraId="6C3368C4" w14:textId="77777777" w:rsidR="001339A0" w:rsidRPr="00425E77" w:rsidRDefault="001339A0" w:rsidP="001339A0">
      <w:pPr>
        <w:rPr>
          <w:sz w:val="16"/>
        </w:rPr>
      </w:pP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8D2E40">
        <w:rPr>
          <w:highlight w:val="green"/>
          <w:u w:val="single"/>
        </w:rPr>
        <w:t xml:space="preserve">the </w:t>
      </w:r>
      <w:r w:rsidRPr="008D2E40">
        <w:rPr>
          <w:rStyle w:val="Emphasis"/>
          <w:highlight w:val="green"/>
        </w:rPr>
        <w:t>right to strike</w:t>
      </w:r>
      <w:r w:rsidRPr="008D2E40">
        <w:rPr>
          <w:highlight w:val="green"/>
          <w:u w:val="single"/>
        </w:rPr>
        <w:t>, is recognized in</w:t>
      </w:r>
      <w:r w:rsidRPr="00425E77">
        <w:rPr>
          <w:u w:val="single"/>
        </w:rPr>
        <w:t xml:space="preserve"> the International Covenant on Economic, Social and Cultural Rights (</w:t>
      </w:r>
      <w:r w:rsidRPr="00A56669">
        <w:rPr>
          <w:rStyle w:val="Emphasis"/>
        </w:rPr>
        <w:t>ICESCR</w:t>
      </w:r>
      <w:r w:rsidRPr="00425E77">
        <w:rPr>
          <w:u w:val="single"/>
        </w:rPr>
        <w:t xml:space="preserve">), adopted by </w:t>
      </w:r>
      <w:r w:rsidRPr="008D2E40">
        <w:rPr>
          <w:highlight w:val="green"/>
          <w:u w:val="single"/>
        </w:rPr>
        <w:t xml:space="preserve">the </w:t>
      </w:r>
      <w:r w:rsidRPr="008D2E40">
        <w:rPr>
          <w:rStyle w:val="Emphasis"/>
          <w:highlight w:val="green"/>
        </w:rPr>
        <w:t>U</w:t>
      </w:r>
      <w:r w:rsidRPr="00A56669">
        <w:rPr>
          <w:rStyle w:val="Emphasis"/>
        </w:rPr>
        <w:t xml:space="preserve">nited </w:t>
      </w:r>
      <w:r w:rsidRPr="008D2E40">
        <w:rPr>
          <w:rStyle w:val="Emphasis"/>
          <w:highlight w:val="green"/>
        </w:rPr>
        <w:t>N</w:t>
      </w:r>
      <w:r w:rsidRPr="00A56669">
        <w:rPr>
          <w:rStyle w:val="Emphasis"/>
        </w:rPr>
        <w:t xml:space="preserve">ations </w:t>
      </w:r>
      <w:r w:rsidRPr="008D2E40">
        <w:rPr>
          <w:rStyle w:val="Emphasis"/>
          <w:highlight w:val="green"/>
        </w:rPr>
        <w:t>General Assembly</w:t>
      </w:r>
      <w:r w:rsidRPr="00A56669">
        <w:rPr>
          <w:rStyle w:val="Emphasis"/>
        </w:rPr>
        <w:t xml:space="preserve"> to be effective</w:t>
      </w:r>
      <w:r w:rsidRPr="00425E77">
        <w:rPr>
          <w:sz w:val="16"/>
        </w:rPr>
        <w:t xml:space="preserve"> 1976.122 </w:t>
      </w:r>
      <w:r w:rsidRPr="00425E77">
        <w:rPr>
          <w:u w:val="single"/>
        </w:rPr>
        <w:t>The Covenant has been ratified by 171 countries, including two of the four large-population countries that have not ratified Convention</w:t>
      </w:r>
      <w:r w:rsidRPr="00425E77">
        <w:rPr>
          <w:sz w:val="16"/>
        </w:rPr>
        <w:t xml:space="preserve"> 87.123 </w:t>
      </w:r>
      <w:r w:rsidRPr="00425E77">
        <w:rPr>
          <w:u w:val="single"/>
        </w:rPr>
        <w:t>Another major UN Human Rightstreaty, the International Covenant on Civil and Political Rights (</w:t>
      </w:r>
      <w:r w:rsidRPr="00A56669">
        <w:rPr>
          <w:rStyle w:val="Emphasis"/>
        </w:rPr>
        <w:t>ICCPR</w:t>
      </w:r>
      <w:r w:rsidRPr="00425E77">
        <w:rPr>
          <w:u w:val="single"/>
        </w:rPr>
        <w:t>), also adopted by the U.N. General Assembly to be effective in 1976, recognizes FOA including the right to form and join trade unions</w:t>
      </w:r>
      <w:r w:rsidRPr="00425E77">
        <w:rPr>
          <w:sz w:val="16"/>
        </w:rPr>
        <w:t xml:space="preserve">. 124 </w:t>
      </w:r>
      <w:r w:rsidRPr="00425E77">
        <w:rPr>
          <w:u w:val="single"/>
        </w:rPr>
        <w:t>The ICCPR has been ratified by 173 countries, including three of the four largepopulation countries that have not ratified Convention 87</w:t>
      </w:r>
      <w:r w:rsidRPr="00425E77">
        <w:rPr>
          <w:sz w:val="16"/>
        </w:rPr>
        <w:t xml:space="preserve">; </w:t>
      </w:r>
      <w:r w:rsidRPr="00425E77">
        <w:rPr>
          <w:u w:val="single"/>
        </w:rPr>
        <w:t xml:space="preserve">its human rights committee has consistently recognized the </w:t>
      </w:r>
      <w:r w:rsidRPr="00A56669">
        <w:rPr>
          <w:rStyle w:val="Emphasis"/>
        </w:rPr>
        <w:t>right to strike as part of FOA under the Covenant</w:t>
      </w:r>
      <w:r w:rsidRPr="00425E77">
        <w:rPr>
          <w:sz w:val="16"/>
        </w:rPr>
        <w:t>. 125 Indeed, of the 187 ILO Member States, only 11 relatively smallpopulation countries have not ratified at least one of Convention 87, the ICESCR, or the ICCPR.126</w:t>
      </w:r>
    </w:p>
    <w:p w14:paraId="0B471188" w14:textId="77777777" w:rsidR="001339A0" w:rsidRPr="00425E77" w:rsidRDefault="001339A0" w:rsidP="001339A0">
      <w:pPr>
        <w:rPr>
          <w:u w:val="single"/>
        </w:rPr>
      </w:pPr>
      <w:r w:rsidRPr="00425E77">
        <w:rPr>
          <w:u w:val="single"/>
        </w:rPr>
        <w:t xml:space="preserve">FOA is </w:t>
      </w:r>
      <w:r w:rsidRPr="008D2E40">
        <w:rPr>
          <w:highlight w:val="green"/>
          <w:u w:val="single"/>
        </w:rPr>
        <w:t>also</w:t>
      </w:r>
      <w:r w:rsidRPr="00425E77">
        <w:rPr>
          <w:u w:val="single"/>
        </w:rPr>
        <w:t xml:space="preserve"> expressly </w:t>
      </w:r>
      <w:r w:rsidRPr="008D2E40">
        <w:rPr>
          <w:rStyle w:val="Emphasis"/>
          <w:highlight w:val="green"/>
        </w:rPr>
        <w:t>recognized in</w:t>
      </w:r>
      <w:r w:rsidRPr="00A56669">
        <w:rPr>
          <w:rStyle w:val="Emphasis"/>
        </w:rPr>
        <w:t xml:space="preserve"> a labor setting in </w:t>
      </w:r>
      <w:r w:rsidRPr="008D2E40">
        <w:rPr>
          <w:rStyle w:val="Emphasis"/>
          <w:highlight w:val="green"/>
        </w:rPr>
        <w:t>the European Convention</w:t>
      </w:r>
      <w:r w:rsidRPr="00A56669">
        <w:rPr>
          <w:rStyle w:val="Emphasis"/>
        </w:rPr>
        <w:t xml:space="preserve"> on Human Rights, which has been ratified by all 48 countries in the Council of Europe</w:t>
      </w:r>
      <w:r w:rsidRPr="00425E77">
        <w:rPr>
          <w:u w:val="single"/>
        </w:rPr>
        <w:t>. 127 At a national level, the vast majority of constitutions provide for freedom of association, although some use general language that (unlike the international instruments just mentioned) does not specify workers or trade unions. 128</w:t>
      </w:r>
    </w:p>
    <w:p w14:paraId="4078384B" w14:textId="77777777" w:rsidR="001339A0" w:rsidRPr="00425E77" w:rsidRDefault="001339A0" w:rsidP="001339A0">
      <w:pPr>
        <w:rPr>
          <w:sz w:val="16"/>
        </w:rPr>
      </w:pPr>
      <w:r w:rsidRPr="00425E77">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p>
    <w:p w14:paraId="5F145D53" w14:textId="77777777" w:rsidR="001339A0" w:rsidRPr="001130DA" w:rsidRDefault="001339A0" w:rsidP="001339A0">
      <w:pPr>
        <w:rPr>
          <w:sz w:val="16"/>
        </w:rPr>
      </w:pPr>
      <w:r w:rsidRPr="00425E77">
        <w:rPr>
          <w:sz w:val="16"/>
        </w:rPr>
        <w:t>Among the many national courts that have invoked the CEACR and/or CFA in support of a right to strike</w:t>
      </w:r>
      <w:r w:rsidRPr="001130DA">
        <w:rPr>
          <w:sz w:val="16"/>
        </w:rPr>
        <w:t xml:space="preserve">,133 </w:t>
      </w:r>
      <w:r w:rsidRPr="00425E77">
        <w:rPr>
          <w:sz w:val="16"/>
        </w:rPr>
        <w:t>two other cases worth noting involve Brazil and Kenya because neither country has ratified Convention 87</w:t>
      </w:r>
      <w:r w:rsidRPr="001130DA">
        <w:rPr>
          <w:sz w:val="16"/>
        </w:rPr>
        <w:t xml:space="preserve">. In 2012, </w:t>
      </w:r>
      <w:r w:rsidRPr="00425E77">
        <w:rPr>
          <w:sz w:val="16"/>
        </w:rPr>
        <w:t>the Labour Court in Brazil ordered reinstatement of workers terminated for participating in a work stoppage</w:t>
      </w:r>
      <w:r w:rsidRPr="001130DA">
        <w:rPr>
          <w:sz w:val="16"/>
        </w:rPr>
        <w:t xml:space="preserve">. 134 </w:t>
      </w:r>
      <w:r w:rsidRPr="00425E77">
        <w:rPr>
          <w:sz w:val="16"/>
        </w:rPr>
        <w:t>Under Brazil’s Constitution, “norms that define fundamental rights and guarantees are directly applicable.”</w:t>
      </w:r>
      <w:r w:rsidRPr="001130DA">
        <w:rPr>
          <w:sz w:val="16"/>
        </w:rPr>
        <w:t xml:space="preserve">135 Given that </w:t>
      </w:r>
      <w:r w:rsidRPr="00425E77">
        <w:rPr>
          <w:sz w:val="16"/>
        </w:rPr>
        <w:t>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w:t>
      </w:r>
      <w:r w:rsidRPr="001130DA">
        <w:rPr>
          <w:sz w:val="16"/>
        </w:rPr>
        <w:t xml:space="preserve">.136 In 2013, </w:t>
      </w:r>
      <w:r w:rsidRPr="00425E77">
        <w:rPr>
          <w:sz w:val="16"/>
        </w:rPr>
        <w:t>the Industrial Court of Kenya ordered the reinstatement of five workers dismissed for participating in a strike and strike-related activities. The Court’s reasoning derived from Kenya’s general participation in the ILO</w:t>
      </w:r>
      <w:r w:rsidRPr="001130DA">
        <w:rPr>
          <w:sz w:val="16"/>
        </w:rPr>
        <w:t xml:space="preserve">, </w:t>
      </w:r>
      <w:r w:rsidRPr="00425E77">
        <w:rPr>
          <w:sz w:val="16"/>
        </w:rPr>
        <w:t>including “respect for International Labour Standards,” rather than direct application of fundamental norms</w:t>
      </w:r>
      <w:r w:rsidRPr="001130DA">
        <w:rPr>
          <w:sz w:val="16"/>
        </w:rPr>
        <w:t xml:space="preserve"> as in the Brazil case.137 The Industrial Court invoked a report by the CEACR and decisions by the CFA to support its decision; its recognition of FOA as an accepted international standard suggests that reports from the ILO supervisory bodies served as evidence of CIL.138</w:t>
      </w:r>
    </w:p>
    <w:p w14:paraId="2B4D2F51" w14:textId="77777777" w:rsidR="001339A0" w:rsidRPr="00A56669" w:rsidRDefault="001339A0" w:rsidP="001339A0">
      <w:pPr>
        <w:rPr>
          <w:sz w:val="16"/>
          <w:szCs w:val="16"/>
        </w:rPr>
      </w:pPr>
      <w:r w:rsidRPr="00A56669">
        <w:rPr>
          <w:sz w:val="16"/>
          <w:szCs w:val="16"/>
        </w:rPr>
        <w:t>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p>
    <w:p w14:paraId="4B1CFB0F" w14:textId="77777777" w:rsidR="001339A0" w:rsidRPr="001130DA" w:rsidRDefault="001339A0" w:rsidP="001339A0">
      <w:pPr>
        <w:rPr>
          <w:sz w:val="16"/>
        </w:rPr>
      </w:pPr>
      <w:r w:rsidRPr="005833EA">
        <w:rPr>
          <w:u w:val="single"/>
        </w:rPr>
        <w:t xml:space="preserve">The pervasive nature of actual practice regarding FOA and the right to strike does not mean that the right’s content is static or fixed. To be sure,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p>
    <w:p w14:paraId="31D856FA" w14:textId="77777777" w:rsidR="001339A0" w:rsidRPr="001130DA" w:rsidRDefault="001339A0" w:rsidP="001339A0">
      <w:pPr>
        <w:rPr>
          <w:sz w:val="16"/>
        </w:rPr>
      </w:pP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p>
    <w:p w14:paraId="538D7735" w14:textId="77777777" w:rsidR="001339A0" w:rsidRPr="0098613E" w:rsidRDefault="001339A0" w:rsidP="001339A0">
      <w:pPr>
        <w:rPr>
          <w:rStyle w:val="Emphasis"/>
        </w:rPr>
      </w:pP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p>
    <w:p w14:paraId="7523038B" w14:textId="77777777" w:rsidR="001339A0" w:rsidRPr="001130DA" w:rsidRDefault="001339A0" w:rsidP="001339A0">
      <w:pPr>
        <w:rPr>
          <w:sz w:val="16"/>
        </w:rPr>
      </w:pP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p>
    <w:p w14:paraId="5B4BDCC9" w14:textId="77777777" w:rsidR="001339A0" w:rsidRPr="0098613E" w:rsidRDefault="001339A0" w:rsidP="001339A0">
      <w:pPr>
        <w:rPr>
          <w:rStyle w:val="Emphasis"/>
        </w:rPr>
      </w:pP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p>
    <w:p w14:paraId="0861FD70" w14:textId="77777777" w:rsidR="001339A0" w:rsidRPr="00D2046C" w:rsidRDefault="001339A0" w:rsidP="001339A0">
      <w:pPr>
        <w:rPr>
          <w:u w:val="single"/>
        </w:rPr>
      </w:pP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8D2E40">
        <w:rPr>
          <w:highlight w:val="green"/>
          <w:u w:val="single"/>
        </w:rPr>
        <w:t>six countries</w:t>
      </w:r>
      <w:r w:rsidRPr="00D2046C">
        <w:rPr>
          <w:u w:val="single"/>
        </w:rPr>
        <w:t xml:space="preserve"> that </w:t>
      </w:r>
      <w:r w:rsidRPr="008D2E40">
        <w:rPr>
          <w:highlight w:val="green"/>
          <w:u w:val="single"/>
        </w:rPr>
        <w:t xml:space="preserve">have </w:t>
      </w:r>
      <w:r w:rsidRPr="008D2E40">
        <w:rPr>
          <w:rStyle w:val="Emphasis"/>
          <w:highlight w:val="green"/>
        </w:rPr>
        <w:t>not ratified Convention</w:t>
      </w:r>
      <w:r w:rsidRPr="008D2E40">
        <w:rPr>
          <w:highlight w:val="green"/>
          <w:u w:val="single"/>
        </w:rPr>
        <w:t xml:space="preserve"> 87</w:t>
      </w:r>
      <w:r w:rsidRPr="00D2046C">
        <w:rPr>
          <w:u w:val="single"/>
        </w:rPr>
        <w:t>.156</w:t>
      </w:r>
    </w:p>
    <w:p w14:paraId="3244732D" w14:textId="77777777" w:rsidR="001339A0" w:rsidRPr="001130DA" w:rsidRDefault="001339A0" w:rsidP="001339A0">
      <w:pPr>
        <w:rPr>
          <w:sz w:val="16"/>
        </w:rPr>
      </w:pPr>
      <w:r w:rsidRPr="008D2E40">
        <w:rPr>
          <w:highlight w:val="green"/>
          <w:u w:val="single"/>
        </w:rPr>
        <w:t>Recognition in domestic law</w:t>
      </w:r>
      <w:r w:rsidRPr="00D2046C">
        <w:rPr>
          <w:u w:val="single"/>
        </w:rPr>
        <w:t xml:space="preserve"> of a right to strike </w:t>
      </w:r>
      <w:r w:rsidRPr="008D2E40">
        <w:rPr>
          <w:highlight w:val="green"/>
          <w:u w:val="single"/>
        </w:rPr>
        <w:t>alongside</w:t>
      </w:r>
      <w:r w:rsidRPr="00D2046C">
        <w:rPr>
          <w:u w:val="single"/>
        </w:rPr>
        <w:t xml:space="preserve"> a conscious </w:t>
      </w:r>
      <w:r w:rsidRPr="008D2E40">
        <w:rPr>
          <w:rStyle w:val="Emphasis"/>
          <w:highlight w:val="green"/>
        </w:rPr>
        <w:t>decision not to ratify Convention 87</w:t>
      </w:r>
      <w:r w:rsidRPr="0098613E">
        <w:rPr>
          <w:rStyle w:val="Emphasis"/>
        </w:rPr>
        <w:t xml:space="preserve"> could </w:t>
      </w:r>
      <w:r w:rsidRPr="008D2E40">
        <w:rPr>
          <w:rStyle w:val="Emphasis"/>
          <w:highlight w:val="green"/>
        </w:rPr>
        <w:t>give rise to an inference</w:t>
      </w:r>
      <w:r w:rsidRPr="0098613E">
        <w:rPr>
          <w:rStyle w:val="Emphasis"/>
        </w:rPr>
        <w:t xml:space="preserve"> that </w:t>
      </w:r>
      <w:r w:rsidRPr="008D2E40">
        <w:rPr>
          <w:rStyle w:val="Emphasis"/>
          <w:highlight w:val="green"/>
        </w:rPr>
        <w:t>these</w:t>
      </w:r>
      <w:r w:rsidRPr="0098613E">
        <w:rPr>
          <w:rStyle w:val="Emphasis"/>
        </w:rPr>
        <w:t xml:space="preserve"> six </w:t>
      </w:r>
      <w:r w:rsidRPr="008D2E40">
        <w:rPr>
          <w:rStyle w:val="Emphasis"/>
          <w:highlight w:val="green"/>
        </w:rPr>
        <w:t xml:space="preserve">countries are rejecting </w:t>
      </w:r>
      <w:r w:rsidRPr="0098613E">
        <w:rPr>
          <w:rStyle w:val="Emphasis"/>
        </w:rPr>
        <w:t xml:space="preserve">the </w:t>
      </w:r>
      <w:r w:rsidRPr="008D2E40">
        <w:rPr>
          <w:rStyle w:val="Emphasis"/>
          <w:highlight w:val="green"/>
        </w:rPr>
        <w:t>right</w:t>
      </w:r>
      <w:r w:rsidRPr="008D2E40">
        <w:rPr>
          <w:highlight w:val="green"/>
          <w:u w:val="single"/>
        </w:rPr>
        <w:t xml:space="preserve"> as </w:t>
      </w:r>
      <w:r w:rsidRPr="001130DA">
        <w:rPr>
          <w:u w:val="single"/>
        </w:rPr>
        <w:t xml:space="preserve">a principle of </w:t>
      </w:r>
      <w:r w:rsidRPr="008D2E40">
        <w:rPr>
          <w:highlight w:val="green"/>
          <w:u w:val="single"/>
        </w:rPr>
        <w:t xml:space="preserve">international </w:t>
      </w:r>
      <w:r w:rsidRPr="001130DA">
        <w:rPr>
          <w:u w:val="single"/>
        </w:rPr>
        <w:t>law</w:t>
      </w:r>
      <w:r w:rsidRPr="001130DA">
        <w:rPr>
          <w:sz w:val="16"/>
        </w:rPr>
        <w:t xml:space="preserve">. However, as explained earlier, </w:t>
      </w:r>
      <w:r w:rsidRPr="008D2E40">
        <w:rPr>
          <w:highlight w:val="green"/>
          <w:u w:val="single"/>
        </w:rPr>
        <w:t xml:space="preserve">national courts for </w:t>
      </w:r>
      <w:r w:rsidRPr="008D2E40">
        <w:rPr>
          <w:rStyle w:val="Emphasis"/>
          <w:highlight w:val="green"/>
        </w:rPr>
        <w:t>two</w:t>
      </w:r>
      <w:r w:rsidRPr="0098613E">
        <w:rPr>
          <w:rStyle w:val="Emphasis"/>
        </w:rPr>
        <w:t xml:space="preserve"> of the six </w:t>
      </w:r>
      <w:r w:rsidRPr="008D2E40">
        <w:rPr>
          <w:rStyle w:val="Emphasis"/>
          <w:highlight w:val="green"/>
        </w:rPr>
        <w:t>non-ratifying countries</w:t>
      </w:r>
      <w:r w:rsidRPr="001130DA">
        <w:rPr>
          <w:sz w:val="16"/>
        </w:rPr>
        <w:t xml:space="preserve"> (Brazil and Kenya) </w:t>
      </w:r>
      <w:r w:rsidRPr="00D2046C">
        <w:rPr>
          <w:u w:val="single"/>
        </w:rPr>
        <w:t xml:space="preserve">expressly </w:t>
      </w:r>
      <w:r w:rsidRPr="008D2E40">
        <w:rPr>
          <w:highlight w:val="green"/>
          <w:u w:val="single"/>
        </w:rPr>
        <w:t xml:space="preserve">invoke </w:t>
      </w:r>
      <w:r w:rsidRPr="008D2E40">
        <w:rPr>
          <w:rStyle w:val="Emphasis"/>
          <w:highlight w:val="green"/>
        </w:rPr>
        <w:t>ILO membership</w:t>
      </w:r>
      <w:r w:rsidRPr="0098613E">
        <w:rPr>
          <w:rStyle w:val="Emphasis"/>
        </w:rPr>
        <w:t xml:space="preserve"> and/or principles as guidance in their domestic law decisions</w:t>
      </w:r>
      <w:r w:rsidRPr="00D2046C">
        <w:rPr>
          <w:u w:val="single"/>
        </w:rPr>
        <w:t>.</w:t>
      </w:r>
      <w:r w:rsidRPr="001130DA">
        <w:rPr>
          <w:sz w:val="16"/>
        </w:rPr>
        <w:t xml:space="preserve"> 157 </w:t>
      </w:r>
      <w:r w:rsidRPr="00D2046C">
        <w:rPr>
          <w:u w:val="single"/>
        </w:rPr>
        <w:t xml:space="preserve">In addition, </w:t>
      </w:r>
      <w:r w:rsidRPr="008D2E40">
        <w:rPr>
          <w:rStyle w:val="Emphasis"/>
          <w:highlight w:val="green"/>
        </w:rPr>
        <w:t>Canada</w:t>
      </w:r>
      <w:r w:rsidRPr="00D2046C">
        <w:rPr>
          <w:u w:val="single"/>
        </w:rPr>
        <w:t xml:space="preserve">—a country </w:t>
      </w:r>
      <w:r w:rsidRPr="0098613E">
        <w:rPr>
          <w:rStyle w:val="Emphasis"/>
        </w:rPr>
        <w:t>not listed among the 92 endorsing the right to strike in the 2012 General Survey</w:t>
      </w:r>
      <w:r w:rsidRPr="00D2046C">
        <w:rPr>
          <w:u w:val="single"/>
        </w:rPr>
        <w:t xml:space="preserve">— has since </w:t>
      </w:r>
      <w:r w:rsidRPr="008D2E40">
        <w:rPr>
          <w:highlight w:val="green"/>
          <w:u w:val="single"/>
        </w:rPr>
        <w:t xml:space="preserve">recognized </w:t>
      </w:r>
      <w:r w:rsidRPr="008073A4">
        <w:rPr>
          <w:u w:val="single"/>
        </w:rPr>
        <w:t xml:space="preserve">a </w:t>
      </w:r>
      <w:r w:rsidRPr="008D2E40">
        <w:rPr>
          <w:rStyle w:val="Emphasis"/>
          <w:highlight w:val="green"/>
        </w:rPr>
        <w:t>constitutional right to strike</w:t>
      </w:r>
      <w:r w:rsidRPr="0098613E">
        <w:rPr>
          <w:rStyle w:val="Emphasis"/>
        </w:rPr>
        <w:t xml:space="preserve"> under national law</w:t>
      </w:r>
      <w:r w:rsidRPr="00D2046C">
        <w:rPr>
          <w:u w:val="single"/>
        </w:rPr>
        <w:t>, relying in part on international law principles including CEACR and CFA determinations</w:t>
      </w:r>
      <w:r w:rsidRPr="001130DA">
        <w:rPr>
          <w:sz w:val="16"/>
        </w:rPr>
        <w:t xml:space="preserve">. 158 </w:t>
      </w:r>
      <w:r w:rsidRPr="00D2046C">
        <w:rPr>
          <w:u w:val="single"/>
        </w:rPr>
        <w:t>The Canadian Supreme Court had previously been explicit in invoking Convention 87, ICESCR, and ICCPR as “documents [that] reflect not only international consensus but also principles that Canada has committed itself to uphold.”</w:t>
      </w:r>
      <w:r w:rsidRPr="001130DA">
        <w:rPr>
          <w:sz w:val="16"/>
        </w:rPr>
        <w:t>159</w:t>
      </w:r>
    </w:p>
    <w:p w14:paraId="070355C0" w14:textId="77777777" w:rsidR="001339A0" w:rsidRPr="001130DA" w:rsidRDefault="001339A0" w:rsidP="001339A0">
      <w:pPr>
        <w:rPr>
          <w:sz w:val="16"/>
        </w:rPr>
      </w:pPr>
      <w:r w:rsidRPr="001130DA">
        <w:rPr>
          <w:sz w:val="16"/>
        </w:rPr>
        <w:t xml:space="preserve">Further, </w:t>
      </w:r>
      <w:r w:rsidRPr="00D2046C">
        <w:rPr>
          <w:u w:val="single"/>
        </w:rPr>
        <w:t xml:space="preserve">a </w:t>
      </w:r>
      <w:r w:rsidRPr="0098613E">
        <w:rPr>
          <w:rStyle w:val="Emphasis"/>
        </w:rPr>
        <w:t>third</w:t>
      </w:r>
      <w:r w:rsidRPr="00D2046C">
        <w:rPr>
          <w:u w:val="single"/>
        </w:rPr>
        <w:t xml:space="preserve"> country in the group of six—</w:t>
      </w:r>
      <w:r w:rsidRPr="008D2E40">
        <w:rPr>
          <w:rStyle w:val="Emphasis"/>
          <w:highlight w:val="green"/>
        </w:rPr>
        <w:t>South Korea</w:t>
      </w:r>
      <w:r w:rsidRPr="00D2046C">
        <w:rPr>
          <w:u w:val="single"/>
        </w:rPr>
        <w:t xml:space="preserve">—has </w:t>
      </w:r>
      <w:r w:rsidRPr="008073A4">
        <w:rPr>
          <w:u w:val="single"/>
        </w:rPr>
        <w:t xml:space="preserve">affirmed in its </w:t>
      </w:r>
      <w:r w:rsidRPr="0098613E">
        <w:rPr>
          <w:rStyle w:val="Emphasis"/>
        </w:rPr>
        <w:t>trade agreements with the United States</w:t>
      </w:r>
      <w:r w:rsidRPr="00D2046C">
        <w:rPr>
          <w:u w:val="single"/>
        </w:rPr>
        <w:t xml:space="preserve"> and the EU its obligation </w:t>
      </w:r>
      <w:r w:rsidRPr="008073A4">
        <w:rPr>
          <w:u w:val="single"/>
        </w:rPr>
        <w:t>to</w:t>
      </w:r>
      <w:r w:rsidRPr="00D2046C">
        <w:rPr>
          <w:u w:val="single"/>
        </w:rPr>
        <w:t xml:space="preserve"> “</w:t>
      </w:r>
      <w:r w:rsidRPr="008073A4">
        <w:rPr>
          <w:u w:val="single"/>
        </w:rPr>
        <w:t>adopt and maintain</w:t>
      </w:r>
      <w:r w:rsidRPr="00D2046C">
        <w:rPr>
          <w:u w:val="single"/>
        </w:rPr>
        <w:t xml:space="preserve"> in its statutes and regulations, and practices” </w:t>
      </w:r>
      <w:r w:rsidRPr="008073A4">
        <w:rPr>
          <w:u w:val="single"/>
        </w:rPr>
        <w:t>FOA</w:t>
      </w:r>
      <w:r w:rsidRPr="00D2046C">
        <w:rPr>
          <w:u w:val="single"/>
        </w:rPr>
        <w:t xml:space="preserve"> in accordance with the ILO Declaration</w:t>
      </w:r>
      <w:r w:rsidRPr="001130DA">
        <w:rPr>
          <w:sz w:val="16"/>
        </w:rPr>
        <w:t xml:space="preserve">.160 And </w:t>
      </w:r>
      <w:r w:rsidRPr="00D2046C">
        <w:rPr>
          <w:u w:val="single"/>
        </w:rPr>
        <w:t xml:space="preserve">in various CFA complaints against South Korea for violating FOA principles, including the right to strike, the </w:t>
      </w:r>
      <w:r w:rsidRPr="008D2E40">
        <w:rPr>
          <w:rStyle w:val="Emphasis"/>
          <w:highlight w:val="green"/>
        </w:rPr>
        <w:t>Government</w:t>
      </w:r>
      <w:r w:rsidRPr="00D2046C">
        <w:rPr>
          <w:u w:val="single"/>
        </w:rPr>
        <w:t xml:space="preserve"> has disputed the facts of the complaints while at the </w:t>
      </w:r>
      <w:r w:rsidRPr="0098613E">
        <w:rPr>
          <w:rStyle w:val="Emphasis"/>
        </w:rPr>
        <w:t xml:space="preserve">same time </w:t>
      </w:r>
      <w:r w:rsidRPr="008D2E40">
        <w:rPr>
          <w:rStyle w:val="Emphasis"/>
          <w:highlight w:val="green"/>
        </w:rPr>
        <w:t>recognizing</w:t>
      </w:r>
      <w:r w:rsidRPr="0098613E">
        <w:rPr>
          <w:rStyle w:val="Emphasis"/>
        </w:rPr>
        <w:t xml:space="preserve"> that such </w:t>
      </w:r>
      <w:r w:rsidRPr="008D2E40">
        <w:rPr>
          <w:rStyle w:val="Emphasis"/>
          <w:highlight w:val="green"/>
        </w:rPr>
        <w:t>rights</w:t>
      </w:r>
      <w:r w:rsidRPr="0098613E">
        <w:rPr>
          <w:rStyle w:val="Emphasis"/>
        </w:rPr>
        <w:t xml:space="preserve"> are </w:t>
      </w:r>
      <w:r w:rsidRPr="008D2E40">
        <w:rPr>
          <w:rStyle w:val="Emphasis"/>
          <w:highlight w:val="green"/>
        </w:rPr>
        <w:t>embedded in international law</w:t>
      </w:r>
      <w:r w:rsidRPr="001130DA">
        <w:rPr>
          <w:sz w:val="16"/>
        </w:rPr>
        <w:t xml:space="preserve">.161 Accordingly, a more relevant reference point in this setting may be that </w:t>
      </w:r>
      <w:r w:rsidRPr="001C1842">
        <w:rPr>
          <w:u w:val="single"/>
        </w:rPr>
        <w:t xml:space="preserve">“when States act in conformity with a treaty provision by which they are not bound . . . </w:t>
      </w:r>
      <w:r w:rsidRPr="008D2E40">
        <w:rPr>
          <w:highlight w:val="green"/>
          <w:u w:val="single"/>
        </w:rPr>
        <w:t xml:space="preserve">this may </w:t>
      </w:r>
      <w:r w:rsidRPr="008D2E40">
        <w:rPr>
          <w:rStyle w:val="Emphasis"/>
          <w:highlight w:val="green"/>
        </w:rPr>
        <w:t>evidence</w:t>
      </w:r>
      <w:r w:rsidRPr="0098613E">
        <w:rPr>
          <w:rStyle w:val="Emphasis"/>
        </w:rPr>
        <w:t xml:space="preserve"> the existence of acceptance as law (</w:t>
      </w:r>
      <w:r w:rsidRPr="008D2E40">
        <w:rPr>
          <w:rStyle w:val="Emphasis"/>
          <w:highlight w:val="green"/>
        </w:rPr>
        <w:t>opinio juris</w:t>
      </w:r>
      <w:r w:rsidRPr="0098613E">
        <w:rPr>
          <w:rStyle w:val="Emphasis"/>
        </w:rPr>
        <w:t>) in the absence of any explanation to the contrary</w:t>
      </w:r>
      <w:r w:rsidRPr="001C1842">
        <w:rPr>
          <w:u w:val="single"/>
        </w:rPr>
        <w:t>.”</w:t>
      </w:r>
      <w:r w:rsidRPr="001130DA">
        <w:rPr>
          <w:sz w:val="16"/>
        </w:rPr>
        <w:t>162</w:t>
      </w:r>
    </w:p>
    <w:p w14:paraId="25FD5668" w14:textId="77777777" w:rsidR="001339A0" w:rsidRPr="001130DA" w:rsidRDefault="001339A0" w:rsidP="001339A0">
      <w:pPr>
        <w:rPr>
          <w:sz w:val="16"/>
        </w:rPr>
      </w:pPr>
      <w:r w:rsidRPr="001130DA">
        <w:rPr>
          <w:sz w:val="16"/>
        </w:rPr>
        <w:t xml:space="preserve">Stepping back, </w:t>
      </w:r>
      <w:r w:rsidRPr="008073A4">
        <w:rPr>
          <w:sz w:val="16"/>
        </w:rPr>
        <w:t>domestic law on FOA and the right to strike, which for many countries developed after Convention 87 and its initial applications by the CEACR and CFA, may be viewed in part as a window into countries’ sense of obligation in law and practice</w:t>
      </w:r>
      <w:r w:rsidRPr="001130DA">
        <w:rPr>
          <w:sz w:val="16"/>
        </w:rPr>
        <w:t xml:space="preserve">. A </w:t>
      </w:r>
      <w:r w:rsidRPr="008073A4">
        <w:rPr>
          <w:sz w:val="16"/>
        </w:rPr>
        <w:t>state may at times adopt labor provisions of a trade agreement for reasons of comity or relative competitive advantage. These reasons may play a more modest role with respect to adoption of certain human rights treaties or ILO conventions</w:t>
      </w:r>
      <w:r w:rsidRPr="001130DA">
        <w:rPr>
          <w:sz w:val="16"/>
        </w:rPr>
        <w:t xml:space="preserve">. 163 But </w:t>
      </w:r>
      <w:r w:rsidRPr="008073A4">
        <w:rPr>
          <w:sz w:val="16"/>
        </w:rPr>
        <w:t xml:space="preserve">evidence of practice and obligation in the domestic law sphere—especially when informed by regard for international instruments—seems almost by definition to be a function of acceptance as law rather than susceptibility to strategic motivations. In this regard, </w:t>
      </w:r>
      <w:r w:rsidRPr="0098613E">
        <w:rPr>
          <w:sz w:val="16"/>
        </w:rPr>
        <w:t>there are numerous instances in recent years where governments have expanded their legislative protections for the right to strike following a period of dialogue with the CEACR, and that committee has recognized and applauded the changes</w:t>
      </w:r>
      <w:r w:rsidRPr="008073A4">
        <w:rPr>
          <w:sz w:val="16"/>
        </w:rPr>
        <w:t xml:space="preserve"> in law.164 </w:t>
      </w:r>
      <w:r w:rsidRPr="0098613E">
        <w:rPr>
          <w:sz w:val="16"/>
        </w:rPr>
        <w:t>Of particular relevance to the U.S. setting, these expansions have included assuring the right to strike for public sector employees and prohibiting the hiring of replacements for strikers</w:t>
      </w:r>
      <w:r w:rsidRPr="001130DA">
        <w:rPr>
          <w:sz w:val="16"/>
        </w:rPr>
        <w:t>.165</w:t>
      </w:r>
    </w:p>
    <w:p w14:paraId="02E89B58" w14:textId="77777777" w:rsidR="001339A0" w:rsidRPr="001130DA" w:rsidRDefault="001339A0" w:rsidP="001339A0">
      <w:pPr>
        <w:rPr>
          <w:sz w:val="16"/>
        </w:rPr>
      </w:pPr>
      <w:r w:rsidRPr="0098613E">
        <w:rPr>
          <w:sz w:val="16"/>
        </w:rPr>
        <w:t>A third reason to infer opinio juris</w:t>
      </w:r>
      <w:r w:rsidRPr="001130DA">
        <w:rPr>
          <w:sz w:val="16"/>
        </w:rPr>
        <w:t xml:space="preserve"> (in addition to the centrality of FOA principles within the ILO Constitution and the strong evidence of FOA and rightto-strike practice and obligation under domestic law) </w:t>
      </w:r>
      <w:r w:rsidRPr="0098613E">
        <w:rPr>
          <w:sz w:val="16"/>
        </w:rPr>
        <w:t>involves recent statements from high officials in the United Nations indicating that the right to strike is understood by its leaders as CIL</w:t>
      </w:r>
      <w:r w:rsidRPr="001130DA">
        <w:rPr>
          <w:sz w:val="16"/>
        </w:rPr>
        <w:t>. In his 2016 report to the U.N. General Assembly, the U.N. Special Rapporteur on the rights to freedom of peaceful assembly and association explained, “</w:t>
      </w:r>
      <w:r w:rsidRPr="0098613E">
        <w:rPr>
          <w:sz w:val="16"/>
        </w:rPr>
        <w:t>The right to strike has been established in international law for decades, in global and regional instruments, and is also enshrined in the constitutions of at least 90 countries</w:t>
      </w:r>
      <w:r w:rsidRPr="001130DA">
        <w:rPr>
          <w:sz w:val="16"/>
        </w:rPr>
        <w:t xml:space="preserve">. </w:t>
      </w:r>
      <w:r w:rsidRPr="0098613E">
        <w:rPr>
          <w:sz w:val="16"/>
        </w:rPr>
        <w:t>The right to strike has, in fact, become customary international law</w:t>
      </w:r>
      <w:r w:rsidRPr="001130DA">
        <w:rPr>
          <w:sz w:val="16"/>
        </w:rPr>
        <w:t>.”166</w:t>
      </w:r>
    </w:p>
    <w:p w14:paraId="309C1DFE" w14:textId="77777777" w:rsidR="001339A0" w:rsidRPr="0098613E" w:rsidRDefault="001339A0" w:rsidP="001339A0">
      <w:pPr>
        <w:rPr>
          <w:sz w:val="16"/>
        </w:rPr>
      </w:pPr>
      <w:r w:rsidRPr="001130DA">
        <w:rPr>
          <w:sz w:val="16"/>
        </w:rPr>
        <w:t xml:space="preserve">In 2018, responding to a press briefing on a strike by U.N. employees following announced pay cuts, </w:t>
      </w:r>
      <w:r w:rsidRPr="0098613E">
        <w:rPr>
          <w:sz w:val="16"/>
        </w:rPr>
        <w:t>the Deputy Spokesman for the U.N. SecretaryGeneral reiterated the U.N. view that the right to strike is indeed CIL and did so in the context of the right being asserted by public employees not involved in the administration of the state:</w:t>
      </w:r>
    </w:p>
    <w:p w14:paraId="70375464" w14:textId="77777777" w:rsidR="001339A0" w:rsidRPr="001130DA" w:rsidRDefault="001339A0" w:rsidP="001339A0">
      <w:pPr>
        <w:rPr>
          <w:sz w:val="16"/>
        </w:rPr>
      </w:pPr>
      <w:r w:rsidRPr="001130DA">
        <w:rPr>
          <w:sz w:val="16"/>
        </w:rPr>
        <w:t xml:space="preserve">Question: Does the Secretary-General believe that U.N. staff have a right to take part in industrial action? </w:t>
      </w:r>
    </w:p>
    <w:p w14:paraId="15AD7D3D" w14:textId="77777777" w:rsidR="001339A0" w:rsidRPr="001130DA" w:rsidRDefault="001339A0" w:rsidP="001339A0">
      <w:pPr>
        <w:rPr>
          <w:sz w:val="16"/>
        </w:rPr>
      </w:pPr>
      <w:r w:rsidRPr="001130DA">
        <w:rPr>
          <w:sz w:val="16"/>
        </w:rPr>
        <w:t>Deputy Spokesman: We believe the right to strike is part of customary international law.167</w:t>
      </w:r>
    </w:p>
    <w:p w14:paraId="3BAA38D8" w14:textId="77777777" w:rsidR="001339A0" w:rsidRPr="001130DA" w:rsidRDefault="001339A0" w:rsidP="001339A0">
      <w:pPr>
        <w:rPr>
          <w:sz w:val="16"/>
        </w:rPr>
      </w:pPr>
      <w:r w:rsidRPr="001130DA">
        <w:rPr>
          <w:sz w:val="16"/>
        </w:rPr>
        <w:t xml:space="preserve">These statements did not simply materialize in recent times.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p>
    <w:p w14:paraId="0C538C57" w14:textId="77777777" w:rsidR="001339A0" w:rsidRPr="00875A8F" w:rsidRDefault="001339A0" w:rsidP="001339A0">
      <w:pPr>
        <w:rPr>
          <w:u w:val="single"/>
        </w:rPr>
      </w:pP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C3B9F39" w14:textId="77777777" w:rsidR="001339A0" w:rsidRDefault="001339A0" w:rsidP="001339A0"/>
    <w:p w14:paraId="165841B3" w14:textId="77777777" w:rsidR="001339A0" w:rsidRDefault="001339A0" w:rsidP="001339A0">
      <w:pPr>
        <w:pStyle w:val="Heading4"/>
      </w:pPr>
      <w:r>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52DD2A65" w14:textId="77777777" w:rsidR="001339A0" w:rsidRPr="00463A35" w:rsidRDefault="001339A0" w:rsidP="001339A0">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10" w:history="1">
        <w:r w:rsidRPr="00111F4F">
          <w:rPr>
            <w:rStyle w:val="Hyperlink"/>
          </w:rPr>
          <w:t>https://sci-hub.se/https://doi.org/10.1177/2031952521994412</w:t>
        </w:r>
      </w:hyperlink>
      <w:r>
        <w:t>] Justin</w:t>
      </w:r>
    </w:p>
    <w:p w14:paraId="09B051A4" w14:textId="77777777" w:rsidR="001339A0" w:rsidRPr="00B57BC0" w:rsidRDefault="001339A0" w:rsidP="001339A0">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4C38B819" w14:textId="77777777" w:rsidR="001339A0" w:rsidRPr="00463A35" w:rsidRDefault="001339A0" w:rsidP="001339A0"/>
    <w:p w14:paraId="36FB87C6" w14:textId="77777777" w:rsidR="001339A0" w:rsidRDefault="001339A0" w:rsidP="001339A0">
      <w:pPr>
        <w:pStyle w:val="Heading4"/>
      </w:pPr>
      <w:r>
        <w:t xml:space="preserve">Independently </w:t>
      </w:r>
      <w:r w:rsidRPr="00FC6656">
        <w:rPr>
          <w:u w:val="single"/>
        </w:rPr>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6A9497F6" w14:textId="77777777" w:rsidR="001339A0" w:rsidRPr="00D2046C" w:rsidRDefault="001339A0" w:rsidP="001339A0">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1" w:history="1">
        <w:r w:rsidRPr="00111F4F">
          <w:rPr>
            <w:rStyle w:val="Hyperlink"/>
          </w:rPr>
          <w:t>https://digitalcommons.law.yale.edu/cgi/viewcontent.cgi?article=1710&amp;context=yjil</w:t>
        </w:r>
      </w:hyperlink>
      <w:r>
        <w:t xml:space="preserve">] Justin </w:t>
      </w:r>
    </w:p>
    <w:p w14:paraId="61969AD2" w14:textId="77777777" w:rsidR="001339A0" w:rsidRPr="00285CA1" w:rsidRDefault="001339A0" w:rsidP="001339A0">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69BE5E0D" w14:textId="77777777" w:rsidR="001339A0" w:rsidRDefault="001339A0" w:rsidP="001339A0">
      <w:pPr>
        <w:rPr>
          <w:sz w:val="16"/>
        </w:rPr>
      </w:pPr>
    </w:p>
    <w:p w14:paraId="472B0AEA" w14:textId="77777777" w:rsidR="001339A0" w:rsidRDefault="001339A0" w:rsidP="001339A0">
      <w:pPr>
        <w:pStyle w:val="Heading4"/>
      </w:pPr>
      <w:r>
        <w:t xml:space="preserve">Scenario one is </w:t>
      </w:r>
      <w:r w:rsidRPr="00C7231B">
        <w:rPr>
          <w:u w:val="single"/>
        </w:rPr>
        <w:t>SDG</w:t>
      </w:r>
      <w:r>
        <w:t>:</w:t>
      </w:r>
    </w:p>
    <w:p w14:paraId="594E85F4" w14:textId="77777777" w:rsidR="001339A0" w:rsidRDefault="001339A0" w:rsidP="001339A0">
      <w:pPr>
        <w:pStyle w:val="Heading4"/>
      </w:pPr>
      <w:r w:rsidRPr="008751FE">
        <w:rPr>
          <w:u w:val="single"/>
        </w:rPr>
        <w:t>Harmonizing</w:t>
      </w:r>
      <w:r>
        <w:t xml:space="preserve"> international labor standards are key to </w:t>
      </w:r>
      <w:r w:rsidRPr="008751FE">
        <w:rPr>
          <w:u w:val="single"/>
        </w:rPr>
        <w:t>Sustainable Development Goals</w:t>
      </w:r>
      <w:r>
        <w:t xml:space="preserve"> – compliance is </w:t>
      </w:r>
      <w:r w:rsidRPr="00CF4094">
        <w:rPr>
          <w:u w:val="single"/>
        </w:rPr>
        <w:t>key</w:t>
      </w:r>
      <w:r>
        <w:t>.</w:t>
      </w:r>
    </w:p>
    <w:p w14:paraId="3475BE67" w14:textId="77777777" w:rsidR="001339A0" w:rsidRPr="008751FE" w:rsidRDefault="001339A0" w:rsidP="001339A0">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12" w:history="1">
        <w:r w:rsidRPr="00350781">
          <w:rPr>
            <w:rStyle w:val="Hyperlink"/>
          </w:rPr>
          <w:t>https://www.ilo.org/global/standards/introduction-to-international-labour-standards/the-benefits-of-international-labour-standards/lang--en/index.htm</w:t>
        </w:r>
      </w:hyperlink>
      <w:r>
        <w:t xml:space="preserve">] Justin </w:t>
      </w:r>
    </w:p>
    <w:p w14:paraId="24164A50" w14:textId="77777777" w:rsidR="001339A0" w:rsidRPr="00CF4094" w:rsidRDefault="001339A0" w:rsidP="001339A0">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u w:val="none"/>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u w:val="none"/>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u w:val="none"/>
        </w:rPr>
        <w:t xml:space="preserve"> at the same time </w:t>
      </w:r>
      <w:r w:rsidRPr="00CF4094">
        <w:rPr>
          <w:u w:val="single"/>
        </w:rPr>
        <w:t>slowing the economic growth of trade partners</w:t>
      </w:r>
      <w:r w:rsidRPr="00CF4094">
        <w:rPr>
          <w:rStyle w:val="StyleUnderline"/>
          <w:sz w:val="16"/>
          <w:u w:val="none"/>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u w:val="none"/>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t>and economic performance</w:t>
      </w:r>
      <w:r w:rsidRPr="00CF4094">
        <w:rPr>
          <w:rStyle w:val="StyleUnderline"/>
          <w:sz w:val="16"/>
          <w:u w:val="none"/>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u w:val="none"/>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u w:val="none"/>
        </w:rPr>
        <w:t xml:space="preserve"> alike</w:t>
      </w:r>
      <w:r w:rsidRPr="00CF4094">
        <w:rPr>
          <w:sz w:val="16"/>
        </w:rPr>
        <w:t xml:space="preserve">. In many developing and transition economies, a large part of the work- force is engaged in the informal economy. </w:t>
      </w:r>
      <w:r w:rsidRPr="00CF4094">
        <w:rPr>
          <w:rStyle w:val="StyleUnderline"/>
          <w:sz w:val="16"/>
          <w:u w:val="none"/>
        </w:rPr>
        <w:t>Moreover, such countries often lack the capacity to provide effective social justice. Yet international labour standards can also be effective tools in these situations</w:t>
      </w:r>
      <w:r w:rsidRPr="00CF4094">
        <w:rPr>
          <w:sz w:val="16"/>
        </w:rPr>
        <w:t xml:space="preserve">. </w:t>
      </w:r>
      <w:r w:rsidRPr="00CF4094">
        <w:rPr>
          <w:u w:val="single"/>
        </w:rPr>
        <w:t xml:space="preserve">Most </w:t>
      </w:r>
      <w:r w:rsidRPr="00CF4094">
        <w:rPr>
          <w:highlight w:val="green"/>
          <w:u w:val="single"/>
        </w:rPr>
        <w:t xml:space="preserve">ILO standards </w:t>
      </w:r>
      <w:r w:rsidRPr="00726C77">
        <w:rPr>
          <w:rStyle w:val="Emphasis"/>
          <w:highlight w:val="green"/>
        </w:rPr>
        <w:t>apply to all</w:t>
      </w:r>
      <w:r w:rsidRPr="00726C77">
        <w:rPr>
          <w:rStyle w:val="Emphasis"/>
        </w:rPr>
        <w:t xml:space="preserve"> workers, not just those working under formal employment arrangemen</w:t>
      </w:r>
      <w:r w:rsidRPr="00CF4094">
        <w:rPr>
          <w:u w:val="single"/>
        </w:rPr>
        <w:t>ts. Some standards</w:t>
      </w:r>
      <w:r w:rsidRPr="00CF4094">
        <w:rPr>
          <w:sz w:val="16"/>
        </w:rPr>
        <w:t xml:space="preserve">, such as those dealing with homeworkers, migrant and rural workers, and indigenous and tribal peoples, </w:t>
      </w:r>
      <w:r w:rsidRPr="00CF4094">
        <w:rPr>
          <w:u w:val="single"/>
        </w:rPr>
        <w:t xml:space="preserve">deal specifically with certain areas of the informal economy. The </w:t>
      </w:r>
      <w:r w:rsidRPr="00CF4094">
        <w:rPr>
          <w:highlight w:val="green"/>
          <w:u w:val="single"/>
        </w:rPr>
        <w:t xml:space="preserve">reinforcement of </w:t>
      </w:r>
      <w:r w:rsidRPr="00726C77">
        <w:rPr>
          <w:rStyle w:val="Emphasis"/>
          <w:highlight w:val="green"/>
        </w:rPr>
        <w:t>freedom of association</w:t>
      </w:r>
      <w:r w:rsidRPr="00726C77">
        <w:rPr>
          <w:rStyle w:val="Emphasis"/>
        </w:rPr>
        <w:t>, the extension of social protection, the improvement of occupational safety and health, the development of vocational training</w:t>
      </w:r>
      <w:r w:rsidRPr="00CF4094">
        <w:rPr>
          <w:u w:val="single"/>
        </w:rPr>
        <w:t xml:space="preserve">, and other measures required by international labour standards have </w:t>
      </w:r>
      <w:r w:rsidRPr="00CF4094">
        <w:rPr>
          <w:highlight w:val="green"/>
          <w:u w:val="single"/>
        </w:rPr>
        <w:t xml:space="preserve">proved to </w:t>
      </w:r>
      <w:r w:rsidRPr="00CF4094">
        <w:rPr>
          <w:u w:val="single"/>
        </w:rPr>
        <w:t xml:space="preserve">be effective strategies in </w:t>
      </w:r>
      <w:r w:rsidRPr="00CF4094">
        <w:rPr>
          <w:highlight w:val="green"/>
          <w:u w:val="single"/>
        </w:rPr>
        <w:t>reduc</w:t>
      </w:r>
      <w:r w:rsidRPr="00CF4094">
        <w:rPr>
          <w:u w:val="single"/>
        </w:rPr>
        <w:t xml:space="preserve">ing </w:t>
      </w:r>
      <w:r w:rsidRPr="00CF4094">
        <w:rPr>
          <w:highlight w:val="green"/>
          <w:u w:val="single"/>
        </w:rPr>
        <w:t>poverty</w:t>
      </w:r>
      <w:r w:rsidRPr="00CF4094">
        <w:rPr>
          <w:u w:val="single"/>
        </w:rPr>
        <w:t xml:space="preserve"> and bringing workers into the formal economy</w:t>
      </w:r>
      <w:r w:rsidRPr="00CF4094">
        <w:rPr>
          <w:sz w:val="16"/>
        </w:rPr>
        <w:t xml:space="preserve">. </w:t>
      </w:r>
      <w:r w:rsidRPr="00CF4094">
        <w:rPr>
          <w:rStyle w:val="StyleUnderline"/>
          <w:sz w:val="16"/>
          <w:u w:val="none"/>
        </w:rPr>
        <w:t xml:space="preserve">Furthermore, </w:t>
      </w:r>
      <w:r w:rsidRPr="00CF4094">
        <w:rPr>
          <w:u w:val="single"/>
        </w:rPr>
        <w:t>international labour standards call for the creation of institutions and mechanisms which can enforce labour rights</w:t>
      </w:r>
      <w:r w:rsidRPr="00CF4094">
        <w:rPr>
          <w:sz w:val="16"/>
        </w:rPr>
        <w:t xml:space="preserve">. In combination with a set of defined rights and rules, </w:t>
      </w:r>
      <w:r w:rsidRPr="00CF4094">
        <w:rPr>
          <w:highlight w:val="green"/>
          <w:u w:val="single"/>
        </w:rPr>
        <w:t>functioning legal institutions</w:t>
      </w:r>
      <w:r w:rsidRPr="00CF4094">
        <w:rPr>
          <w:u w:val="single"/>
        </w:rPr>
        <w:t xml:space="preserve"> can help </w:t>
      </w:r>
      <w:r w:rsidRPr="00726C77">
        <w:rPr>
          <w:rStyle w:val="Emphasis"/>
          <w:highlight w:val="green"/>
        </w:rPr>
        <w:t>formalize</w:t>
      </w:r>
      <w:r w:rsidRPr="00726C77">
        <w:rPr>
          <w:rStyle w:val="Emphasis"/>
        </w:rPr>
        <w:t xml:space="preserve"> the economy and create a climate of trust and order which is essential for economic </w:t>
      </w:r>
      <w:r w:rsidRPr="00726C77">
        <w:rPr>
          <w:rStyle w:val="Emphasis"/>
          <w:highlight w:val="green"/>
        </w:rPr>
        <w:t>growth and development</w:t>
      </w:r>
      <w:r w:rsidRPr="00CF4094">
        <w:rPr>
          <w:rStyle w:val="StyleUnderline"/>
          <w:sz w:val="16"/>
          <w:u w:val="none"/>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062DB130" w14:textId="77777777" w:rsidR="001339A0" w:rsidRDefault="001339A0" w:rsidP="001339A0"/>
    <w:p w14:paraId="21F334EA" w14:textId="77777777" w:rsidR="001339A0" w:rsidRPr="00594ADE" w:rsidRDefault="001339A0" w:rsidP="001339A0">
      <w:pPr>
        <w:pStyle w:val="Heading4"/>
      </w:pPr>
      <w:r w:rsidRPr="00594ADE">
        <w:t xml:space="preserve">That’s key to head off a </w:t>
      </w:r>
      <w:r w:rsidRPr="00594ADE">
        <w:rPr>
          <w:u w:val="single"/>
        </w:rPr>
        <w:t>laundry list</w:t>
      </w:r>
      <w:r w:rsidRPr="00594ADE">
        <w:t xml:space="preserve"> of </w:t>
      </w:r>
      <w:r w:rsidRPr="00594ADE">
        <w:rPr>
          <w:u w:val="single"/>
        </w:rPr>
        <w:t>interacting catastrophic risks</w:t>
      </w:r>
      <w:r w:rsidRPr="00594ADE">
        <w:t xml:space="preserve">, the </w:t>
      </w:r>
      <w:r w:rsidRPr="00594ADE">
        <w:rPr>
          <w:u w:val="single"/>
        </w:rPr>
        <w:t>combination</w:t>
      </w:r>
      <w:r w:rsidRPr="00594ADE">
        <w:t xml:space="preserve"> of which </w:t>
      </w:r>
      <w:r>
        <w:t>causes</w:t>
      </w:r>
      <w:r w:rsidRPr="00594ADE">
        <w:t xml:space="preserve"> </w:t>
      </w:r>
      <w:r w:rsidRPr="00594ADE">
        <w:rPr>
          <w:u w:val="single"/>
        </w:rPr>
        <w:t>extinction</w:t>
      </w:r>
      <w:r w:rsidRPr="00594ADE">
        <w:t xml:space="preserve"> </w:t>
      </w:r>
      <w:r>
        <w:t>and</w:t>
      </w:r>
      <w:r w:rsidRPr="00594ADE">
        <w:t xml:space="preserve"> </w:t>
      </w:r>
      <w:r w:rsidRPr="00594ADE">
        <w:rPr>
          <w:u w:val="single"/>
        </w:rPr>
        <w:t>amplifies</w:t>
      </w:r>
      <w:r w:rsidRPr="00594ADE">
        <w:t xml:space="preserve"> every other threat</w:t>
      </w:r>
      <w:r>
        <w:t>.</w:t>
      </w:r>
    </w:p>
    <w:p w14:paraId="0A41AA83" w14:textId="77777777" w:rsidR="001339A0" w:rsidRPr="00594ADE" w:rsidRDefault="001339A0" w:rsidP="001339A0">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14370B3B" w14:textId="77777777" w:rsidR="001339A0" w:rsidRDefault="001339A0" w:rsidP="001339A0">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or 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594ADE">
        <w:rPr>
          <w:rStyle w:val="Emphasis"/>
        </w:rPr>
        <w:t xml:space="preserve">Global </w:t>
      </w:r>
      <w:r w:rsidRPr="008D2E40">
        <w:rPr>
          <w:rStyle w:val="Emphasis"/>
          <w:highlight w:val="green"/>
        </w:rPr>
        <w:t>warming</w:t>
      </w:r>
      <w:r w:rsidRPr="00594ADE">
        <w:rPr>
          <w:sz w:val="16"/>
        </w:rPr>
        <w:t xml:space="preserve"> itself </w:t>
      </w:r>
      <w:r w:rsidRPr="00594ADE">
        <w:rPr>
          <w:rStyle w:val="StyleUnderline"/>
        </w:rPr>
        <w:t xml:space="preserve">will drive </w:t>
      </w:r>
      <w:r w:rsidRPr="008D2E40">
        <w:rPr>
          <w:rStyle w:val="StyleUnderline"/>
          <w:highlight w:val="green"/>
        </w:rPr>
        <w:t>disruptive</w:t>
      </w:r>
      <w:r w:rsidRPr="00594ADE">
        <w:rPr>
          <w:rStyle w:val="StyleUnderline"/>
        </w:rPr>
        <w:t xml:space="preserve"> </w:t>
      </w:r>
      <w:r w:rsidRPr="008D2E40">
        <w:rPr>
          <w:rStyle w:val="StyleUnderline"/>
          <w:highlight w:val="green"/>
        </w:rPr>
        <w:t>changes in both</w:t>
      </w:r>
      <w:r w:rsidRPr="00594ADE">
        <w:rPr>
          <w:rStyle w:val="StyleUnderline"/>
        </w:rPr>
        <w:t xml:space="preserve"> terrestial and aquatic </w:t>
      </w:r>
      <w:r w:rsidRPr="008D2E40">
        <w:rPr>
          <w:rStyle w:val="StyleUnderline"/>
          <w:highlight w:val="green"/>
        </w:rPr>
        <w:t>ecosystems</w:t>
      </w:r>
      <w:r w:rsidRPr="00594ADE">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w:t>
      </w:r>
      <w:r>
        <w:rPr>
          <w:sz w:val="16"/>
        </w:rPr>
        <w:t xml:space="preserve"> </w:t>
      </w:r>
      <w:r w:rsidRPr="00594ADE">
        <w:rPr>
          <w:rStyle w:val="StyleUnderline"/>
        </w:rPr>
        <w:t xml:space="preserve">Depletion of resources and </w:t>
      </w:r>
      <w:r w:rsidRPr="008D2E40">
        <w:rPr>
          <w:rStyle w:val="Emphasis"/>
          <w:highlight w:val="green"/>
        </w:rPr>
        <w:t>biod</w:t>
      </w:r>
      <w:r w:rsidRPr="00594ADE">
        <w:rPr>
          <w:rStyle w:val="Emphasis"/>
        </w:rPr>
        <w:t xml:space="preserve">iversity </w:t>
      </w:r>
      <w:r w:rsidRPr="00594ADE">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594ADE">
        <w:rPr>
          <w:rStyle w:val="StyleUnderline"/>
        </w:rPr>
        <w:t>reduce biodiversity</w:t>
      </w:r>
      <w:r w:rsidRPr="00594ADE">
        <w:rPr>
          <w:sz w:val="16"/>
        </w:rPr>
        <w:t xml:space="preserve"> (Fig. 3) </w:t>
      </w:r>
      <w:r w:rsidRPr="00594ADE">
        <w:rPr>
          <w:rStyle w:val="StyleUnderline"/>
        </w:rPr>
        <w:t xml:space="preserve">and increase the </w:t>
      </w:r>
      <w:r w:rsidRPr="00594ADE">
        <w:rPr>
          <w:rStyle w:val="Emphasis"/>
        </w:rPr>
        <w:t>amounts of wastes</w:t>
      </w:r>
      <w:r w:rsidRPr="00594ADE">
        <w:rPr>
          <w:rStyle w:val="StyleUnderline"/>
        </w:rPr>
        <w:t xml:space="preserve"> accumulating in the environment</w:t>
      </w:r>
      <w:r w:rsidRPr="00594ADE">
        <w:rPr>
          <w:sz w:val="16"/>
        </w:rPr>
        <w:t>.</w:t>
      </w:r>
      <w:r>
        <w:rPr>
          <w:sz w:val="16"/>
        </w:rPr>
        <w:t xml:space="preserve"> </w:t>
      </w:r>
      <w:r w:rsidRPr="00594ADE">
        <w:rPr>
          <w:sz w:val="16"/>
        </w:rPr>
        <w:t xml:space="preserve">The final driver of Global Catastrophic Risk is an </w:t>
      </w:r>
      <w:r w:rsidRPr="008D2E40">
        <w:rPr>
          <w:rStyle w:val="Emphasis"/>
          <w:highlight w:val="green"/>
        </w:rPr>
        <w:t>ag</w:t>
      </w:r>
      <w:r w:rsidRPr="00594ADE">
        <w:rPr>
          <w:rStyle w:val="Emphasis"/>
        </w:rPr>
        <w:t xml:space="preserve">ricultural </w:t>
      </w:r>
      <w:r w:rsidRPr="008D2E40">
        <w:rPr>
          <w:rStyle w:val="Emphasis"/>
          <w:highlight w:val="green"/>
        </w:rPr>
        <w:t>shortfall</w:t>
      </w:r>
      <w:r w:rsidRPr="00594ADE">
        <w:rPr>
          <w:sz w:val="16"/>
        </w:rPr>
        <w:t xml:space="preserve"> which </w:t>
      </w:r>
      <w:r w:rsidRPr="00594ADE">
        <w:rPr>
          <w:rStyle w:val="StyleUnderline"/>
        </w:rPr>
        <w:t xml:space="preserve">will increase </w:t>
      </w:r>
      <w:r w:rsidRPr="00594ADE">
        <w:rPr>
          <w:rStyle w:val="Emphasis"/>
        </w:rPr>
        <w:t>global Hunger</w:t>
      </w:r>
      <w:r w:rsidRPr="00594ADE">
        <w:rPr>
          <w:sz w:val="16"/>
        </w:rPr>
        <w:t xml:space="preserve"> (SDG 2) </w:t>
      </w:r>
      <w:r w:rsidRPr="00594ADE">
        <w:rPr>
          <w:rStyle w:val="StyleUnderline"/>
        </w:rPr>
        <w:t>and widen</w:t>
      </w:r>
      <w:r w:rsidRPr="00594ADE">
        <w:rPr>
          <w:sz w:val="16"/>
        </w:rPr>
        <w:t xml:space="preserve"> the </w:t>
      </w:r>
      <w:r w:rsidRPr="008D2E40">
        <w:rPr>
          <w:rStyle w:val="Emphasis"/>
          <w:highlight w:val="green"/>
        </w:rPr>
        <w:t>Inequality</w:t>
      </w:r>
      <w:r w:rsidRPr="00594ADE">
        <w:rPr>
          <w:rStyle w:val="Emphasis"/>
        </w:rPr>
        <w:t xml:space="preserve"> </w:t>
      </w:r>
      <w:r w:rsidRPr="00594ADE">
        <w:rPr>
          <w:sz w:val="16"/>
        </w:rPr>
        <w:t>(SDG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w:t>
      </w:r>
      <w:r>
        <w:rPr>
          <w:sz w:val="16"/>
        </w:rPr>
        <w:t xml:space="preserve"> </w:t>
      </w:r>
      <w:r w:rsidRPr="00594ADE">
        <w:rPr>
          <w:sz w:val="16"/>
        </w:rPr>
        <w:t xml:space="preserve">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8D2E40">
        <w:rPr>
          <w:rStyle w:val="Emphasis"/>
          <w:highlight w:val="green"/>
        </w:rPr>
        <w:t>Water</w:t>
      </w:r>
      <w:r w:rsidRPr="00594ADE">
        <w:rPr>
          <w:rStyle w:val="Emphasis"/>
        </w:rPr>
        <w:t xml:space="preserve"> Crises</w:t>
      </w:r>
      <w:r w:rsidRPr="00594ADE">
        <w:rPr>
          <w:sz w:val="16"/>
        </w:rPr>
        <w:t xml:space="preserve"> will </w:t>
      </w:r>
      <w:r w:rsidRPr="00594ADE">
        <w:rPr>
          <w:rStyle w:val="StyleUnderline"/>
        </w:rPr>
        <w:t xml:space="preserve">limit </w:t>
      </w:r>
      <w:r w:rsidRPr="00594ADE">
        <w:rPr>
          <w:sz w:val="16"/>
        </w:rPr>
        <w:t xml:space="preserve">the </w:t>
      </w:r>
      <w:r w:rsidRPr="00594ADE">
        <w:rPr>
          <w:rStyle w:val="StyleUnderline"/>
        </w:rPr>
        <w:t>water available for agriculture and basic needs which</w:t>
      </w:r>
      <w:r w:rsidRPr="00594ADE">
        <w:rPr>
          <w:sz w:val="16"/>
        </w:rPr>
        <w:t xml:space="preserve"> in turn </w:t>
      </w:r>
      <w:r w:rsidRPr="00594ADE">
        <w:rPr>
          <w:rStyle w:val="StyleUnderline"/>
        </w:rPr>
        <w:t xml:space="preserve">will stimulate a decline in </w:t>
      </w:r>
      <w:r w:rsidRPr="00594ADE">
        <w:rPr>
          <w:rStyle w:val="Emphasis"/>
        </w:rPr>
        <w:t>Gender Equality</w:t>
      </w:r>
      <w:r w:rsidRPr="00594ADE">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594ADE">
        <w:rPr>
          <w:rStyle w:val="Emphasis"/>
        </w:rPr>
        <w:t>Conflict</w:t>
      </w:r>
      <w:r w:rsidRPr="00594ADE">
        <w:rPr>
          <w:sz w:val="16"/>
        </w:rPr>
        <w:t xml:space="preserve"> (in all forms) </w:t>
      </w:r>
      <w:r w:rsidRPr="00594ADE">
        <w:rPr>
          <w:rStyle w:val="StyleUnderline"/>
        </w:rPr>
        <w:t xml:space="preserve">will increase </w:t>
      </w:r>
      <w:r w:rsidRPr="008D2E40">
        <w:rPr>
          <w:rStyle w:val="Emphasis"/>
          <w:highlight w:val="green"/>
        </w:rPr>
        <w:t>refugees</w:t>
      </w:r>
      <w:r w:rsidRPr="00594ADE">
        <w:rPr>
          <w:rStyle w:val="Emphasis"/>
        </w:rPr>
        <w:t xml:space="preserve"> and climate change</w:t>
      </w:r>
      <w:r w:rsidRPr="00594ADE">
        <w:rPr>
          <w:rStyle w:val="StyleUnderline"/>
        </w:rPr>
        <w:t xml:space="preserve"> provides the backdrop against which</w:t>
      </w:r>
      <w:r w:rsidRPr="00594ADE">
        <w:rPr>
          <w:sz w:val="16"/>
        </w:rPr>
        <w:t xml:space="preserve"> all these </w:t>
      </w:r>
      <w:r w:rsidRPr="00594ADE">
        <w:rPr>
          <w:rStyle w:val="StyleUnderline"/>
        </w:rPr>
        <w:t>interactions will play out</w:t>
      </w:r>
      <w:r w:rsidRPr="00594ADE">
        <w:rPr>
          <w:sz w:val="16"/>
        </w:rPr>
        <w:t>.</w:t>
      </w:r>
      <w:r>
        <w:rPr>
          <w:sz w:val="16"/>
        </w:rPr>
        <w:t xml:space="preserve"> </w:t>
      </w:r>
    </w:p>
    <w:p w14:paraId="1EB68D49" w14:textId="77777777" w:rsidR="001339A0" w:rsidRPr="00594ADE" w:rsidRDefault="001339A0" w:rsidP="001339A0">
      <w:pPr>
        <w:rPr>
          <w:sz w:val="16"/>
        </w:rPr>
      </w:pPr>
    </w:p>
    <w:p w14:paraId="5C56DB7F" w14:textId="77777777" w:rsidR="001339A0" w:rsidRPr="00594ADE" w:rsidRDefault="001339A0" w:rsidP="001339A0">
      <w:pPr>
        <w:pStyle w:val="Heading4"/>
      </w:pPr>
      <w:r w:rsidRPr="00594ADE">
        <w:t>Weak states are existential. Err AFF to account for non-linearity and unpredictable cascades.</w:t>
      </w:r>
    </w:p>
    <w:p w14:paraId="0B2F76E6" w14:textId="77777777" w:rsidR="001339A0" w:rsidRPr="009F214B" w:rsidRDefault="001339A0" w:rsidP="001339A0">
      <w:r w:rsidRPr="009F214B">
        <w:t xml:space="preserve">Hanna Samir </w:t>
      </w:r>
      <w:r w:rsidRPr="009F214B">
        <w:rPr>
          <w:b/>
          <w:bCs/>
          <w:sz w:val="26"/>
        </w:rPr>
        <w:t>Kassab 17</w:t>
      </w:r>
      <w:r w:rsidRPr="009F214B">
        <w:t>. Visiting Assistant Professor of Political Science at Northern Michigan University, Prioritization Theory and Defensive Foreign Policy. Springer International Publishing, 2017. CrossRef, doi:10.1007/978-3-319-48018-3. // Re-Cut Justin</w:t>
      </w:r>
    </w:p>
    <w:p w14:paraId="36F10E47" w14:textId="77777777" w:rsidR="001339A0" w:rsidRPr="009F214B" w:rsidRDefault="001339A0" w:rsidP="001339A0">
      <w:pPr>
        <w:rPr>
          <w:sz w:val="16"/>
        </w:rPr>
      </w:pPr>
      <w:r w:rsidRPr="009F214B">
        <w:rPr>
          <w:rStyle w:val="StyleUnderline"/>
        </w:rPr>
        <w:t xml:space="preserve">Great powers, with all their resources, power and influence, have inherent </w:t>
      </w:r>
      <w:r w:rsidRPr="00726C77">
        <w:rPr>
          <w:rStyle w:val="Emphasis"/>
          <w:highlight w:val="green"/>
        </w:rPr>
        <w:t>weaknesses</w:t>
      </w:r>
      <w:r w:rsidRPr="009F214B">
        <w:rPr>
          <w:sz w:val="16"/>
        </w:rPr>
        <w:t xml:space="preserve">. </w:t>
      </w:r>
      <w:r w:rsidRPr="009F214B">
        <w:rPr>
          <w:rStyle w:val="StyleUnderline"/>
        </w:rPr>
        <w:t>These</w:t>
      </w:r>
      <w:r w:rsidRPr="009F214B">
        <w:rPr>
          <w:sz w:val="16"/>
        </w:rPr>
        <w:t xml:space="preserve"> weaknesses are all part of today’s international system as defined by complex interdependence, but they also </w:t>
      </w:r>
      <w:r w:rsidRPr="00726C77">
        <w:rPr>
          <w:rStyle w:val="StyleUnderline"/>
          <w:highlight w:val="green"/>
        </w:rPr>
        <w:t xml:space="preserve">emanate from </w:t>
      </w:r>
      <w:r w:rsidRPr="00726C77">
        <w:rPr>
          <w:rStyle w:val="Emphasis"/>
          <w:highlight w:val="green"/>
        </w:rPr>
        <w:t>weak states</w:t>
      </w:r>
      <w:r w:rsidRPr="009F214B">
        <w:rPr>
          <w:sz w:val="16"/>
        </w:rPr>
        <w:t xml:space="preserve">. </w:t>
      </w:r>
      <w:r w:rsidRPr="009F214B">
        <w:rPr>
          <w:rStyle w:val="StyleUnderline"/>
        </w:rPr>
        <w:t xml:space="preserve">Because </w:t>
      </w:r>
      <w:r w:rsidRPr="009F214B">
        <w:rPr>
          <w:rStyle w:val="StyleUnderline"/>
          <w:highlight w:val="green"/>
        </w:rPr>
        <w:t>weak states are</w:t>
      </w:r>
      <w:r w:rsidRPr="009F214B">
        <w:rPr>
          <w:sz w:val="16"/>
        </w:rPr>
        <w:t xml:space="preserve"> so </w:t>
      </w:r>
      <w:r w:rsidRPr="009F214B">
        <w:rPr>
          <w:rStyle w:val="Emphasis"/>
          <w:highlight w:val="green"/>
        </w:rPr>
        <w:t>exposed to shock</w:t>
      </w:r>
      <w:r w:rsidRPr="009F214B">
        <w:rPr>
          <w:sz w:val="16"/>
        </w:rPr>
        <w:t xml:space="preserve">, </w:t>
      </w:r>
      <w:r w:rsidRPr="009F214B">
        <w:rPr>
          <w:rStyle w:val="StyleUnderline"/>
          <w:highlight w:val="green"/>
        </w:rPr>
        <w:t>vulnerabilities</w:t>
      </w:r>
      <w:r w:rsidRPr="009F214B">
        <w:rPr>
          <w:rStyle w:val="StyleUnderline"/>
        </w:rPr>
        <w:t xml:space="preserve"> have time to</w:t>
      </w:r>
      <w:r w:rsidRPr="009F214B">
        <w:rPr>
          <w:sz w:val="16"/>
        </w:rPr>
        <w:t xml:space="preserve"> ripen and </w:t>
      </w:r>
      <w:r w:rsidRPr="009F214B">
        <w:rPr>
          <w:rStyle w:val="StyleUnderline"/>
        </w:rPr>
        <w:t xml:space="preserve">become </w:t>
      </w:r>
      <w:r w:rsidRPr="009F214B">
        <w:rPr>
          <w:rStyle w:val="StyleUnderline"/>
          <w:highlight w:val="green"/>
        </w:rPr>
        <w:t xml:space="preserve">part of the </w:t>
      </w:r>
      <w:r w:rsidRPr="009F214B">
        <w:rPr>
          <w:rStyle w:val="Emphasis"/>
          <w:highlight w:val="green"/>
        </w:rPr>
        <w:t>international structure</w:t>
      </w:r>
      <w:r w:rsidRPr="009F214B">
        <w:rPr>
          <w:sz w:val="16"/>
        </w:rPr>
        <w:t xml:space="preserve">, thereby </w:t>
      </w:r>
      <w:r w:rsidRPr="009F214B">
        <w:rPr>
          <w:rStyle w:val="StyleUnderline"/>
        </w:rPr>
        <w:t>having</w:t>
      </w:r>
      <w:r w:rsidRPr="009F214B">
        <w:rPr>
          <w:sz w:val="16"/>
        </w:rPr>
        <w:t xml:space="preserve"> what I call </w:t>
      </w:r>
      <w:r w:rsidRPr="009F214B">
        <w:rPr>
          <w:rStyle w:val="StyleUnderline"/>
        </w:rPr>
        <w:t>systemic reach</w:t>
      </w:r>
      <w:r w:rsidRPr="009F214B">
        <w:rPr>
          <w:sz w:val="16"/>
        </w:rPr>
        <w:t xml:space="preserve">. While Structural Realism posits that the system is constructed by states’ distribution of capabilities, I add that other facets of international politics—vulnerabilities—also create the system and the way states interact with each other. The systemic reach of these </w:t>
      </w:r>
      <w:r w:rsidRPr="009F214B">
        <w:rPr>
          <w:rStyle w:val="StyleUnderline"/>
        </w:rPr>
        <w:t xml:space="preserve">threats </w:t>
      </w:r>
      <w:r w:rsidRPr="009F214B">
        <w:rPr>
          <w:rStyle w:val="Emphasis"/>
        </w:rPr>
        <w:t>force</w:t>
      </w:r>
      <w:r w:rsidRPr="009F214B">
        <w:rPr>
          <w:sz w:val="16"/>
        </w:rPr>
        <w:t xml:space="preserve">s </w:t>
      </w:r>
      <w:r w:rsidRPr="009F214B">
        <w:rPr>
          <w:rStyle w:val="StyleUnderline"/>
        </w:rPr>
        <w:t>states to act to bolster their chances of survival</w:t>
      </w:r>
      <w:r w:rsidRPr="009F214B">
        <w:rPr>
          <w:sz w:val="16"/>
        </w:rPr>
        <w:t xml:space="preserve">. I missed this point in Weak States in International Relations Theory. This study then aims to finish what my dissertation started: to theorize how systemic vulnerabilities shape the international system and hence state behavior. The core of this work posits that </w:t>
      </w:r>
      <w:r w:rsidRPr="009F214B">
        <w:rPr>
          <w:rStyle w:val="Emphasis"/>
        </w:rPr>
        <w:t xml:space="preserve">positive, long-term, </w:t>
      </w:r>
      <w:r w:rsidRPr="009F214B">
        <w:rPr>
          <w:rStyle w:val="Emphasis"/>
          <w:highlight w:val="green"/>
        </w:rPr>
        <w:t>sustainable</w:t>
      </w:r>
      <w:r w:rsidRPr="009F214B">
        <w:rPr>
          <w:rStyle w:val="Emphasis"/>
        </w:rPr>
        <w:t xml:space="preserve"> economic </w:t>
      </w:r>
      <w:r w:rsidRPr="009F214B">
        <w:rPr>
          <w:rStyle w:val="Emphasis"/>
          <w:highlight w:val="green"/>
        </w:rPr>
        <w:t>development</w:t>
      </w:r>
      <w:r w:rsidRPr="009F214B">
        <w:rPr>
          <w:sz w:val="16"/>
        </w:rPr>
        <w:t xml:space="preserve"> for all states </w:t>
      </w:r>
      <w:r w:rsidRPr="009F214B">
        <w:rPr>
          <w:rStyle w:val="StyleUnderline"/>
        </w:rPr>
        <w:t xml:space="preserve">as [is] the </w:t>
      </w:r>
      <w:r w:rsidRPr="009F214B">
        <w:rPr>
          <w:rStyle w:val="Emphasis"/>
        </w:rPr>
        <w:t>only way</w:t>
      </w:r>
      <w:r w:rsidRPr="009F214B">
        <w:rPr>
          <w:rStyle w:val="StyleUnderline"/>
        </w:rPr>
        <w:t xml:space="preserve"> to correct vulnerabilities. Creating a</w:t>
      </w:r>
      <w:r w:rsidRPr="009F214B">
        <w:rPr>
          <w:sz w:val="16"/>
        </w:rPr>
        <w:t xml:space="preserve"> pragmatic, </w:t>
      </w:r>
      <w:r w:rsidRPr="009F214B">
        <w:rPr>
          <w:rStyle w:val="Emphasis"/>
        </w:rPr>
        <w:t>stable</w:t>
      </w:r>
      <w:r w:rsidRPr="009F214B">
        <w:rPr>
          <w:sz w:val="16"/>
        </w:rPr>
        <w:t xml:space="preserve"> and sound </w:t>
      </w:r>
      <w:r w:rsidRPr="009F214B">
        <w:rPr>
          <w:rStyle w:val="Emphasis"/>
        </w:rPr>
        <w:t>economic policy</w:t>
      </w:r>
      <w:r w:rsidRPr="009F214B">
        <w:rPr>
          <w:sz w:val="16"/>
        </w:rPr>
        <w:t xml:space="preserve"> for all states who are voluntarily open to the system (barring rogue states and peoples who prefer traditional living), </w:t>
      </w:r>
      <w:r w:rsidRPr="00726C77">
        <w:rPr>
          <w:rStyle w:val="StyleUnderline"/>
          <w:highlight w:val="green"/>
        </w:rPr>
        <w:t>is</w:t>
      </w:r>
      <w:r w:rsidRPr="009F214B">
        <w:rPr>
          <w:rStyle w:val="StyleUnderline"/>
        </w:rPr>
        <w:t xml:space="preserve"> at </w:t>
      </w:r>
      <w:r w:rsidRPr="00726C77">
        <w:rPr>
          <w:rStyle w:val="StyleUnderline"/>
          <w:highlight w:val="green"/>
        </w:rPr>
        <w:t xml:space="preserve">the </w:t>
      </w:r>
      <w:r w:rsidRPr="00726C77">
        <w:rPr>
          <w:rStyle w:val="Emphasis"/>
          <w:highlight w:val="green"/>
        </w:rPr>
        <w:t>backbone</w:t>
      </w:r>
      <w:r w:rsidRPr="00726C77">
        <w:rPr>
          <w:rStyle w:val="StyleUnderline"/>
          <w:highlight w:val="green"/>
        </w:rPr>
        <w:t xml:space="preserve"> </w:t>
      </w:r>
      <w:r w:rsidRPr="009F214B">
        <w:rPr>
          <w:rStyle w:val="StyleUnderline"/>
          <w:highlight w:val="green"/>
        </w:rPr>
        <w:t>of neutralizing</w:t>
      </w:r>
      <w:r w:rsidRPr="009F214B">
        <w:rPr>
          <w:rStyle w:val="StyleUnderline"/>
        </w:rPr>
        <w:t xml:space="preserve"> vulnerability</w:t>
      </w:r>
      <w:r w:rsidRPr="009F214B">
        <w:rPr>
          <w:sz w:val="16"/>
        </w:rPr>
        <w:t xml:space="preserve">. </w:t>
      </w:r>
      <w:r w:rsidRPr="009F214B">
        <w:rPr>
          <w:rStyle w:val="StyleUnderline"/>
        </w:rPr>
        <w:t xml:space="preserve">An economically developed nation is more prepared to </w:t>
      </w:r>
      <w:r w:rsidRPr="009F214B">
        <w:rPr>
          <w:rStyle w:val="Emphasis"/>
        </w:rPr>
        <w:t xml:space="preserve">deal with </w:t>
      </w:r>
      <w:r w:rsidRPr="009F214B">
        <w:rPr>
          <w:rStyle w:val="Emphasis"/>
          <w:highlight w:val="green"/>
        </w:rPr>
        <w:t>systemic shock</w:t>
      </w:r>
      <w:r w:rsidRPr="009F214B">
        <w:rPr>
          <w:sz w:val="16"/>
        </w:rPr>
        <w:t xml:space="preserve"> than others </w:t>
      </w:r>
      <w:r w:rsidRPr="009F214B">
        <w:rPr>
          <w:rStyle w:val="StyleUnderline"/>
        </w:rPr>
        <w:t>because it has</w:t>
      </w:r>
      <w:r w:rsidRPr="009F214B">
        <w:rPr>
          <w:sz w:val="16"/>
        </w:rPr>
        <w:t xml:space="preserve"> the </w:t>
      </w:r>
      <w:r w:rsidRPr="009F214B">
        <w:rPr>
          <w:rStyle w:val="Emphasis"/>
        </w:rPr>
        <w:t>resources</w:t>
      </w:r>
      <w:r w:rsidRPr="009F214B">
        <w:rPr>
          <w:sz w:val="16"/>
        </w:rPr>
        <w:t xml:space="preserve"> to do so. </w:t>
      </w:r>
      <w:r w:rsidRPr="009F214B">
        <w:rPr>
          <w:rStyle w:val="StyleUnderline"/>
        </w:rPr>
        <w:t>Developed countries are more prepared</w:t>
      </w:r>
      <w:r w:rsidRPr="009F214B">
        <w:rPr>
          <w:sz w:val="16"/>
        </w:rPr>
        <w:t xml:space="preserve"> than others </w:t>
      </w:r>
      <w:r w:rsidRPr="009F214B">
        <w:rPr>
          <w:rStyle w:val="StyleUnderline"/>
        </w:rPr>
        <w:t xml:space="preserve">to </w:t>
      </w:r>
      <w:r w:rsidRPr="009F214B">
        <w:rPr>
          <w:rStyle w:val="StyleUnderline"/>
          <w:highlight w:val="green"/>
        </w:rPr>
        <w:t>deal with</w:t>
      </w:r>
      <w:r w:rsidRPr="009F214B">
        <w:rPr>
          <w:sz w:val="16"/>
        </w:rPr>
        <w:t xml:space="preserve"> outbreaks of </w:t>
      </w:r>
      <w:r w:rsidRPr="009F214B">
        <w:rPr>
          <w:rStyle w:val="Emphasis"/>
          <w:highlight w:val="green"/>
        </w:rPr>
        <w:t>disease</w:t>
      </w:r>
      <w:r w:rsidRPr="009F214B">
        <w:rPr>
          <w:sz w:val="16"/>
          <w:highlight w:val="green"/>
        </w:rPr>
        <w:t xml:space="preserve">, </w:t>
      </w:r>
      <w:r w:rsidRPr="009F214B">
        <w:rPr>
          <w:rStyle w:val="Emphasis"/>
          <w:highlight w:val="green"/>
        </w:rPr>
        <w:t>financial crises</w:t>
      </w:r>
      <w:r w:rsidRPr="009F214B">
        <w:rPr>
          <w:sz w:val="16"/>
        </w:rPr>
        <w:t xml:space="preserve">, </w:t>
      </w:r>
      <w:r w:rsidRPr="009F214B">
        <w:rPr>
          <w:rStyle w:val="StyleUnderline"/>
        </w:rPr>
        <w:t>sudden</w:t>
      </w:r>
      <w:r w:rsidRPr="009F214B">
        <w:rPr>
          <w:sz w:val="16"/>
        </w:rPr>
        <w:t xml:space="preserve"> </w:t>
      </w:r>
      <w:r w:rsidRPr="009F214B">
        <w:rPr>
          <w:rStyle w:val="Emphasis"/>
          <w:highlight w:val="green"/>
        </w:rPr>
        <w:t>environmental disaster</w:t>
      </w:r>
      <w:r w:rsidRPr="009F214B">
        <w:rPr>
          <w:sz w:val="16"/>
          <w:highlight w:val="green"/>
        </w:rPr>
        <w:t xml:space="preserve">, </w:t>
      </w:r>
      <w:r w:rsidRPr="009F214B">
        <w:rPr>
          <w:rStyle w:val="Emphasis"/>
          <w:highlight w:val="green"/>
        </w:rPr>
        <w:t>terrorism</w:t>
      </w:r>
      <w:r w:rsidRPr="009F214B">
        <w:rPr>
          <w:sz w:val="16"/>
          <w:highlight w:val="green"/>
        </w:rPr>
        <w:t xml:space="preserve"> </w:t>
      </w:r>
      <w:r w:rsidRPr="009F214B">
        <w:rPr>
          <w:rStyle w:val="StyleUnderline"/>
          <w:highlight w:val="green"/>
        </w:rPr>
        <w:t>and</w:t>
      </w:r>
      <w:r w:rsidRPr="009F214B">
        <w:rPr>
          <w:sz w:val="16"/>
          <w:highlight w:val="green"/>
        </w:rPr>
        <w:t xml:space="preserve"> </w:t>
      </w:r>
      <w:r w:rsidRPr="009F214B">
        <w:rPr>
          <w:rStyle w:val="Emphasis"/>
          <w:highlight w:val="green"/>
        </w:rPr>
        <w:t>drug trafficking</w:t>
      </w:r>
      <w:r w:rsidRPr="009F214B">
        <w:rPr>
          <w:sz w:val="16"/>
        </w:rPr>
        <w:t xml:space="preserve"> and so on than weaker states because they have the resources to do so. </w:t>
      </w:r>
      <w:r w:rsidRPr="009F214B">
        <w:rPr>
          <w:rStyle w:val="StyleUnderline"/>
        </w:rPr>
        <w:t>Weaker</w:t>
      </w:r>
      <w:r w:rsidRPr="009F214B">
        <w:rPr>
          <w:sz w:val="16"/>
        </w:rPr>
        <w:t xml:space="preserve">, more underdeveloped states depend on great powers to bail them out during times of trouble; they know great powers must do so as a part of their hegemonic responsibility. Using theory and case studies, this work theorizes the structure of international politics in our day. Taking a holistic look at the mechanisms that guide state behavior, I demonstrate the simple fact that as a global community, </w:t>
      </w:r>
      <w:r w:rsidRPr="009F214B">
        <w:rPr>
          <w:rStyle w:val="StyleUnderline"/>
        </w:rPr>
        <w:t xml:space="preserve">we are </w:t>
      </w:r>
      <w:r w:rsidRPr="009F214B">
        <w:rPr>
          <w:rStyle w:val="Emphasis"/>
        </w:rPr>
        <w:t>all in this together</w:t>
      </w:r>
      <w:r w:rsidRPr="009F214B">
        <w:rPr>
          <w:sz w:val="16"/>
        </w:rPr>
        <w:t xml:space="preserve">. </w:t>
      </w:r>
      <w:r w:rsidRPr="009F214B">
        <w:rPr>
          <w:rStyle w:val="StyleUnderline"/>
        </w:rPr>
        <w:t>While states tend to pursue interests selfishly</w:t>
      </w:r>
      <w:r w:rsidRPr="009F214B">
        <w:rPr>
          <w:sz w:val="16"/>
        </w:rPr>
        <w:t xml:space="preserve">, the fact remains that </w:t>
      </w:r>
      <w:r w:rsidRPr="009F214B">
        <w:rPr>
          <w:rStyle w:val="StyleUnderline"/>
          <w:highlight w:val="green"/>
        </w:rPr>
        <w:t xml:space="preserve">one state’s trouble can </w:t>
      </w:r>
      <w:r w:rsidRPr="009F214B">
        <w:rPr>
          <w:rStyle w:val="Emphasis"/>
          <w:highlight w:val="green"/>
        </w:rPr>
        <w:t xml:space="preserve">spread </w:t>
      </w:r>
      <w:r w:rsidRPr="009F214B">
        <w:rPr>
          <w:rStyle w:val="Emphasis"/>
        </w:rPr>
        <w:t>throughout the globe</w:t>
      </w:r>
      <w:r w:rsidRPr="009F214B">
        <w:rPr>
          <w:sz w:val="16"/>
        </w:rPr>
        <w:t>. States only exist to give people the chance to practice self-determination and to survive against other states. These are all normative statements and do not reflect reality. This book is an attempt to describe reality divorced from traditional understandings of the state, taking into account changes in our world. The realists that stubbornly defend their theories (Kassab and Wu 2014) must take these matters seriously.</w:t>
      </w:r>
    </w:p>
    <w:p w14:paraId="58BD8086" w14:textId="77777777" w:rsidR="001339A0" w:rsidRDefault="001339A0" w:rsidP="001339A0"/>
    <w:p w14:paraId="78F88080" w14:textId="77777777" w:rsidR="001339A0" w:rsidRPr="008751FE" w:rsidRDefault="001339A0" w:rsidP="001339A0">
      <w:pPr>
        <w:pStyle w:val="Heading4"/>
      </w:pPr>
      <w:r>
        <w:t xml:space="preserve">Scenario two is </w:t>
      </w:r>
      <w:r w:rsidRPr="00C7231B">
        <w:rPr>
          <w:u w:val="single"/>
        </w:rPr>
        <w:t>climate change</w:t>
      </w:r>
      <w:r>
        <w:t>:</w:t>
      </w:r>
    </w:p>
    <w:p w14:paraId="706696F3" w14:textId="77777777" w:rsidR="001339A0" w:rsidRDefault="001339A0" w:rsidP="001339A0">
      <w:pPr>
        <w:pStyle w:val="Heading4"/>
      </w:pPr>
      <w:r w:rsidRPr="00D10FB5">
        <w:rPr>
          <w:i/>
        </w:rPr>
        <w:t>Opinio juris</w:t>
      </w:r>
      <w:r>
        <w:t xml:space="preserve"> compliance with </w:t>
      </w:r>
      <w:r w:rsidRPr="00D10FB5">
        <w:rPr>
          <w:u w:val="single"/>
        </w:rPr>
        <w:t>Customary International Law</w:t>
      </w:r>
      <w:r>
        <w:t xml:space="preserve"> key to </w:t>
      </w:r>
      <w:r w:rsidRPr="00D10FB5">
        <w:rPr>
          <w:u w:val="single"/>
        </w:rPr>
        <w:t>legitimacy</w:t>
      </w:r>
      <w:r>
        <w:t xml:space="preserve"> – that determines our </w:t>
      </w:r>
      <w:r w:rsidRPr="00D10FB5">
        <w:rPr>
          <w:u w:val="single"/>
        </w:rPr>
        <w:t>ability</w:t>
      </w:r>
      <w:r>
        <w:t xml:space="preserve"> to solve </w:t>
      </w:r>
      <w:r w:rsidRPr="00D10FB5">
        <w:rPr>
          <w:u w:val="single"/>
        </w:rPr>
        <w:t>environmental crises</w:t>
      </w:r>
      <w:r>
        <w:t>.</w:t>
      </w:r>
    </w:p>
    <w:p w14:paraId="2AB9CA36" w14:textId="77777777" w:rsidR="001339A0" w:rsidRPr="00C41D3E" w:rsidRDefault="001339A0" w:rsidP="001339A0">
      <w:r w:rsidRPr="00C41D3E">
        <w:rPr>
          <w:rStyle w:val="Style13ptBold"/>
        </w:rPr>
        <w:t>Meissner 15</w:t>
      </w:r>
      <w:r>
        <w:t xml:space="preserve"> [Lisa; Vol: 5/1/2015; A</w:t>
      </w:r>
      <w:r w:rsidRPr="00C41D3E">
        <w:t>ssociate Attorney with Hobbs Straus Dean &amp; Walker, LLP, an Indian law firm located in Washington, DC. My primary practice areas are education, healthcare, natural resources/environmental law, and lands issues. I am licensed to practice in Washington State and Washington, DC. I am also a proud member of the Fighting Irish and the Golden Eagles - holding my Juris Doctor from the University of Notre Dame and my Bachelor's degrees from Marque0074te University</w:t>
      </w:r>
      <w:r>
        <w:t>; “</w:t>
      </w:r>
      <w:r w:rsidRPr="00C41D3E">
        <w:t>Saving the Paper Tiger: Biodiversity as an Irreplaceable Element of Our Common Cultural Heritage</w:t>
      </w:r>
      <w:r>
        <w:t xml:space="preserve">,” Notre Dame Journal of International &amp; Comparative Law, Volume 5, Issue 1, </w:t>
      </w:r>
      <w:hyperlink r:id="rId13" w:history="1">
        <w:r w:rsidRPr="00AF436A">
          <w:rPr>
            <w:rStyle w:val="Hyperlink"/>
          </w:rPr>
          <w:t>https://scholarship.law.nd.edu/cgi/viewcontent.cgi?article=1034&amp;context=ndjicl</w:t>
        </w:r>
      </w:hyperlink>
      <w:r>
        <w:t>] Justin</w:t>
      </w:r>
    </w:p>
    <w:p w14:paraId="348F3CAE" w14:textId="77777777" w:rsidR="001339A0" w:rsidRDefault="001339A0" w:rsidP="001339A0">
      <w:pPr>
        <w:rPr>
          <w:u w:val="single"/>
        </w:rPr>
      </w:pPr>
      <w:r w:rsidRPr="00D10FB5">
        <w:rPr>
          <w:sz w:val="10"/>
        </w:rPr>
        <w:t xml:space="preserve">The </w:t>
      </w:r>
      <w:r w:rsidRPr="00D81A9C">
        <w:rPr>
          <w:u w:val="single"/>
        </w:rPr>
        <w:t xml:space="preserve">two-pronged requirement for the </w:t>
      </w:r>
      <w:r w:rsidRPr="00D10FB5">
        <w:rPr>
          <w:rStyle w:val="Emphasis"/>
        </w:rPr>
        <w:t xml:space="preserve">formation of </w:t>
      </w:r>
      <w:r w:rsidRPr="008D2E40">
        <w:rPr>
          <w:rStyle w:val="Emphasis"/>
          <w:highlight w:val="green"/>
        </w:rPr>
        <w:t xml:space="preserve">customary law </w:t>
      </w:r>
      <w:r w:rsidRPr="008D2E40">
        <w:rPr>
          <w:highlight w:val="green"/>
          <w:u w:val="single"/>
        </w:rPr>
        <w:t>requires</w:t>
      </w:r>
      <w:r w:rsidRPr="00D10FB5">
        <w:rPr>
          <w:u w:val="single"/>
        </w:rPr>
        <w:t xml:space="preserve"> both state conduct and </w:t>
      </w:r>
      <w:r w:rsidRPr="008D2E40">
        <w:rPr>
          <w:highlight w:val="green"/>
          <w:u w:val="single"/>
        </w:rPr>
        <w:t>opinio juris</w:t>
      </w:r>
      <w:r w:rsidRPr="00D10FB5">
        <w:rPr>
          <w:u w:val="single"/>
        </w:rPr>
        <w:t xml:space="preserve"> sive necessitatis that are in </w:t>
      </w:r>
      <w:r w:rsidRPr="008D2E40">
        <w:rPr>
          <w:rStyle w:val="Emphasis"/>
          <w:highlight w:val="green"/>
        </w:rPr>
        <w:t>compliance</w:t>
      </w:r>
      <w:r w:rsidRPr="008D2E40">
        <w:rPr>
          <w:highlight w:val="green"/>
          <w:u w:val="single"/>
        </w:rPr>
        <w:t xml:space="preserve"> with</w:t>
      </w:r>
      <w:r w:rsidRPr="00D10FB5">
        <w:rPr>
          <w:u w:val="single"/>
        </w:rPr>
        <w:t xml:space="preserve"> a </w:t>
      </w:r>
      <w:r w:rsidRPr="008D2E40">
        <w:rPr>
          <w:rStyle w:val="Emphasis"/>
          <w:highlight w:val="green"/>
        </w:rPr>
        <w:t>rule</w:t>
      </w:r>
      <w:r w:rsidRPr="008D2E40">
        <w:rPr>
          <w:highlight w:val="green"/>
          <w:u w:val="single"/>
        </w:rPr>
        <w:t xml:space="preserve"> of </w:t>
      </w:r>
      <w:r w:rsidRPr="008D2E40">
        <w:rPr>
          <w:rStyle w:val="Emphasis"/>
          <w:highlight w:val="green"/>
        </w:rPr>
        <w:t>law</w:t>
      </w:r>
      <w:r w:rsidRPr="00D10FB5">
        <w:rPr>
          <w:sz w:val="10"/>
        </w:rPr>
        <w:t xml:space="preserve">, and not merely with concepts of morality, courtesy, or ceremony.29 The ICJ has </w:t>
      </w:r>
      <w:r w:rsidRPr="008D2E40">
        <w:rPr>
          <w:highlight w:val="green"/>
          <w:u w:val="single"/>
        </w:rPr>
        <w:t>recognized</w:t>
      </w:r>
      <w:r w:rsidRPr="00D10FB5">
        <w:rPr>
          <w:u w:val="single"/>
        </w:rPr>
        <w:t xml:space="preserve"> the </w:t>
      </w:r>
      <w:r w:rsidRPr="008D2E40">
        <w:rPr>
          <w:highlight w:val="green"/>
          <w:u w:val="single"/>
        </w:rPr>
        <w:t>existence of</w:t>
      </w:r>
      <w:r w:rsidRPr="00D10FB5">
        <w:rPr>
          <w:u w:val="single"/>
        </w:rPr>
        <w:t xml:space="preserve"> “</w:t>
      </w:r>
      <w:r w:rsidRPr="008D2E40">
        <w:rPr>
          <w:highlight w:val="green"/>
          <w:u w:val="single"/>
        </w:rPr>
        <w:t xml:space="preserve">obligations </w:t>
      </w:r>
      <w:r w:rsidRPr="00D10FB5">
        <w:rPr>
          <w:u w:val="single"/>
        </w:rPr>
        <w:t xml:space="preserve">of a state towards the </w:t>
      </w:r>
      <w:r w:rsidRPr="00D10FB5">
        <w:rPr>
          <w:rStyle w:val="Emphasis"/>
        </w:rPr>
        <w:t>international community</w:t>
      </w:r>
      <w:r w:rsidRPr="00D10FB5">
        <w:rPr>
          <w:u w:val="single"/>
        </w:rPr>
        <w:t xml:space="preserve"> as a whole” </w:t>
      </w:r>
      <w:r w:rsidRPr="008D2E40">
        <w:rPr>
          <w:highlight w:val="green"/>
          <w:u w:val="single"/>
        </w:rPr>
        <w:t>distinct from</w:t>
      </w:r>
      <w:r w:rsidRPr="00D10FB5">
        <w:rPr>
          <w:u w:val="single"/>
        </w:rPr>
        <w:t xml:space="preserve"> those that arise between </w:t>
      </w:r>
      <w:r w:rsidRPr="008D2E40">
        <w:rPr>
          <w:rStyle w:val="Emphasis"/>
          <w:highlight w:val="green"/>
        </w:rPr>
        <w:t>individual</w:t>
      </w:r>
      <w:r w:rsidRPr="008D2E40">
        <w:rPr>
          <w:highlight w:val="green"/>
          <w:u w:val="single"/>
        </w:rPr>
        <w:t xml:space="preserve"> </w:t>
      </w:r>
      <w:r w:rsidRPr="008D2E40">
        <w:rPr>
          <w:rStyle w:val="Emphasis"/>
          <w:highlight w:val="green"/>
        </w:rPr>
        <w:t>nation</w:t>
      </w:r>
      <w:r w:rsidRPr="008D2E40">
        <w:rPr>
          <w:highlight w:val="green"/>
          <w:u w:val="single"/>
        </w:rPr>
        <w:t>-</w:t>
      </w:r>
      <w:r w:rsidRPr="008D2E40">
        <w:rPr>
          <w:rStyle w:val="Emphasis"/>
          <w:highlight w:val="green"/>
        </w:rPr>
        <w:t>states</w:t>
      </w:r>
      <w:r w:rsidRPr="00D10FB5">
        <w:rPr>
          <w:sz w:val="10"/>
        </w:rPr>
        <w:t xml:space="preserve">.30 These are obligations erga omnes, which prohibit the use of state territory for acts that may harm other states, such as the spread of transboundary pollution.31 Consequently, </w:t>
      </w:r>
      <w:r w:rsidRPr="008D2E40">
        <w:rPr>
          <w:highlight w:val="green"/>
          <w:u w:val="single"/>
        </w:rPr>
        <w:t>as</w:t>
      </w:r>
      <w:r w:rsidRPr="00D10FB5">
        <w:rPr>
          <w:u w:val="single"/>
        </w:rPr>
        <w:t xml:space="preserve"> more </w:t>
      </w:r>
      <w:r w:rsidRPr="008D2E40">
        <w:rPr>
          <w:highlight w:val="green"/>
          <w:u w:val="single"/>
        </w:rPr>
        <w:t>states adopt</w:t>
      </w:r>
      <w:r w:rsidRPr="00D10FB5">
        <w:rPr>
          <w:u w:val="single"/>
        </w:rPr>
        <w:t xml:space="preserve"> </w:t>
      </w:r>
      <w:r w:rsidRPr="00D10FB5">
        <w:rPr>
          <w:rStyle w:val="Emphasis"/>
        </w:rPr>
        <w:t>environmental</w:t>
      </w:r>
      <w:r w:rsidRPr="00D10FB5">
        <w:rPr>
          <w:u w:val="single"/>
        </w:rPr>
        <w:t xml:space="preserve"> </w:t>
      </w:r>
      <w:r w:rsidRPr="008D2E40">
        <w:rPr>
          <w:rStyle w:val="Emphasis"/>
          <w:highlight w:val="green"/>
        </w:rPr>
        <w:t>conservation</w:t>
      </w:r>
      <w:r w:rsidRPr="008D2E40">
        <w:rPr>
          <w:highlight w:val="green"/>
          <w:u w:val="single"/>
        </w:rPr>
        <w:t xml:space="preserve"> measures</w:t>
      </w:r>
      <w:r w:rsidRPr="00D10FB5">
        <w:rPr>
          <w:u w:val="single"/>
        </w:rPr>
        <w:t xml:space="preserve">, basic principles of </w:t>
      </w:r>
      <w:r w:rsidRPr="008D2E40">
        <w:rPr>
          <w:rStyle w:val="Emphasis"/>
          <w:highlight w:val="green"/>
        </w:rPr>
        <w:t>environmental</w:t>
      </w:r>
      <w:r w:rsidRPr="008D2E40">
        <w:rPr>
          <w:highlight w:val="green"/>
          <w:u w:val="single"/>
        </w:rPr>
        <w:t xml:space="preserve"> </w:t>
      </w:r>
      <w:r w:rsidRPr="008D2E40">
        <w:rPr>
          <w:rStyle w:val="Emphasis"/>
          <w:highlight w:val="green"/>
        </w:rPr>
        <w:t>law</w:t>
      </w:r>
      <w:r w:rsidRPr="008D2E40">
        <w:rPr>
          <w:highlight w:val="green"/>
          <w:u w:val="single"/>
        </w:rPr>
        <w:t xml:space="preserve"> </w:t>
      </w:r>
      <w:r w:rsidRPr="00D10FB5">
        <w:rPr>
          <w:u w:val="single"/>
        </w:rPr>
        <w:t xml:space="preserve">have been </w:t>
      </w:r>
      <w:r w:rsidRPr="008D2E40">
        <w:rPr>
          <w:highlight w:val="green"/>
          <w:u w:val="single"/>
        </w:rPr>
        <w:t xml:space="preserve">incorporated </w:t>
      </w:r>
      <w:r w:rsidRPr="00D10FB5">
        <w:rPr>
          <w:u w:val="single"/>
        </w:rPr>
        <w:t xml:space="preserve">into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u w:val="single"/>
        </w:rPr>
        <w:t xml:space="preserve"> </w:t>
      </w:r>
      <w:r w:rsidRPr="008D2E40">
        <w:rPr>
          <w:highlight w:val="green"/>
          <w:u w:val="single"/>
        </w:rPr>
        <w:t>through</w:t>
      </w:r>
      <w:r w:rsidRPr="00D10FB5">
        <w:rPr>
          <w:u w:val="single"/>
        </w:rPr>
        <w:t xml:space="preserve"> </w:t>
      </w:r>
      <w:r w:rsidRPr="00D10FB5">
        <w:rPr>
          <w:rStyle w:val="Emphasis"/>
        </w:rPr>
        <w:t>state</w:t>
      </w:r>
      <w:r w:rsidRPr="00D10FB5">
        <w:rPr>
          <w:u w:val="single"/>
        </w:rPr>
        <w:t xml:space="preserve"> </w:t>
      </w:r>
      <w:r w:rsidRPr="008D2E40">
        <w:rPr>
          <w:rStyle w:val="Emphasis"/>
          <w:highlight w:val="green"/>
        </w:rPr>
        <w:t>practice</w:t>
      </w:r>
      <w:r w:rsidRPr="00D10FB5">
        <w:rPr>
          <w:sz w:val="10"/>
        </w:rPr>
        <w:t xml:space="preserve">, </w:t>
      </w:r>
      <w:r w:rsidRPr="00D10FB5">
        <w:rPr>
          <w:rStyle w:val="Emphasis"/>
        </w:rPr>
        <w:t>multilateral</w:t>
      </w:r>
      <w:r w:rsidRPr="00D10FB5">
        <w:rPr>
          <w:u w:val="single"/>
        </w:rPr>
        <w:t xml:space="preserve"> </w:t>
      </w:r>
      <w:r w:rsidRPr="008D2E40">
        <w:rPr>
          <w:rStyle w:val="Emphasis"/>
          <w:highlight w:val="green"/>
        </w:rPr>
        <w:t>treaties</w:t>
      </w:r>
      <w:r w:rsidRPr="008D2E40">
        <w:rPr>
          <w:highlight w:val="green"/>
          <w:u w:val="single"/>
        </w:rPr>
        <w:t>, and</w:t>
      </w:r>
      <w:r w:rsidRPr="00D10FB5">
        <w:rPr>
          <w:u w:val="single"/>
        </w:rPr>
        <w:t xml:space="preserve"> </w:t>
      </w:r>
      <w:r w:rsidRPr="00D10FB5">
        <w:rPr>
          <w:rStyle w:val="Emphasis"/>
        </w:rPr>
        <w:t>judicial</w:t>
      </w:r>
      <w:r w:rsidRPr="00D10FB5">
        <w:rPr>
          <w:u w:val="single"/>
        </w:rPr>
        <w:t xml:space="preserve"> </w:t>
      </w:r>
      <w:r w:rsidRPr="008D2E40">
        <w:rPr>
          <w:rStyle w:val="Emphasis"/>
          <w:highlight w:val="green"/>
        </w:rPr>
        <w:t>decisions</w:t>
      </w:r>
      <w:r w:rsidRPr="00D10FB5">
        <w:rPr>
          <w:sz w:val="10"/>
        </w:rPr>
        <w:t xml:space="preserve">. </w:t>
      </w:r>
      <w:r w:rsidRPr="00D10FB5">
        <w:rPr>
          <w:u w:val="single"/>
        </w:rPr>
        <w:t xml:space="preserve">Such internationally recognized </w:t>
      </w:r>
      <w:r w:rsidRPr="008D2E40">
        <w:rPr>
          <w:highlight w:val="green"/>
          <w:u w:val="single"/>
        </w:rPr>
        <w:t>norms include</w:t>
      </w:r>
      <w:r w:rsidRPr="00D10FB5">
        <w:rPr>
          <w:u w:val="single"/>
        </w:rPr>
        <w:t xml:space="preserve"> the </w:t>
      </w:r>
      <w:r w:rsidRPr="008D2E40">
        <w:rPr>
          <w:rStyle w:val="Emphasis"/>
          <w:highlight w:val="green"/>
        </w:rPr>
        <w:t>precautionary</w:t>
      </w:r>
      <w:r w:rsidRPr="008D2E40">
        <w:rPr>
          <w:highlight w:val="green"/>
          <w:u w:val="single"/>
        </w:rPr>
        <w:t xml:space="preserve"> </w:t>
      </w:r>
      <w:r w:rsidRPr="008D2E40">
        <w:rPr>
          <w:rStyle w:val="Emphasis"/>
          <w:highlight w:val="green"/>
        </w:rPr>
        <w:t>principle</w:t>
      </w:r>
      <w:r w:rsidRPr="00D10FB5">
        <w:rPr>
          <w:u w:val="single"/>
        </w:rPr>
        <w:t xml:space="preserve">, the </w:t>
      </w:r>
      <w:r w:rsidRPr="008D2E40">
        <w:rPr>
          <w:rStyle w:val="Emphasis"/>
          <w:highlight w:val="green"/>
        </w:rPr>
        <w:t>polluter</w:t>
      </w:r>
      <w:r w:rsidRPr="008D2E40">
        <w:rPr>
          <w:highlight w:val="green"/>
          <w:u w:val="single"/>
        </w:rPr>
        <w:t>-</w:t>
      </w:r>
      <w:r w:rsidRPr="008D2E40">
        <w:rPr>
          <w:rStyle w:val="Emphasis"/>
          <w:highlight w:val="green"/>
        </w:rPr>
        <w:t>pays</w:t>
      </w:r>
      <w:r w:rsidRPr="008D2E40">
        <w:rPr>
          <w:highlight w:val="green"/>
          <w:u w:val="single"/>
        </w:rPr>
        <w:t xml:space="preserve"> </w:t>
      </w:r>
      <w:r w:rsidRPr="008D2E40">
        <w:rPr>
          <w:rStyle w:val="Emphasis"/>
          <w:highlight w:val="green"/>
        </w:rPr>
        <w:t>principle</w:t>
      </w:r>
      <w:r w:rsidRPr="008D2E40">
        <w:rPr>
          <w:highlight w:val="green"/>
          <w:u w:val="single"/>
        </w:rPr>
        <w:t>, and</w:t>
      </w:r>
      <w:r w:rsidRPr="00D10FB5">
        <w:rPr>
          <w:u w:val="single"/>
        </w:rPr>
        <w:t xml:space="preserve"> the </w:t>
      </w:r>
      <w:r w:rsidRPr="008D2E40">
        <w:rPr>
          <w:highlight w:val="green"/>
          <w:u w:val="single"/>
        </w:rPr>
        <w:t xml:space="preserve">principle of </w:t>
      </w:r>
      <w:r w:rsidRPr="008D2E40">
        <w:rPr>
          <w:rStyle w:val="Emphasis"/>
          <w:highlight w:val="green"/>
        </w:rPr>
        <w:t>transboundary</w:t>
      </w:r>
      <w:r w:rsidRPr="008D2E40">
        <w:rPr>
          <w:highlight w:val="green"/>
          <w:u w:val="single"/>
        </w:rPr>
        <w:t xml:space="preserve"> </w:t>
      </w:r>
      <w:r w:rsidRPr="008D2E40">
        <w:rPr>
          <w:rStyle w:val="Emphasis"/>
          <w:highlight w:val="green"/>
        </w:rPr>
        <w:t>harm</w:t>
      </w:r>
      <w:r w:rsidRPr="00D10FB5">
        <w:rPr>
          <w:sz w:val="10"/>
        </w:rPr>
        <w:t xml:space="preserve">.32 </w:t>
      </w:r>
      <w:r w:rsidRPr="00D10FB5">
        <w:rPr>
          <w:u w:val="single"/>
        </w:rPr>
        <w:t xml:space="preserve">Debate has arisen, however, over the precise </w:t>
      </w:r>
      <w:r w:rsidRPr="008D2E40">
        <w:rPr>
          <w:highlight w:val="green"/>
          <w:u w:val="single"/>
        </w:rPr>
        <w:t>legal status of</w:t>
      </w:r>
      <w:r w:rsidRPr="00D10FB5">
        <w:rPr>
          <w:u w:val="single"/>
        </w:rPr>
        <w:t xml:space="preserve"> many international </w:t>
      </w:r>
      <w:r w:rsidRPr="008D2E40">
        <w:rPr>
          <w:highlight w:val="green"/>
          <w:u w:val="single"/>
        </w:rPr>
        <w:t>environmental norms</w:t>
      </w:r>
      <w:r w:rsidRPr="00D10FB5">
        <w:rPr>
          <w:u w:val="single"/>
        </w:rPr>
        <w:t xml:space="preserve"> and principles assumed to </w:t>
      </w:r>
      <w:r w:rsidRPr="008D2E40">
        <w:rPr>
          <w:highlight w:val="green"/>
          <w:u w:val="single"/>
        </w:rPr>
        <w:t xml:space="preserve">enjoy </w:t>
      </w:r>
      <w:r w:rsidRPr="008D2E40">
        <w:rPr>
          <w:rStyle w:val="Emphasis"/>
          <w:highlight w:val="green"/>
        </w:rPr>
        <w:t>binding</w:t>
      </w:r>
      <w:r w:rsidRPr="008D2E40">
        <w:rPr>
          <w:highlight w:val="green"/>
          <w:u w:val="single"/>
        </w:rPr>
        <w:t xml:space="preserve"> </w:t>
      </w:r>
      <w:r w:rsidRPr="008D2E40">
        <w:rPr>
          <w:rStyle w:val="Emphasis"/>
          <w:highlight w:val="green"/>
        </w:rPr>
        <w:t>force</w:t>
      </w:r>
      <w:r w:rsidRPr="00D10FB5">
        <w:rPr>
          <w:u w:val="single"/>
        </w:rPr>
        <w:t xml:space="preserve"> as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For example, assertions about the prohibition on transboundary harm and the precautionary principle that are based on the utilization of texts produced by state and non-state actors, such as courts, intergovernmental and non-governmental organizations, and legal scholars, seem to characterize these norms as “declarative” rather than customary law.33 However, </w:t>
      </w:r>
      <w:r w:rsidRPr="00D10FB5">
        <w:rPr>
          <w:u w:val="single"/>
        </w:rPr>
        <w:t xml:space="preserve">these ambiguous legal roots still contribute </w:t>
      </w:r>
      <w:r w:rsidRPr="00D10FB5">
        <w:rPr>
          <w:rStyle w:val="Emphasis"/>
        </w:rPr>
        <w:t>significantly</w:t>
      </w:r>
      <w:r w:rsidRPr="00D10FB5">
        <w:rPr>
          <w:u w:val="single"/>
        </w:rPr>
        <w:t xml:space="preserve"> to the process of </w:t>
      </w:r>
      <w:r w:rsidRPr="00D10FB5">
        <w:rPr>
          <w:rStyle w:val="Emphasis"/>
        </w:rPr>
        <w:t>custom</w:t>
      </w:r>
      <w:r w:rsidRPr="00D10FB5">
        <w:rPr>
          <w:u w:val="single"/>
        </w:rPr>
        <w:t xml:space="preserve"> </w:t>
      </w:r>
      <w:r w:rsidRPr="00D10FB5">
        <w:rPr>
          <w:rStyle w:val="Emphasis"/>
        </w:rPr>
        <w:t>generation</w:t>
      </w:r>
      <w:r w:rsidRPr="00D10FB5">
        <w:rPr>
          <w:sz w:val="10"/>
        </w:rPr>
        <w:t xml:space="preserve">, </w:t>
      </w:r>
      <w:r w:rsidRPr="00D10FB5">
        <w:rPr>
          <w:u w:val="single"/>
        </w:rPr>
        <w:t>and allow the norms to play an important role in terms of voluntary compliance and in bilateral and multilateral negotiations</w:t>
      </w:r>
      <w:r w:rsidRPr="00D10FB5">
        <w:rPr>
          <w:sz w:val="10"/>
        </w:rPr>
        <w:t xml:space="preserve">.34 The consistent articulation of certain rules in conventional regimes lends support to the argument that such rules have achieved the status of customary international law.35 Many </w:t>
      </w:r>
      <w:r w:rsidRPr="00D10FB5">
        <w:rPr>
          <w:u w:val="single"/>
        </w:rPr>
        <w:t>critics would argue that biodiversity protection has not yet crystallized</w:t>
      </w:r>
      <w:r w:rsidRPr="00D10FB5">
        <w:rPr>
          <w:sz w:val="10"/>
        </w:rPr>
        <w:t xml:space="preserve"> into a peremptory international norm for two related reasons. First, it remains an extremely underdeveloped legal regime dependent upon a non-integrated mix of soft law declarations and regional initiatives.36 Second, it takes place within the evolving framework of the concept of sustainable development. </w:t>
      </w:r>
      <w:r w:rsidRPr="00D10FB5">
        <w:rPr>
          <w:u w:val="single"/>
        </w:rPr>
        <w:t>Despite</w:t>
      </w:r>
      <w:r w:rsidRPr="00D10FB5">
        <w:rPr>
          <w:sz w:val="10"/>
        </w:rPr>
        <w:t xml:space="preserve"> these defects, however, </w:t>
      </w:r>
      <w:r w:rsidRPr="00D10FB5">
        <w:rPr>
          <w:u w:val="single"/>
        </w:rPr>
        <w:t xml:space="preserve">a </w:t>
      </w:r>
      <w:r w:rsidRPr="00D10FB5">
        <w:rPr>
          <w:rStyle w:val="Emphasis"/>
        </w:rPr>
        <w:t>colorable</w:t>
      </w:r>
      <w:r w:rsidRPr="00D10FB5">
        <w:rPr>
          <w:u w:val="single"/>
        </w:rPr>
        <w:t xml:space="preserve"> </w:t>
      </w:r>
      <w:r w:rsidRPr="00D10FB5">
        <w:rPr>
          <w:rStyle w:val="Emphasis"/>
        </w:rPr>
        <w:t>argument</w:t>
      </w:r>
      <w:r w:rsidRPr="00D10FB5">
        <w:rPr>
          <w:u w:val="single"/>
        </w:rPr>
        <w:t xml:space="preserve"> still </w:t>
      </w:r>
      <w:r w:rsidRPr="00D10FB5">
        <w:rPr>
          <w:rStyle w:val="Emphasis"/>
        </w:rPr>
        <w:t>exists</w:t>
      </w:r>
      <w:r w:rsidRPr="00D10FB5">
        <w:rPr>
          <w:u w:val="single"/>
        </w:rPr>
        <w:t xml:space="preserve"> that the </w:t>
      </w:r>
      <w:r w:rsidRPr="008D2E40">
        <w:rPr>
          <w:highlight w:val="green"/>
          <w:u w:val="single"/>
        </w:rPr>
        <w:t xml:space="preserve">prevention of </w:t>
      </w:r>
      <w:r w:rsidRPr="008D2E40">
        <w:rPr>
          <w:rStyle w:val="Emphasis"/>
          <w:highlight w:val="green"/>
        </w:rPr>
        <w:t>biodiversity</w:t>
      </w:r>
      <w:r w:rsidRPr="008D2E40">
        <w:rPr>
          <w:highlight w:val="green"/>
          <w:u w:val="single"/>
        </w:rPr>
        <w:t xml:space="preserve"> </w:t>
      </w:r>
      <w:r w:rsidRPr="008D2E40">
        <w:rPr>
          <w:rStyle w:val="Emphasis"/>
          <w:highlight w:val="green"/>
        </w:rPr>
        <w:t>loss</w:t>
      </w:r>
      <w:r w:rsidRPr="008D2E40">
        <w:rPr>
          <w:highlight w:val="green"/>
          <w:u w:val="single"/>
        </w:rPr>
        <w:t xml:space="preserve"> is</w:t>
      </w:r>
      <w:r w:rsidRPr="00D10FB5">
        <w:rPr>
          <w:u w:val="single"/>
        </w:rPr>
        <w:t xml:space="preserve"> at least carving a path towards becoming </w:t>
      </w:r>
      <w:r w:rsidRPr="008D2E40">
        <w:rPr>
          <w:highlight w:val="green"/>
          <w:u w:val="single"/>
        </w:rPr>
        <w:t xml:space="preserve">a </w:t>
      </w:r>
      <w:r w:rsidRPr="008D2E40">
        <w:rPr>
          <w:rStyle w:val="Emphasis"/>
          <w:highlight w:val="green"/>
        </w:rPr>
        <w:t>principle</w:t>
      </w:r>
      <w:r w:rsidRPr="00D10FB5">
        <w:rPr>
          <w:u w:val="single"/>
        </w:rPr>
        <w:t xml:space="preserve"> of </w:t>
      </w:r>
      <w:r w:rsidRPr="00D10FB5">
        <w:rPr>
          <w:rStyle w:val="Emphasis"/>
        </w:rPr>
        <w:t>customary</w:t>
      </w:r>
      <w:r w:rsidRPr="00D10FB5">
        <w:rPr>
          <w:u w:val="single"/>
        </w:rPr>
        <w:t xml:space="preserve"> </w:t>
      </w:r>
      <w:r w:rsidRPr="00D10FB5">
        <w:rPr>
          <w:rStyle w:val="Emphasis"/>
        </w:rPr>
        <w:t>international</w:t>
      </w:r>
      <w:r w:rsidRPr="00D10FB5">
        <w:rPr>
          <w:u w:val="single"/>
        </w:rPr>
        <w:t xml:space="preserve"> </w:t>
      </w:r>
      <w:r w:rsidRPr="00D10FB5">
        <w:rPr>
          <w:rStyle w:val="Emphasis"/>
        </w:rPr>
        <w:t>law</w:t>
      </w:r>
      <w:r w:rsidRPr="00D10FB5">
        <w:rPr>
          <w:sz w:val="10"/>
        </w:rPr>
        <w:t xml:space="preserve">, even if it has not yet reached its final destination. </w:t>
      </w:r>
      <w:r w:rsidRPr="00D10FB5">
        <w:rPr>
          <w:u w:val="single"/>
        </w:rPr>
        <w:t>The World Commission on Environment and Development’s Experts Group on Environmental Law</w:t>
      </w:r>
      <w:r w:rsidRPr="00D10FB5">
        <w:rPr>
          <w:sz w:val="10"/>
        </w:rPr>
        <w:t xml:space="preserve">, for instance, </w:t>
      </w:r>
      <w:r w:rsidRPr="008D2E40">
        <w:rPr>
          <w:highlight w:val="green"/>
          <w:u w:val="single"/>
        </w:rPr>
        <w:t>linked</w:t>
      </w:r>
      <w:r w:rsidRPr="00D10FB5">
        <w:rPr>
          <w:u w:val="single"/>
        </w:rPr>
        <w:t xml:space="preserve"> the </w:t>
      </w:r>
      <w:r w:rsidRPr="008D2E40">
        <w:rPr>
          <w:highlight w:val="green"/>
          <w:u w:val="single"/>
        </w:rPr>
        <w:t>obligation to</w:t>
      </w:r>
      <w:r w:rsidRPr="00D10FB5">
        <w:rPr>
          <w:u w:val="single"/>
        </w:rPr>
        <w:t xml:space="preserve"> </w:t>
      </w:r>
      <w:r w:rsidRPr="00D10FB5">
        <w:rPr>
          <w:rStyle w:val="Emphasis"/>
        </w:rPr>
        <w:t>cooperate</w:t>
      </w:r>
      <w:r w:rsidRPr="00D10FB5">
        <w:rPr>
          <w:u w:val="single"/>
        </w:rPr>
        <w:t xml:space="preserve"> </w:t>
      </w:r>
      <w:r w:rsidRPr="00D10FB5">
        <w:rPr>
          <w:rStyle w:val="Emphasis"/>
        </w:rPr>
        <w:t>closely</w:t>
      </w:r>
      <w:r w:rsidRPr="00D10FB5">
        <w:rPr>
          <w:u w:val="single"/>
        </w:rPr>
        <w:t xml:space="preserve"> with the principle of </w:t>
      </w:r>
      <w:r w:rsidRPr="008D2E40">
        <w:rPr>
          <w:rStyle w:val="Emphasis"/>
          <w:highlight w:val="green"/>
        </w:rPr>
        <w:t>equitable</w:t>
      </w:r>
      <w:r w:rsidRPr="008D2E40">
        <w:rPr>
          <w:highlight w:val="green"/>
          <w:u w:val="single"/>
        </w:rPr>
        <w:t xml:space="preserve"> </w:t>
      </w:r>
      <w:r w:rsidRPr="008D2E40">
        <w:rPr>
          <w:rStyle w:val="Emphasis"/>
          <w:highlight w:val="green"/>
        </w:rPr>
        <w:t>utilization</w:t>
      </w:r>
      <w:r w:rsidRPr="00D10FB5">
        <w:rPr>
          <w:sz w:val="10"/>
        </w:rPr>
        <w:t xml:space="preserve">, stating that, </w:t>
      </w:r>
      <w:r w:rsidRPr="00D10FB5">
        <w:rPr>
          <w:u w:val="single"/>
        </w:rPr>
        <w:t xml:space="preserve">“the duty to </w:t>
      </w:r>
      <w:r w:rsidRPr="00D10FB5">
        <w:rPr>
          <w:rStyle w:val="Emphasis"/>
        </w:rPr>
        <w:t>provide</w:t>
      </w:r>
      <w:r w:rsidRPr="00D10FB5">
        <w:rPr>
          <w:u w:val="single"/>
        </w:rPr>
        <w:t xml:space="preserve"> </w:t>
      </w:r>
      <w:r w:rsidRPr="00D10FB5">
        <w:rPr>
          <w:rStyle w:val="Emphasis"/>
        </w:rPr>
        <w:t>information</w:t>
      </w:r>
      <w:r w:rsidRPr="00D10FB5">
        <w:rPr>
          <w:u w:val="single"/>
        </w:rPr>
        <w:t xml:space="preserve"> may in principle pertain to many factors . . . which may have to be taken into </w:t>
      </w:r>
      <w:r w:rsidRPr="00D10FB5">
        <w:rPr>
          <w:rStyle w:val="Emphasis"/>
        </w:rPr>
        <w:t>account</w:t>
      </w:r>
      <w:r w:rsidRPr="00D10FB5">
        <w:rPr>
          <w:u w:val="single"/>
        </w:rPr>
        <w:t xml:space="preserve"> in order to arrive at a reasonable and </w:t>
      </w:r>
      <w:r w:rsidRPr="00D10FB5">
        <w:rPr>
          <w:rStyle w:val="Emphasis"/>
        </w:rPr>
        <w:t>equitable</w:t>
      </w:r>
      <w:r w:rsidRPr="00D10FB5">
        <w:rPr>
          <w:u w:val="single"/>
        </w:rPr>
        <w:t xml:space="preserve"> use of a </w:t>
      </w:r>
      <w:r w:rsidRPr="00D10FB5">
        <w:rPr>
          <w:rStyle w:val="Emphasis"/>
        </w:rPr>
        <w:t>transboundary</w:t>
      </w:r>
      <w:r w:rsidRPr="00D10FB5">
        <w:rPr>
          <w:u w:val="single"/>
        </w:rPr>
        <w:t xml:space="preserve"> </w:t>
      </w:r>
      <w:r w:rsidRPr="00D10FB5">
        <w:rPr>
          <w:rStyle w:val="Emphasis"/>
        </w:rPr>
        <w:t>natural</w:t>
      </w:r>
      <w:r w:rsidRPr="00D10FB5">
        <w:rPr>
          <w:u w:val="single"/>
        </w:rPr>
        <w:t xml:space="preserve"> </w:t>
      </w:r>
      <w:r w:rsidRPr="00D10FB5">
        <w:rPr>
          <w:rStyle w:val="Emphasis"/>
        </w:rPr>
        <w:t>resource</w:t>
      </w:r>
      <w:r w:rsidRPr="00D10FB5">
        <w:rPr>
          <w:u w:val="single"/>
        </w:rPr>
        <w:t>.”</w:t>
      </w:r>
      <w:r w:rsidRPr="00D10FB5">
        <w:rPr>
          <w:sz w:val="10"/>
        </w:rPr>
        <w:t xml:space="preserve">37 </w:t>
      </w:r>
      <w:r w:rsidRPr="008D2E40">
        <w:rPr>
          <w:highlight w:val="green"/>
          <w:u w:val="single"/>
        </w:rPr>
        <w:t>States are</w:t>
      </w:r>
      <w:r w:rsidRPr="00D10FB5">
        <w:rPr>
          <w:u w:val="single"/>
        </w:rPr>
        <w:t xml:space="preserve"> therefore </w:t>
      </w:r>
      <w:r w:rsidRPr="008D2E40">
        <w:rPr>
          <w:highlight w:val="green"/>
          <w:u w:val="single"/>
        </w:rPr>
        <w:t>under a binding obligation to</w:t>
      </w:r>
      <w:r w:rsidRPr="00D10FB5">
        <w:rPr>
          <w:u w:val="single"/>
        </w:rPr>
        <w:t xml:space="preserve"> notify, in form, and </w:t>
      </w:r>
      <w:r w:rsidRPr="008D2E40">
        <w:rPr>
          <w:highlight w:val="green"/>
          <w:u w:val="single"/>
        </w:rPr>
        <w:t>consult with</w:t>
      </w:r>
      <w:r w:rsidRPr="00D10FB5">
        <w:rPr>
          <w:u w:val="single"/>
        </w:rPr>
        <w:t xml:space="preserve"> neighboring </w:t>
      </w:r>
      <w:r w:rsidRPr="008D2E40">
        <w:rPr>
          <w:highlight w:val="green"/>
          <w:u w:val="single"/>
        </w:rPr>
        <w:t>nations regarding</w:t>
      </w:r>
      <w:r w:rsidRPr="00D10FB5">
        <w:rPr>
          <w:u w:val="single"/>
        </w:rPr>
        <w:t xml:space="preserve"> domestic </w:t>
      </w:r>
      <w:r w:rsidRPr="008D2E40">
        <w:rPr>
          <w:highlight w:val="green"/>
          <w:u w:val="single"/>
        </w:rPr>
        <w:t>actions</w:t>
      </w:r>
      <w:r w:rsidRPr="00D10FB5">
        <w:rPr>
          <w:u w:val="single"/>
        </w:rPr>
        <w:t xml:space="preserve"> with the potential to affect shared natural resources</w:t>
      </w:r>
      <w:r w:rsidRPr="00D10FB5">
        <w:rPr>
          <w:sz w:val="10"/>
        </w:rPr>
        <w:t xml:space="preserve">.38 This </w:t>
      </w:r>
      <w:r w:rsidRPr="008D2E40">
        <w:rPr>
          <w:highlight w:val="green"/>
          <w:u w:val="single"/>
        </w:rPr>
        <w:t xml:space="preserve">standard facilitates </w:t>
      </w:r>
      <w:r w:rsidRPr="008D2E40">
        <w:rPr>
          <w:rStyle w:val="Emphasis"/>
          <w:highlight w:val="green"/>
        </w:rPr>
        <w:t>international</w:t>
      </w:r>
      <w:r w:rsidRPr="008D2E40">
        <w:rPr>
          <w:highlight w:val="green"/>
          <w:u w:val="single"/>
        </w:rPr>
        <w:t xml:space="preserve"> </w:t>
      </w:r>
      <w:r w:rsidRPr="008D2E40">
        <w:rPr>
          <w:rStyle w:val="Emphasis"/>
          <w:highlight w:val="green"/>
        </w:rPr>
        <w:t>cooperation</w:t>
      </w:r>
      <w:r w:rsidRPr="00D10FB5">
        <w:rPr>
          <w:sz w:val="10"/>
        </w:rPr>
        <w:t xml:space="preserve"> towards the effective application of the equitable utilization principle in environmental law Transboundary natural resources do not exist in isolation, but form an integrated whole within which the legal concepts of biodiversity conservation and human development coexist. Likewise, cultural heritage and migratory species— such as the tiger—do not stop at arbitrary national borders. Rather, they exist in a transboundary state themselves. As a result, and consistent with the principles articulated above, species and the communities that utilize them as part of their cultural heritage should be protected under customary international law. “Indeed, regardless of whether or not they have formally achieved customary status, the sophisticated and detailed articulation of the rules and principles of international environmental law provides a comprehensive set of reference standards and procedures to assist the consideration of transboundary environmental impacts and benefits” in a wide variety of areas, including species conservation and cultural heritage preservation.39 </w:t>
      </w:r>
      <w:r w:rsidRPr="00D10FB5">
        <w:rPr>
          <w:sz w:val="10"/>
          <w:szCs w:val="8"/>
        </w:rPr>
        <w:t xml:space="preserve">A Concept of “World Heritage Species” under the World Heritage Convention The Convention Concerning the Protection of the World Cultural and Natural Heritage (World Heritage Convention) was adopted by the UNESCO General Conference in Paris on November 16, 1972.40 In order to facilitate its goals of preserving sites important to the “common heritage of humankind,” the Convention called for the development of a World Heritage List to protect “cultural and natural heritage [sites] of outstanding universal value.”41 The notion of “outstanding value” embraces a common view of global history and recognizes that loss of such heritage would be irreplaceable. The World Heritage List “often serves as a catalyst to raising awareness for heritage preservation,” and can increase tourism to the heritage site, which in turn “can bring important funds to the site and to the local economy.”42 It can also serve as a catalyst for preserving the surrounding habitat of a site,43 often to the benefit of the species therein. Once a site is listed, parties must do their “utmost” to protect and conserve those sites and are precluded from taking “any deliberate measures” that might directly or indirectly damage listed sites.44 The concept of World Heritage Species has been discussed since early 2001, primarily in reference to the conservation of the world’s great apes.45 Whereas the World Heritage Convention protects cultural and natural sites of “outstanding universal value” to humankind, the World Heritage Species Protocol would protect species of comparable value.46 While the question remains open as to how to quantify such a value threshold, the increasing number of registers established by organizations such as UNESCO provide objective parameters for at least a prima facie determination of a given species’ international significance.47 Tigers, with their deep cultural connection to humans, clearly have such value, and their disappearance would constitute a critical loss for humanity. They, like other emblematic species, are “irreplaceable testaments to human evolution,” cultural pillars to many indigenous populations, and natural legacies to be passed on for future generations.48 Obviously, tigers are not cultural sites, such as monuments, buildings, or sites within the meaning of the World Heritage Convention. Therefore, any amendment to incorporate species into the World Heritage regime requires additional ratification by the parties; those who do not ratify the amendment would not be bound by it.49 However, a designation that highlights the significance of the area to the species, such as a “Malayan Tiger World Heritage Site,” could lend itself to listing under the current regime. As a result, the concept could benefit the conser vation of those species, such as the tiger, whose conservation status is diminished by a variety of threats or by a lack of political will, by bringing their conservation within the parameters of UNESCO’s World Heritage mandate. Consequently, a World Heritage Species register could be effectively established by amalgamating existing legal obligations with an emphasis on cooperative decision-making in species conservation and management.50 IV International Environmental Law and Human Rights A review of the existing multilateral agreements most applicable to tiger conservation—that is, CITES, the Convention on Biological Diversity, and the World Heritage Convention—concludes that none of these adequately protects the species from the various threats to their survival, including poaching and habitat destruction. It is therefore necessary to approach biodiversity conservation from a new perspective: its link to human rights and cultural identity. The 1972 Stockholm Declaration on the Human Environment triggered the discussion on adopting a human rights approach to environmental protection.51 In its preamble, the Stockholm Declaration clearly established the link between these two legal realms, stating, “[b]oth aspects of man’s environment, the natural and the man-made, are essential to his well-being and to the enjoyment of basic human rights—even the right to life itself.”52 Vice-President Christopher Weeramantry later accentuated this linkage in his eloquent separate opinion to GabˇcíkovoNagymaros. 53 For the most part, biodiversity exists within a matrix of resources lying within the sovereign boundaries of nation-states and the local sphere. This dynamic contributes to an acute tension between conservation needs and economic and social development needs, especially in Southeast Asia. For example, of the 15 countries that feature prominently in terms of diversity of higher species (reptiles, birds and mammals), none has an average annual per capita income greater than $2000.54 In fact, most of these countries register annual incomes that are among the lowest in the world, around $200–$500 annually.55 Conservationists recognize that many of the primary threats to species survival are often driven by poverty, and that poverty reduction is thus essential if conservation objectives are to be achieved.56 The Millennium Development Goals, which commit the international community to halving poverty by 2015, indicate that several important targets for poverty reduction in these regions have or will be met by 2015, but that progress in many regions is far from sufficient to meet its stated goals.57 </w:t>
      </w:r>
      <w:r w:rsidRPr="00D10FB5">
        <w:rPr>
          <w:sz w:val="10"/>
        </w:rPr>
        <w:t xml:space="preserve">A Human Right to a Healthy Environment The </w:t>
      </w:r>
      <w:r w:rsidRPr="00D10FB5">
        <w:rPr>
          <w:u w:val="single"/>
        </w:rPr>
        <w:t xml:space="preserve">human right to a </w:t>
      </w:r>
      <w:r w:rsidRPr="00D10FB5">
        <w:rPr>
          <w:rStyle w:val="Emphasis"/>
        </w:rPr>
        <w:t>healthy</w:t>
      </w:r>
      <w:r w:rsidRPr="00D10FB5">
        <w:rPr>
          <w:u w:val="single"/>
        </w:rPr>
        <w:t xml:space="preserve"> </w:t>
      </w:r>
      <w:r w:rsidRPr="00D10FB5">
        <w:rPr>
          <w:rStyle w:val="Emphasis"/>
        </w:rPr>
        <w:t>environment</w:t>
      </w:r>
      <w:r w:rsidRPr="00D10FB5">
        <w:rPr>
          <w:u w:val="single"/>
        </w:rPr>
        <w:t xml:space="preserve"> is defined through </w:t>
      </w:r>
      <w:r w:rsidRPr="00D10FB5">
        <w:rPr>
          <w:rStyle w:val="Emphasis"/>
        </w:rPr>
        <w:t>diverse</w:t>
      </w:r>
      <w:r w:rsidRPr="00D10FB5">
        <w:rPr>
          <w:u w:val="single"/>
        </w:rPr>
        <w:t xml:space="preserve"> and </w:t>
      </w:r>
      <w:r w:rsidRPr="00D10FB5">
        <w:rPr>
          <w:rStyle w:val="Emphasis"/>
        </w:rPr>
        <w:t>controversial</w:t>
      </w:r>
      <w:r w:rsidRPr="00D10FB5">
        <w:rPr>
          <w:u w:val="single"/>
        </w:rPr>
        <w:t xml:space="preserve"> </w:t>
      </w:r>
      <w:r w:rsidRPr="00D10FB5">
        <w:rPr>
          <w:rStyle w:val="Emphasis"/>
        </w:rPr>
        <w:t>terminology</w:t>
      </w:r>
      <w:r w:rsidRPr="00D10FB5">
        <w:rPr>
          <w:sz w:val="10"/>
        </w:rPr>
        <w:t>. For present purposes, i</w:t>
      </w:r>
      <w:r w:rsidRPr="00D10FB5">
        <w:rPr>
          <w:u w:val="single"/>
        </w:rPr>
        <w:t xml:space="preserve">t refers to a human right to live in an </w:t>
      </w:r>
      <w:r w:rsidRPr="00D10FB5">
        <w:rPr>
          <w:rStyle w:val="Emphasis"/>
        </w:rPr>
        <w:t>environment</w:t>
      </w:r>
      <w:r w:rsidRPr="00D10FB5">
        <w:rPr>
          <w:u w:val="single"/>
        </w:rPr>
        <w:t xml:space="preserve"> of such </w:t>
      </w:r>
      <w:r w:rsidRPr="00D10FB5">
        <w:rPr>
          <w:rStyle w:val="Emphasis"/>
        </w:rPr>
        <w:t>minimum</w:t>
      </w:r>
      <w:r w:rsidRPr="00D10FB5">
        <w:rPr>
          <w:u w:val="single"/>
        </w:rPr>
        <w:t xml:space="preserve"> </w:t>
      </w:r>
      <w:r w:rsidRPr="00D10FB5">
        <w:rPr>
          <w:rStyle w:val="Emphasis"/>
        </w:rPr>
        <w:t>quality</w:t>
      </w:r>
      <w:r w:rsidRPr="00D10FB5">
        <w:rPr>
          <w:u w:val="single"/>
        </w:rPr>
        <w:t xml:space="preserve"> as to allow for the realization of a life of </w:t>
      </w:r>
      <w:r w:rsidRPr="00D10FB5">
        <w:rPr>
          <w:rStyle w:val="Emphasis"/>
        </w:rPr>
        <w:t>dignity</w:t>
      </w:r>
      <w:r w:rsidRPr="00D10FB5">
        <w:rPr>
          <w:u w:val="single"/>
        </w:rPr>
        <w:t xml:space="preserve"> and </w:t>
      </w:r>
      <w:r w:rsidRPr="00D10FB5">
        <w:rPr>
          <w:rStyle w:val="Emphasis"/>
        </w:rPr>
        <w:t>well</w:t>
      </w:r>
      <w:r w:rsidRPr="00D10FB5">
        <w:rPr>
          <w:u w:val="single"/>
        </w:rPr>
        <w:t>-</w:t>
      </w:r>
      <w:r w:rsidRPr="00D10FB5">
        <w:rPr>
          <w:rStyle w:val="Emphasis"/>
        </w:rPr>
        <w:t>being</w:t>
      </w:r>
      <w:r w:rsidRPr="00D10FB5">
        <w:rPr>
          <w:sz w:val="10"/>
        </w:rPr>
        <w:t xml:space="preserve">.58 The </w:t>
      </w:r>
      <w:r w:rsidRPr="008D2E40">
        <w:rPr>
          <w:highlight w:val="green"/>
          <w:u w:val="single"/>
        </w:rPr>
        <w:t>focus</w:t>
      </w:r>
      <w:r w:rsidRPr="00D10FB5">
        <w:rPr>
          <w:sz w:val="10"/>
        </w:rPr>
        <w:t>—neither rightly nor wrongly—</w:t>
      </w:r>
      <w:r w:rsidRPr="008D2E40">
        <w:rPr>
          <w:highlight w:val="green"/>
          <w:u w:val="single"/>
        </w:rPr>
        <w:t xml:space="preserve">is on </w:t>
      </w:r>
      <w:r w:rsidRPr="00D10FB5">
        <w:rPr>
          <w:u w:val="single"/>
        </w:rPr>
        <w:t xml:space="preserve">humans and the global disparity between </w:t>
      </w:r>
      <w:r w:rsidRPr="008D2E40">
        <w:rPr>
          <w:rStyle w:val="Emphasis"/>
          <w:highlight w:val="green"/>
        </w:rPr>
        <w:t>communities</w:t>
      </w:r>
      <w:r w:rsidRPr="008D2E40">
        <w:rPr>
          <w:highlight w:val="green"/>
          <w:u w:val="single"/>
        </w:rPr>
        <w:t xml:space="preserve"> and</w:t>
      </w:r>
      <w:r w:rsidRPr="00D10FB5">
        <w:rPr>
          <w:u w:val="single"/>
        </w:rPr>
        <w:t xml:space="preserve"> their </w:t>
      </w:r>
      <w:r w:rsidRPr="008D2E40">
        <w:rPr>
          <w:rStyle w:val="Emphasis"/>
          <w:highlight w:val="green"/>
        </w:rPr>
        <w:t>development</w:t>
      </w:r>
      <w:r w:rsidRPr="00D10FB5">
        <w:rPr>
          <w:sz w:val="10"/>
        </w:rPr>
        <w:t xml:space="preserve">, rather than the environment in its own right.59 Principle 1 of the Rio Declaration provides that “[h]uman beings are at the centre of concerns for sustainable development. </w:t>
      </w:r>
      <w:r w:rsidRPr="00D10FB5">
        <w:rPr>
          <w:u w:val="single"/>
        </w:rPr>
        <w:t>They are entitled to a healthy and productive life in harmony with nature</w:t>
      </w:r>
      <w:r w:rsidRPr="00D10FB5">
        <w:rPr>
          <w:sz w:val="10"/>
        </w:rPr>
        <w:t xml:space="preserve">.”60 This principle was accepted without reservations by almost every nation and captures the ideals of linking a human right to a healthy environment with the principle of sustainable development, if not explicitly recognizing it as a right per se.61 Even if </w:t>
      </w:r>
      <w:r w:rsidRPr="00D10FB5">
        <w:rPr>
          <w:u w:val="single"/>
        </w:rPr>
        <w:t xml:space="preserve">the </w:t>
      </w:r>
      <w:r w:rsidRPr="008D2E40">
        <w:rPr>
          <w:highlight w:val="green"/>
          <w:u w:val="single"/>
        </w:rPr>
        <w:t xml:space="preserve">right to a </w:t>
      </w:r>
      <w:r w:rsidRPr="008D2E40">
        <w:rPr>
          <w:rStyle w:val="Emphasis"/>
          <w:highlight w:val="green"/>
        </w:rPr>
        <w:t>healthy</w:t>
      </w:r>
      <w:r w:rsidRPr="008D2E40">
        <w:rPr>
          <w:highlight w:val="green"/>
          <w:u w:val="single"/>
        </w:rPr>
        <w:t xml:space="preserve"> </w:t>
      </w:r>
      <w:r w:rsidRPr="008D2E40">
        <w:rPr>
          <w:rStyle w:val="Emphasis"/>
          <w:highlight w:val="green"/>
        </w:rPr>
        <w:t>environment</w:t>
      </w:r>
      <w:r w:rsidRPr="00D10FB5">
        <w:rPr>
          <w:u w:val="single"/>
        </w:rPr>
        <w:t xml:space="preserve"> </w:t>
      </w:r>
      <w:r w:rsidRPr="00D10FB5">
        <w:rPr>
          <w:sz w:val="10"/>
        </w:rPr>
        <w:t xml:space="preserve">cannot be regarded as a “human right” in any orthodox sense, it </w:t>
      </w:r>
      <w:r w:rsidRPr="008D2E40">
        <w:rPr>
          <w:highlight w:val="green"/>
          <w:u w:val="single"/>
        </w:rPr>
        <w:t>may</w:t>
      </w:r>
      <w:r w:rsidRPr="00D10FB5">
        <w:rPr>
          <w:u w:val="single"/>
        </w:rPr>
        <w:t xml:space="preserve"> still </w:t>
      </w:r>
      <w:r w:rsidRPr="008D2E40">
        <w:rPr>
          <w:highlight w:val="green"/>
          <w:u w:val="single"/>
        </w:rPr>
        <w:t>be</w:t>
      </w:r>
      <w:r w:rsidRPr="00D10FB5">
        <w:rPr>
          <w:u w:val="single"/>
        </w:rPr>
        <w:t xml:space="preserve"> considered </w:t>
      </w:r>
      <w:r w:rsidRPr="008D2E40">
        <w:rPr>
          <w:highlight w:val="green"/>
          <w:u w:val="single"/>
        </w:rPr>
        <w:t xml:space="preserve">a </w:t>
      </w:r>
      <w:r w:rsidRPr="00D10FB5">
        <w:rPr>
          <w:rStyle w:val="Emphasis"/>
        </w:rPr>
        <w:t>political</w:t>
      </w:r>
      <w:r w:rsidRPr="00D10FB5">
        <w:rPr>
          <w:u w:val="single"/>
        </w:rPr>
        <w:t xml:space="preserve"> and </w:t>
      </w:r>
      <w:r w:rsidRPr="00D10FB5">
        <w:rPr>
          <w:rStyle w:val="Emphasis"/>
        </w:rPr>
        <w:t>civil</w:t>
      </w:r>
      <w:r w:rsidRPr="00D10FB5">
        <w:rPr>
          <w:u w:val="single"/>
        </w:rPr>
        <w:t xml:space="preserve"> </w:t>
      </w:r>
      <w:r w:rsidRPr="008D2E40">
        <w:rPr>
          <w:rStyle w:val="Emphasis"/>
          <w:highlight w:val="green"/>
        </w:rPr>
        <w:t>right</w:t>
      </w:r>
      <w:r w:rsidRPr="00D10FB5">
        <w:rPr>
          <w:sz w:val="10"/>
        </w:rPr>
        <w:t xml:space="preserve">, or an economic and social right, with particular applicability to indigenous peoples.62 The United Nations Declaration on the Rights of Indigenous Peoples, for example, contains complex language linking the rights of indigenous peoples, future generations, sustainable development, and the environment,63 as does the Organization of American States (O.A.S.) Proposed American Declaration on the Rights of Indigenous Peoples.64 Considering Principle 1 in conjunction with the contextual development of a right to a healthy environment, a right to sustainable development, and the rights of future generations, </w:t>
      </w:r>
      <w:r w:rsidRPr="00D10FB5">
        <w:rPr>
          <w:u w:val="single"/>
        </w:rPr>
        <w:t xml:space="preserve">it follows that effects on health and a continuation of an established way of life are </w:t>
      </w:r>
      <w:r w:rsidRPr="00D10FB5">
        <w:rPr>
          <w:rStyle w:val="Emphasis"/>
        </w:rPr>
        <w:t>integral</w:t>
      </w:r>
      <w:r w:rsidRPr="00D10FB5">
        <w:rPr>
          <w:u w:val="single"/>
        </w:rPr>
        <w:t xml:space="preserve"> </w:t>
      </w:r>
      <w:r w:rsidRPr="00D10FB5">
        <w:rPr>
          <w:rStyle w:val="Emphasis"/>
        </w:rPr>
        <w:t>components</w:t>
      </w:r>
      <w:r w:rsidRPr="00D10FB5">
        <w:rPr>
          <w:u w:val="single"/>
        </w:rPr>
        <w:t xml:space="preserve"> of any right to a </w:t>
      </w:r>
      <w:r w:rsidRPr="00D10FB5">
        <w:rPr>
          <w:rStyle w:val="Emphasis"/>
        </w:rPr>
        <w:t>healthy</w:t>
      </w:r>
      <w:r w:rsidRPr="00D10FB5">
        <w:rPr>
          <w:u w:val="single"/>
        </w:rPr>
        <w:t xml:space="preserve"> </w:t>
      </w:r>
      <w:r w:rsidRPr="00D10FB5">
        <w:rPr>
          <w:rStyle w:val="Emphasis"/>
        </w:rPr>
        <w:t>environment</w:t>
      </w:r>
      <w:r w:rsidRPr="00D10FB5">
        <w:rPr>
          <w:sz w:val="10"/>
        </w:rPr>
        <w:t xml:space="preserve"> for the local communities involved.65 Moreover, Article 27 of the International Covenant on Civil and Political Rights has been interpreted by the Human Rights Committee to ensure special entitlement to minorities and indigenous groups to have access to natural resources.66 </w:t>
      </w:r>
      <w:r w:rsidRPr="008D2E40">
        <w:rPr>
          <w:highlight w:val="green"/>
          <w:u w:val="single"/>
        </w:rPr>
        <w:t xml:space="preserve">Such </w:t>
      </w:r>
      <w:r w:rsidRPr="008D2E40">
        <w:rPr>
          <w:rStyle w:val="Emphasis"/>
          <w:highlight w:val="green"/>
        </w:rPr>
        <w:t>entitlement</w:t>
      </w:r>
      <w:r w:rsidRPr="00D10FB5">
        <w:rPr>
          <w:u w:val="single"/>
        </w:rPr>
        <w:t xml:space="preserve"> necessarily </w:t>
      </w:r>
      <w:r w:rsidRPr="008D2E40">
        <w:rPr>
          <w:highlight w:val="green"/>
          <w:u w:val="single"/>
        </w:rPr>
        <w:t>entails a</w:t>
      </w:r>
      <w:r w:rsidRPr="00D10FB5">
        <w:rPr>
          <w:u w:val="single"/>
        </w:rPr>
        <w:t xml:space="preserve"> </w:t>
      </w:r>
      <w:r w:rsidRPr="00D10FB5">
        <w:rPr>
          <w:rStyle w:val="Emphasis"/>
        </w:rPr>
        <w:t>negative</w:t>
      </w:r>
      <w:r w:rsidRPr="00D10FB5">
        <w:rPr>
          <w:u w:val="single"/>
        </w:rPr>
        <w:t xml:space="preserve"> </w:t>
      </w:r>
      <w:r w:rsidRPr="008D2E40">
        <w:rPr>
          <w:rStyle w:val="Emphasis"/>
          <w:highlight w:val="green"/>
        </w:rPr>
        <w:t>obligation</w:t>
      </w:r>
      <w:r w:rsidRPr="008D2E40">
        <w:rPr>
          <w:highlight w:val="green"/>
          <w:u w:val="single"/>
        </w:rPr>
        <w:t xml:space="preserve"> not to </w:t>
      </w:r>
      <w:r w:rsidRPr="008D2E40">
        <w:rPr>
          <w:rStyle w:val="Emphasis"/>
          <w:highlight w:val="green"/>
        </w:rPr>
        <w:t>interfere</w:t>
      </w:r>
      <w:r w:rsidRPr="008D2E40">
        <w:rPr>
          <w:highlight w:val="green"/>
          <w:u w:val="single"/>
        </w:rPr>
        <w:t xml:space="preserve"> and</w:t>
      </w:r>
      <w:r w:rsidRPr="00D10FB5">
        <w:rPr>
          <w:u w:val="single"/>
        </w:rPr>
        <w:t xml:space="preserve"> a </w:t>
      </w:r>
      <w:r w:rsidRPr="00D10FB5">
        <w:rPr>
          <w:rStyle w:val="Emphasis"/>
        </w:rPr>
        <w:t>positive</w:t>
      </w:r>
      <w:r w:rsidRPr="00D10FB5">
        <w:rPr>
          <w:u w:val="single"/>
        </w:rPr>
        <w:t xml:space="preserve"> </w:t>
      </w:r>
      <w:r w:rsidRPr="008D2E40">
        <w:rPr>
          <w:rStyle w:val="Emphasis"/>
          <w:highlight w:val="green"/>
        </w:rPr>
        <w:t>obligation</w:t>
      </w:r>
      <w:r w:rsidRPr="008D2E40">
        <w:rPr>
          <w:highlight w:val="green"/>
          <w:u w:val="single"/>
        </w:rPr>
        <w:t xml:space="preserve"> to </w:t>
      </w:r>
      <w:r w:rsidRPr="008D2E40">
        <w:rPr>
          <w:rStyle w:val="Emphasis"/>
          <w:highlight w:val="green"/>
        </w:rPr>
        <w:t>protect</w:t>
      </w:r>
      <w:r w:rsidRPr="00D10FB5">
        <w:rPr>
          <w:sz w:val="10"/>
        </w:rPr>
        <w:t xml:space="preserve"> on the part of the state, in contrast to current international documents reaffirming exclusive state sovereignty over natural resources.67 A healthy environment thus entails more than a minimum quality of tangible resources, such as air, water, and shelter, and encompasses intangible elements, such as culture and a way of life. Emblematic species, such as the tiger, form pillars of cultural identity for communities around the world. For example, the Makah Tribe of the Olympic Peninsula in Washington is a seafaring culture in which whales and whaling hold a preeminent role in maintaining traditional culture and religious expression.68 </w:t>
      </w:r>
      <w:r w:rsidRPr="00D10FB5">
        <w:rPr>
          <w:u w:val="single"/>
        </w:rPr>
        <w:t xml:space="preserve">Access to this species, a natural resource, is thus </w:t>
      </w:r>
      <w:r w:rsidRPr="00D10FB5">
        <w:rPr>
          <w:rStyle w:val="Emphasis"/>
        </w:rPr>
        <w:t>essential</w:t>
      </w:r>
      <w:r w:rsidRPr="00D10FB5">
        <w:rPr>
          <w:u w:val="single"/>
        </w:rPr>
        <w:t xml:space="preserve"> to their </w:t>
      </w:r>
      <w:r w:rsidRPr="00D10FB5">
        <w:rPr>
          <w:rStyle w:val="Emphasis"/>
        </w:rPr>
        <w:t>way</w:t>
      </w:r>
      <w:r w:rsidRPr="00D10FB5">
        <w:rPr>
          <w:u w:val="single"/>
        </w:rPr>
        <w:t xml:space="preserve"> of </w:t>
      </w:r>
      <w:r w:rsidRPr="00D10FB5">
        <w:rPr>
          <w:rStyle w:val="Emphasis"/>
        </w:rPr>
        <w:t>life</w:t>
      </w:r>
      <w:r w:rsidRPr="00D10FB5">
        <w:rPr>
          <w:u w:val="single"/>
        </w:rPr>
        <w:t xml:space="preserve"> and to enjoying a </w:t>
      </w:r>
      <w:r w:rsidRPr="00D10FB5">
        <w:rPr>
          <w:rStyle w:val="Emphasis"/>
        </w:rPr>
        <w:t>healthy</w:t>
      </w:r>
      <w:r w:rsidRPr="00D10FB5">
        <w:rPr>
          <w:u w:val="single"/>
        </w:rPr>
        <w:t xml:space="preserve"> </w:t>
      </w:r>
      <w:r w:rsidRPr="00D10FB5">
        <w:rPr>
          <w:rStyle w:val="Emphasis"/>
        </w:rPr>
        <w:t>environment</w:t>
      </w:r>
      <w:r w:rsidRPr="00D10FB5">
        <w:rPr>
          <w:sz w:val="10"/>
        </w:rPr>
        <w:t xml:space="preserve">. Without the whale, the Makah would not be able to realize their economic, social, and cultural rights to the full extent required by international law. Such a right consequently respects the complex linkages between local communities and their immediate environment and seeks to mitigate the global disparity in natural resource management, including of the species therein. As a result, </w:t>
      </w:r>
      <w:r w:rsidRPr="00D10FB5">
        <w:rPr>
          <w:u w:val="single"/>
        </w:rPr>
        <w:t xml:space="preserve">the </w:t>
      </w:r>
      <w:r w:rsidRPr="00D10FB5">
        <w:rPr>
          <w:rStyle w:val="Emphasis"/>
        </w:rPr>
        <w:t>articulation</w:t>
      </w:r>
      <w:r w:rsidRPr="00D10FB5">
        <w:rPr>
          <w:u w:val="single"/>
        </w:rPr>
        <w:t xml:space="preserve"> of a human right to a healthy environment </w:t>
      </w:r>
      <w:r w:rsidRPr="00D10FB5">
        <w:rPr>
          <w:rStyle w:val="Emphasis"/>
        </w:rPr>
        <w:t>ultimately</w:t>
      </w:r>
      <w:r w:rsidRPr="00D10FB5">
        <w:rPr>
          <w:u w:val="single"/>
        </w:rPr>
        <w:t xml:space="preserve"> </w:t>
      </w:r>
      <w:r w:rsidRPr="008D2E40">
        <w:rPr>
          <w:rStyle w:val="Emphasis"/>
          <w:highlight w:val="green"/>
        </w:rPr>
        <w:t>seeks</w:t>
      </w:r>
      <w:r w:rsidRPr="008D2E40">
        <w:rPr>
          <w:highlight w:val="green"/>
          <w:u w:val="single"/>
        </w:rPr>
        <w:t xml:space="preserve"> to </w:t>
      </w:r>
      <w:r w:rsidRPr="008D2E40">
        <w:rPr>
          <w:rStyle w:val="Emphasis"/>
          <w:highlight w:val="green"/>
        </w:rPr>
        <w:t>influence</w:t>
      </w:r>
      <w:r w:rsidRPr="00D10FB5">
        <w:rPr>
          <w:u w:val="single"/>
        </w:rPr>
        <w:t xml:space="preserve"> </w:t>
      </w:r>
      <w:r w:rsidRPr="00D10FB5">
        <w:rPr>
          <w:rStyle w:val="Emphasis"/>
        </w:rPr>
        <w:t>domestic</w:t>
      </w:r>
      <w:r w:rsidRPr="00D10FB5">
        <w:rPr>
          <w:u w:val="single"/>
        </w:rPr>
        <w:t xml:space="preserve"> </w:t>
      </w:r>
      <w:r w:rsidRPr="008D2E40">
        <w:rPr>
          <w:rStyle w:val="Emphasis"/>
          <w:highlight w:val="green"/>
        </w:rPr>
        <w:t>decisions</w:t>
      </w:r>
      <w:r w:rsidRPr="008D2E40">
        <w:rPr>
          <w:highlight w:val="green"/>
          <w:u w:val="single"/>
        </w:rPr>
        <w:t xml:space="preserve"> through international law</w:t>
      </w:r>
      <w:r w:rsidRPr="00D10FB5">
        <w:rPr>
          <w:sz w:val="10"/>
        </w:rPr>
        <w:t xml:space="preserve">.69 An international agreement on the issue would </w:t>
      </w:r>
      <w:r w:rsidRPr="008D2E40">
        <w:rPr>
          <w:highlight w:val="green"/>
          <w:u w:val="single"/>
        </w:rPr>
        <w:t>offer</w:t>
      </w:r>
      <w:r w:rsidRPr="00D10FB5">
        <w:rPr>
          <w:u w:val="single"/>
        </w:rPr>
        <w:t xml:space="preserve"> states </w:t>
      </w:r>
      <w:r w:rsidRPr="008D2E40">
        <w:rPr>
          <w:highlight w:val="green"/>
          <w:u w:val="single"/>
        </w:rPr>
        <w:t>a</w:t>
      </w:r>
      <w:r w:rsidRPr="00D10FB5">
        <w:rPr>
          <w:u w:val="single"/>
        </w:rPr>
        <w:t xml:space="preserve">n </w:t>
      </w:r>
      <w:r w:rsidRPr="00D10FB5">
        <w:rPr>
          <w:rStyle w:val="Emphasis"/>
        </w:rPr>
        <w:t>aspirational</w:t>
      </w:r>
      <w:r w:rsidRPr="00D10FB5">
        <w:rPr>
          <w:u w:val="single"/>
        </w:rPr>
        <w:t xml:space="preserve"> </w:t>
      </w:r>
      <w:r w:rsidRPr="008D2E40">
        <w:rPr>
          <w:rStyle w:val="Emphasis"/>
          <w:highlight w:val="green"/>
        </w:rPr>
        <w:t>framework</w:t>
      </w:r>
      <w:r w:rsidRPr="00D10FB5">
        <w:rPr>
          <w:u w:val="single"/>
        </w:rPr>
        <w:t xml:space="preserve"> in which </w:t>
      </w:r>
      <w:r w:rsidRPr="008D2E40">
        <w:rPr>
          <w:highlight w:val="green"/>
          <w:u w:val="single"/>
        </w:rPr>
        <w:t>to</w:t>
      </w:r>
      <w:r w:rsidRPr="00D10FB5">
        <w:rPr>
          <w:u w:val="single"/>
        </w:rPr>
        <w:t xml:space="preserve"> operate to </w:t>
      </w:r>
      <w:r w:rsidRPr="008D2E40">
        <w:rPr>
          <w:highlight w:val="green"/>
          <w:u w:val="single"/>
        </w:rPr>
        <w:t>pursue</w:t>
      </w:r>
      <w:r w:rsidRPr="00D10FB5">
        <w:rPr>
          <w:u w:val="single"/>
        </w:rPr>
        <w:t xml:space="preserve"> the combined purposes of </w:t>
      </w:r>
      <w:r w:rsidRPr="00D10FB5">
        <w:rPr>
          <w:rStyle w:val="Emphasis"/>
        </w:rPr>
        <w:t>promoting</w:t>
      </w:r>
      <w:r w:rsidRPr="00D10FB5">
        <w:rPr>
          <w:u w:val="single"/>
        </w:rPr>
        <w:t xml:space="preserve"> </w:t>
      </w:r>
      <w:r w:rsidRPr="00D10FB5">
        <w:rPr>
          <w:rStyle w:val="Emphasis"/>
        </w:rPr>
        <w:t>human</w:t>
      </w:r>
      <w:r w:rsidRPr="00D10FB5">
        <w:rPr>
          <w:u w:val="single"/>
        </w:rPr>
        <w:t xml:space="preserve"> </w:t>
      </w:r>
      <w:r w:rsidRPr="00D10FB5">
        <w:rPr>
          <w:rStyle w:val="Emphasis"/>
        </w:rPr>
        <w:t>development</w:t>
      </w:r>
      <w:r w:rsidRPr="00D10FB5">
        <w:rPr>
          <w:u w:val="single"/>
        </w:rPr>
        <w:t xml:space="preserve"> and </w:t>
      </w:r>
      <w:r w:rsidRPr="008D2E40">
        <w:rPr>
          <w:rStyle w:val="Emphasis"/>
          <w:highlight w:val="green"/>
        </w:rPr>
        <w:t>environmental</w:t>
      </w:r>
      <w:r w:rsidRPr="008D2E40">
        <w:rPr>
          <w:highlight w:val="green"/>
          <w:u w:val="single"/>
        </w:rPr>
        <w:t xml:space="preserve"> </w:t>
      </w:r>
      <w:r w:rsidRPr="008D2E40">
        <w:rPr>
          <w:rStyle w:val="Emphasis"/>
          <w:highlight w:val="green"/>
        </w:rPr>
        <w:t>protection</w:t>
      </w:r>
      <w:r w:rsidRPr="00D10FB5">
        <w:rPr>
          <w:sz w:val="10"/>
        </w:rPr>
        <w:t xml:space="preserve">. Such an endeavor, however, would require national conservation programs to move beyond principled legislation to the serious consideration of local needs and cultural norms.70 The interim gap between national and local levels of natural resource management capacity could be filled by non-governmental organizations, working with local communities to administer national programs. Moreover, </w:t>
      </w:r>
      <w:r w:rsidRPr="00D10FB5">
        <w:rPr>
          <w:u w:val="single"/>
        </w:rPr>
        <w:t xml:space="preserve">the development of committed, </w:t>
      </w:r>
      <w:r w:rsidRPr="008D2E40">
        <w:rPr>
          <w:highlight w:val="green"/>
          <w:u w:val="single"/>
        </w:rPr>
        <w:t>sustainable sources</w:t>
      </w:r>
      <w:r w:rsidRPr="00D10FB5">
        <w:rPr>
          <w:u w:val="single"/>
        </w:rPr>
        <w:t xml:space="preserve"> of </w:t>
      </w:r>
      <w:r w:rsidRPr="00D10FB5">
        <w:rPr>
          <w:rStyle w:val="Emphasis"/>
        </w:rPr>
        <w:t>funding</w:t>
      </w:r>
      <w:r w:rsidRPr="00D10FB5">
        <w:rPr>
          <w:u w:val="single"/>
        </w:rPr>
        <w:t xml:space="preserve"> and </w:t>
      </w:r>
      <w:r w:rsidRPr="00D10FB5">
        <w:rPr>
          <w:rStyle w:val="Emphasis"/>
        </w:rPr>
        <w:t>enforcement</w:t>
      </w:r>
      <w:r w:rsidRPr="00D10FB5">
        <w:rPr>
          <w:u w:val="single"/>
        </w:rPr>
        <w:t xml:space="preserve"> </w:t>
      </w:r>
      <w:r w:rsidRPr="008D2E40">
        <w:rPr>
          <w:rStyle w:val="Emphasis"/>
          <w:highlight w:val="green"/>
        </w:rPr>
        <w:t>must</w:t>
      </w:r>
      <w:r w:rsidRPr="008D2E40">
        <w:rPr>
          <w:highlight w:val="green"/>
          <w:u w:val="single"/>
        </w:rPr>
        <w:t xml:space="preserve"> be </w:t>
      </w:r>
      <w:r w:rsidRPr="008D2E40">
        <w:rPr>
          <w:rStyle w:val="Emphasis"/>
          <w:highlight w:val="green"/>
        </w:rPr>
        <w:t>pursued</w:t>
      </w:r>
      <w:r w:rsidRPr="00D10FB5">
        <w:rPr>
          <w:u w:val="single"/>
        </w:rPr>
        <w:t xml:space="preserve"> and may be more attainable if coupled with </w:t>
      </w:r>
      <w:r w:rsidRPr="00D10FB5">
        <w:rPr>
          <w:rStyle w:val="Emphasis"/>
        </w:rPr>
        <w:t>regional</w:t>
      </w:r>
      <w:r w:rsidRPr="00D10FB5">
        <w:rPr>
          <w:u w:val="single"/>
        </w:rPr>
        <w:t xml:space="preserve"> </w:t>
      </w:r>
      <w:r w:rsidRPr="00D10FB5">
        <w:rPr>
          <w:rStyle w:val="Emphasis"/>
        </w:rPr>
        <w:t>commitments</w:t>
      </w:r>
      <w:r w:rsidRPr="00D10FB5">
        <w:rPr>
          <w:u w:val="single"/>
        </w:rPr>
        <w:t xml:space="preserve"> that </w:t>
      </w:r>
      <w:r w:rsidRPr="00D10FB5">
        <w:rPr>
          <w:rStyle w:val="Emphasis"/>
        </w:rPr>
        <w:t>facilitate</w:t>
      </w:r>
      <w:r w:rsidRPr="00D10FB5">
        <w:rPr>
          <w:u w:val="single"/>
        </w:rPr>
        <w:t xml:space="preserve"> </w:t>
      </w:r>
      <w:r w:rsidRPr="00D10FB5">
        <w:rPr>
          <w:rStyle w:val="Emphasis"/>
        </w:rPr>
        <w:t>cooperation</w:t>
      </w:r>
      <w:r w:rsidRPr="00D10FB5">
        <w:rPr>
          <w:u w:val="single"/>
        </w:rPr>
        <w:t xml:space="preserve"> and </w:t>
      </w:r>
      <w:r w:rsidRPr="00D10FB5">
        <w:rPr>
          <w:rStyle w:val="Emphasis"/>
        </w:rPr>
        <w:t>accountability</w:t>
      </w:r>
      <w:r w:rsidRPr="00D10FB5">
        <w:rPr>
          <w:u w:val="single"/>
        </w:rPr>
        <w:t>.71</w:t>
      </w:r>
      <w:r>
        <w:rPr>
          <w:u w:val="single"/>
        </w:rPr>
        <w:t xml:space="preserve"> </w:t>
      </w:r>
    </w:p>
    <w:p w14:paraId="7617A87D" w14:textId="77777777" w:rsidR="001339A0" w:rsidRDefault="001339A0" w:rsidP="001339A0">
      <w:pPr>
        <w:rPr>
          <w:u w:val="single"/>
        </w:rPr>
      </w:pPr>
    </w:p>
    <w:p w14:paraId="04A7B5FB" w14:textId="77777777" w:rsidR="001339A0" w:rsidRPr="004C0DE1" w:rsidRDefault="001339A0" w:rsidP="001339A0">
      <w:pPr>
        <w:pStyle w:val="Heading4"/>
      </w:pPr>
      <w:r>
        <w:t xml:space="preserve">Extinction – contrary models are </w:t>
      </w:r>
      <w:r w:rsidRPr="002F5A9F">
        <w:rPr>
          <w:u w:val="single"/>
        </w:rPr>
        <w:t>incorrect</w:t>
      </w:r>
      <w:r>
        <w:t>.</w:t>
      </w:r>
    </w:p>
    <w:p w14:paraId="30FD0752" w14:textId="77777777" w:rsidR="001339A0" w:rsidRPr="00DB16C2" w:rsidRDefault="001339A0" w:rsidP="001339A0">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4"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760EA3E9" w14:textId="77777777" w:rsidR="001339A0" w:rsidRDefault="001339A0" w:rsidP="001339A0">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5"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2F5A9F">
        <w:rPr>
          <w:color w:val="000000" w:themeColor="text1"/>
          <w:u w:val="single"/>
        </w:rPr>
        <w:t xml:space="preserve">world </w:t>
      </w:r>
      <w:r w:rsidRPr="008D2E40">
        <w:rPr>
          <w:color w:val="000000" w:themeColor="text1"/>
          <w:highlight w:val="green"/>
          <w:u w:val="single"/>
        </w:rPr>
        <w:t>governments</w:t>
      </w:r>
      <w:r w:rsidRPr="002F5A9F">
        <w:rPr>
          <w:color w:val="000000" w:themeColor="text1"/>
          <w:u w:val="single"/>
        </w:rPr>
        <w:t xml:space="preserve"> "politely </w:t>
      </w:r>
      <w:r w:rsidRPr="008D2E40">
        <w:rPr>
          <w:color w:val="000000" w:themeColor="text1"/>
          <w:highlight w:val="green"/>
          <w:u w:val="single"/>
        </w:rPr>
        <w:t>ignor</w:t>
      </w:r>
      <w:r w:rsidRPr="002F5A9F">
        <w:rPr>
          <w:color w:val="000000" w:themeColor="text1"/>
          <w:u w:val="single"/>
        </w:rPr>
        <w:t>ing"</w:t>
      </w:r>
      <w:r w:rsidRPr="002F5A9F">
        <w:rPr>
          <w:color w:val="000000" w:themeColor="text1"/>
          <w:sz w:val="16"/>
        </w:rPr>
        <w:t xml:space="preserve"> the advice of </w:t>
      </w:r>
      <w:r w:rsidRPr="008D2E40">
        <w:rPr>
          <w:color w:val="000000" w:themeColor="text1"/>
          <w:highlight w:val="green"/>
          <w:u w:val="single"/>
        </w:rPr>
        <w:t>scientists</w:t>
      </w:r>
      <w:r w:rsidRPr="002F5A9F">
        <w:rPr>
          <w:color w:val="000000" w:themeColor="text1"/>
          <w:sz w:val="16"/>
        </w:rPr>
        <w:t xml:space="preserve"> and the will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brutal </w:t>
      </w:r>
      <w:r w:rsidRPr="008D2E40">
        <w:rPr>
          <w:color w:val="000000" w:themeColor="text1"/>
          <w:highlight w:val="green"/>
          <w:u w:val="single"/>
        </w:rPr>
        <w:t xml:space="preserve">droughts kill </w:t>
      </w:r>
      <w:r w:rsidRPr="002F5A9F">
        <w:rPr>
          <w:color w:val="000000" w:themeColor="text1"/>
          <w:u w:val="single"/>
        </w:rPr>
        <w:t xml:space="preserve">many of the trees in </w:t>
      </w:r>
      <w:r w:rsidRPr="008D2E40">
        <w:rPr>
          <w:color w:val="000000" w:themeColor="text1"/>
          <w:highlight w:val="green"/>
          <w:u w:val="single"/>
        </w:rPr>
        <w:t xml:space="preserve">the </w:t>
      </w:r>
      <w:hyperlink r:id="rId16" w:history="1">
        <w:r w:rsidRPr="002F5A9F">
          <w:rPr>
            <w:rStyle w:val="Hyperlink"/>
            <w:color w:val="000000" w:themeColor="text1"/>
            <w:u w:val="single"/>
            <w:bdr w:val="none" w:sz="0" w:space="0" w:color="auto" w:frame="1"/>
          </w:rPr>
          <w:t xml:space="preserve">Amazon </w:t>
        </w:r>
        <w:r w:rsidRPr="008D2E40">
          <w:rPr>
            <w:rStyle w:val="Hyperlink"/>
            <w:color w:val="000000" w:themeColor="text1"/>
            <w:highlight w:val="green"/>
            <w:u w:val="single"/>
            <w:bdr w:val="none" w:sz="0" w:space="0" w:color="auto" w:frame="1"/>
          </w:rPr>
          <w:t>rainforest</w:t>
        </w:r>
      </w:hyperlink>
      <w:r w:rsidRPr="002F5A9F">
        <w:rPr>
          <w:color w:val="000000" w:themeColor="text1"/>
          <w:sz w:val="16"/>
        </w:rPr>
        <w:t xml:space="preserve"> (removing one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7"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rainforest and</w:t>
      </w:r>
      <w:r w:rsidRPr="002F5A9F">
        <w:rPr>
          <w:b/>
          <w:bCs/>
          <w:color w:val="000000" w:themeColor="text1"/>
          <w:u w:val="single"/>
        </w:rPr>
        <w:t xml:space="preserve"> the </w:t>
      </w:r>
      <w:r w:rsidRPr="008D2E40">
        <w:rPr>
          <w:b/>
          <w:bCs/>
          <w:color w:val="000000" w:themeColor="text1"/>
          <w:highlight w:val="green"/>
          <w:u w:val="single"/>
        </w:rPr>
        <w:t>Arctic</w:t>
      </w:r>
      <w:r w:rsidRPr="002F5A9F">
        <w:rPr>
          <w:b/>
          <w:bCs/>
          <w:color w:val="000000" w:themeColor="text1"/>
          <w:u w:val="single"/>
        </w:rPr>
        <w:t xml:space="preserve">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18"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2AB31AA8" w14:textId="77777777" w:rsidR="001339A0" w:rsidRDefault="001339A0" w:rsidP="001339A0">
      <w:pPr>
        <w:rPr>
          <w:sz w:val="16"/>
        </w:rPr>
      </w:pPr>
      <w:r w:rsidRPr="0070635E">
        <w:rPr>
          <w:sz w:val="16"/>
        </w:rPr>
        <w:t xml:space="preserve"> </w:t>
      </w:r>
    </w:p>
    <w:p w14:paraId="34125FFF" w14:textId="77777777" w:rsidR="001339A0" w:rsidRDefault="001339A0" w:rsidP="001339A0">
      <w:pPr>
        <w:pStyle w:val="Heading3"/>
      </w:pPr>
      <w:r>
        <w:t>1AC – Plan</w:t>
      </w:r>
    </w:p>
    <w:p w14:paraId="3FF97F9F" w14:textId="77777777" w:rsidR="001339A0" w:rsidRDefault="001339A0" w:rsidP="001339A0">
      <w:pPr>
        <w:pStyle w:val="Heading4"/>
      </w:pPr>
      <w:r>
        <w:t>Plan text: The United States of America ought to recognize an unconditional right of workers to strike.</w:t>
      </w:r>
    </w:p>
    <w:p w14:paraId="61A1C343" w14:textId="77777777" w:rsidR="001339A0" w:rsidRDefault="001339A0" w:rsidP="001339A0"/>
    <w:p w14:paraId="15CCCCA4" w14:textId="77777777" w:rsidR="001339A0" w:rsidRPr="002D5537" w:rsidRDefault="001339A0" w:rsidP="001339A0">
      <w:pPr>
        <w:pStyle w:val="Heading4"/>
      </w:pPr>
      <w:r>
        <w:t xml:space="preserve">Courts are </w:t>
      </w:r>
      <w:r w:rsidRPr="002D5537">
        <w:rPr>
          <w:u w:val="single"/>
        </w:rPr>
        <w:t>normal means</w:t>
      </w:r>
      <w:r>
        <w:t xml:space="preserve"> and can </w:t>
      </w:r>
      <w:r w:rsidRPr="002D5537">
        <w:rPr>
          <w:u w:val="single"/>
        </w:rPr>
        <w:t>enforce</w:t>
      </w:r>
      <w:r w:rsidRPr="00B76282">
        <w:t xml:space="preserve"> the right to strike as </w:t>
      </w:r>
      <w:r>
        <w:rPr>
          <w:u w:val="single"/>
        </w:rPr>
        <w:t>Customary International Law</w:t>
      </w:r>
      <w:r>
        <w:t>.</w:t>
      </w:r>
    </w:p>
    <w:p w14:paraId="6CD3673F" w14:textId="77777777" w:rsidR="001339A0" w:rsidRPr="00D2046C" w:rsidRDefault="001339A0" w:rsidP="001339A0">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9" w:history="1">
        <w:r w:rsidRPr="00111F4F">
          <w:rPr>
            <w:rStyle w:val="Hyperlink"/>
          </w:rPr>
          <w:t>https://digitalcommons.law.yale.edu/cgi/viewcontent.cgi?article=1710&amp;context=yjil</w:t>
        </w:r>
      </w:hyperlink>
      <w:r>
        <w:t>] Justin ** Brackets in original</w:t>
      </w:r>
    </w:p>
    <w:p w14:paraId="052CDA85" w14:textId="77777777" w:rsidR="001339A0" w:rsidRPr="00696421" w:rsidRDefault="001339A0" w:rsidP="001339A0">
      <w:pPr>
        <w:rPr>
          <w:sz w:val="16"/>
        </w:rPr>
      </w:pPr>
      <w:r w:rsidRPr="008D2E40">
        <w:rPr>
          <w:highlight w:val="green"/>
          <w:u w:val="single"/>
        </w:rPr>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length in a 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xml:space="preserve">.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24C7D2E5" w14:textId="77777777" w:rsidR="001339A0" w:rsidRDefault="001339A0" w:rsidP="001339A0"/>
    <w:p w14:paraId="20F265F9" w14:textId="77777777" w:rsidR="001339A0" w:rsidRDefault="001339A0" w:rsidP="001339A0">
      <w:pPr>
        <w:pStyle w:val="Heading4"/>
        <w:jc w:val="both"/>
      </w:pPr>
      <w:r>
        <w:t xml:space="preserve">Current laws are </w:t>
      </w:r>
      <w:r w:rsidRPr="00FC6656">
        <w:rPr>
          <w:u w:val="single"/>
        </w:rPr>
        <w:t>ambiguous</w:t>
      </w:r>
      <w:r>
        <w:t xml:space="preserve"> and there is </w:t>
      </w:r>
      <w:r w:rsidRPr="00FC6656">
        <w:rPr>
          <w:u w:val="single"/>
        </w:rPr>
        <w:t>Cause of Action</w:t>
      </w:r>
      <w:r>
        <w:t>.</w:t>
      </w:r>
    </w:p>
    <w:p w14:paraId="0E3EBF93" w14:textId="77777777" w:rsidR="001339A0" w:rsidRPr="00B76282" w:rsidRDefault="001339A0" w:rsidP="001339A0">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20" w:history="1">
        <w:r w:rsidRPr="00111F4F">
          <w:rPr>
            <w:rStyle w:val="Hyperlink"/>
          </w:rPr>
          <w:t>https://digitalcommons.law.yale.edu/cgi/viewcontent.cgi?article=1710&amp;context=yjil</w:t>
        </w:r>
      </w:hyperlink>
      <w:r>
        <w:t>] Justin ** Brackets in original</w:t>
      </w:r>
    </w:p>
    <w:p w14:paraId="18483422" w14:textId="77777777" w:rsidR="001339A0" w:rsidRDefault="001339A0" w:rsidP="001339A0">
      <w:pPr>
        <w:rPr>
          <w:u w:val="single"/>
        </w:rPr>
      </w:pPr>
      <w:r w:rsidRPr="00116725">
        <w:rPr>
          <w:u w:val="single"/>
        </w:rPr>
        <w:t>The D.C. Circuit in Reich relied on the canon disfavoring implied repeals</w:t>
      </w:r>
      <w:r w:rsidRPr="00FC6656">
        <w:rPr>
          <w:sz w:val="16"/>
        </w:rPr>
        <w:t xml:space="preserve">, </w:t>
      </w:r>
      <w:r w:rsidRPr="00116725">
        <w:rPr>
          <w:u w:val="single"/>
        </w:rPr>
        <w:t>because the later-enacted Procurement Act</w:t>
      </w:r>
      <w:r w:rsidRPr="00FC6656">
        <w:rPr>
          <w:sz w:val="16"/>
        </w:rPr>
        <w:t xml:space="preserve"> (on which the Executive Order was based) </w:t>
      </w:r>
      <w:r w:rsidRPr="00116725">
        <w:rPr>
          <w:u w:val="single"/>
        </w:rPr>
        <w:t>did not contradict the NLRA itself</w:t>
      </w:r>
      <w:r w:rsidRPr="00FC6656">
        <w:rPr>
          <w:sz w:val="16"/>
        </w:rPr>
        <w:t xml:space="preserve">.313 By contrast, </w:t>
      </w:r>
      <w:r w:rsidRPr="00116725">
        <w:rPr>
          <w:u w:val="single"/>
        </w:rPr>
        <w:t xml:space="preserve">the later-evolved </w:t>
      </w:r>
      <w:r w:rsidRPr="00CF4094">
        <w:rPr>
          <w:highlight w:val="green"/>
          <w:u w:val="single"/>
        </w:rPr>
        <w:t>CIL on the right to strike</w:t>
      </w:r>
      <w:r w:rsidRPr="00116725">
        <w:rPr>
          <w:u w:val="single"/>
        </w:rPr>
        <w:t xml:space="preserve"> does directly </w:t>
      </w:r>
      <w:r w:rsidRPr="00C539B0">
        <w:rPr>
          <w:rStyle w:val="Emphasis"/>
          <w:highlight w:val="green"/>
        </w:rPr>
        <w:t>contradict</w:t>
      </w:r>
      <w:r w:rsidRPr="00C539B0">
        <w:rPr>
          <w:rStyle w:val="Emphasis"/>
        </w:rPr>
        <w:t xml:space="preserve"> the text and application of </w:t>
      </w:r>
      <w:r w:rsidRPr="00C539B0">
        <w:rPr>
          <w:rStyle w:val="Emphasis"/>
          <w:highlight w:val="green"/>
        </w:rPr>
        <w:t>the NLRA</w:t>
      </w:r>
      <w:r w:rsidRPr="00116725">
        <w:rPr>
          <w:u w:val="single"/>
        </w:rPr>
        <w:t xml:space="preserve">. As evidenced by the CEACR General Survey, the CFA Compilation, and numerous other transnational and national sources, </w:t>
      </w:r>
      <w:r w:rsidRPr="00CF4094">
        <w:rPr>
          <w:highlight w:val="green"/>
          <w:u w:val="single"/>
        </w:rPr>
        <w:t>there is</w:t>
      </w:r>
      <w:r w:rsidRPr="00116725">
        <w:rPr>
          <w:u w:val="single"/>
        </w:rPr>
        <w:t xml:space="preserve"> a </w:t>
      </w:r>
      <w:r w:rsidRPr="00C539B0">
        <w:rPr>
          <w:rStyle w:val="Emphasis"/>
        </w:rPr>
        <w:t xml:space="preserve">direct </w:t>
      </w:r>
      <w:r w:rsidRPr="00C539B0">
        <w:rPr>
          <w:rStyle w:val="Emphasis"/>
          <w:highlight w:val="green"/>
        </w:rPr>
        <w:t>conflict</w:t>
      </w:r>
      <w:r w:rsidRPr="00CF4094">
        <w:rPr>
          <w:highlight w:val="green"/>
          <w:u w:val="single"/>
        </w:rPr>
        <w:t xml:space="preserve"> between CIL and</w:t>
      </w:r>
      <w:r w:rsidRPr="00116725">
        <w:rPr>
          <w:u w:val="single"/>
        </w:rPr>
        <w:t xml:space="preserve"> the Supreme Court interpretation of the NLRA on </w:t>
      </w:r>
      <w:r w:rsidRPr="00C539B0">
        <w:rPr>
          <w:rStyle w:val="Emphasis"/>
          <w:highlight w:val="green"/>
        </w:rPr>
        <w:t>permanent replacement</w:t>
      </w:r>
      <w:r w:rsidRPr="00FC6656">
        <w:rPr>
          <w:sz w:val="16"/>
        </w:rPr>
        <w:t xml:space="preserve">, </w:t>
      </w:r>
      <w:r w:rsidRPr="00CF4094">
        <w:rPr>
          <w:highlight w:val="green"/>
          <w:u w:val="single"/>
        </w:rPr>
        <w:t>as well as</w:t>
      </w:r>
      <w:r w:rsidRPr="00116725">
        <w:rPr>
          <w:u w:val="single"/>
        </w:rPr>
        <w:t xml:space="preserve"> the NLRA provisions declining to apply federal law to strikes by </w:t>
      </w:r>
      <w:r w:rsidRPr="00C539B0">
        <w:rPr>
          <w:rStyle w:val="Emphasis"/>
          <w:highlight w:val="green"/>
        </w:rPr>
        <w:t>public employees</w:t>
      </w:r>
      <w:r w:rsidRPr="00C539B0">
        <w:rPr>
          <w:rStyle w:val="Emphasis"/>
        </w:rPr>
        <w:t>.</w:t>
      </w:r>
      <w:r w:rsidRPr="00FC6656">
        <w:rPr>
          <w:sz w:val="16"/>
        </w:rPr>
        <w:t xml:space="preserve"> Regarding the permanent replacement of private strikers, </w:t>
      </w:r>
      <w:r w:rsidRPr="00116725">
        <w:rPr>
          <w:u w:val="single"/>
        </w:rPr>
        <w:t xml:space="preserve">a different canon than the one disfavoring implied repeals becomes important. The </w:t>
      </w:r>
      <w:r w:rsidRPr="00CF4094">
        <w:rPr>
          <w:highlight w:val="green"/>
          <w:u w:val="single"/>
        </w:rPr>
        <w:t>Charming Betsy canon provides</w:t>
      </w:r>
      <w:r w:rsidRPr="00116725">
        <w:rPr>
          <w:u w:val="single"/>
        </w:rPr>
        <w:t xml:space="preserve"> that </w:t>
      </w:r>
      <w:r w:rsidRPr="00CF4094">
        <w:rPr>
          <w:highlight w:val="green"/>
          <w:u w:val="single"/>
        </w:rPr>
        <w:t xml:space="preserve">when </w:t>
      </w:r>
      <w:r w:rsidRPr="00F4002F">
        <w:rPr>
          <w:rStyle w:val="Emphasis"/>
          <w:highlight w:val="green"/>
        </w:rPr>
        <w:t>legislation</w:t>
      </w:r>
      <w:r w:rsidRPr="00CF4094">
        <w:rPr>
          <w:highlight w:val="green"/>
          <w:u w:val="single"/>
        </w:rPr>
        <w:t xml:space="preserve"> is ambiguous, it should</w:t>
      </w:r>
      <w:r w:rsidRPr="00116725">
        <w:rPr>
          <w:u w:val="single"/>
        </w:rPr>
        <w:t xml:space="preserve"> be </w:t>
      </w:r>
      <w:r w:rsidRPr="00C539B0">
        <w:rPr>
          <w:rStyle w:val="Emphasis"/>
        </w:rPr>
        <w:t xml:space="preserve">construed to </w:t>
      </w:r>
      <w:r w:rsidRPr="00C539B0">
        <w:rPr>
          <w:rStyle w:val="Emphasis"/>
          <w:highlight w:val="green"/>
        </w:rPr>
        <w:t xml:space="preserve">conform to </w:t>
      </w:r>
      <w:r w:rsidRPr="00C539B0">
        <w:rPr>
          <w:rStyle w:val="Emphasis"/>
        </w:rPr>
        <w:t xml:space="preserve">international law, including the “law of nations” or </w:t>
      </w:r>
      <w:r w:rsidRPr="00C539B0">
        <w:rPr>
          <w:rStyle w:val="Emphasis"/>
          <w:highlight w:val="green"/>
        </w:rPr>
        <w:t>CIL</w:t>
      </w:r>
      <w:r w:rsidRPr="00FC6656">
        <w:rPr>
          <w:sz w:val="16"/>
        </w:rPr>
        <w:t xml:space="preserve">.314 </w:t>
      </w:r>
      <w:r w:rsidRPr="00F4002F">
        <w:rPr>
          <w:rStyle w:val="Emphasis"/>
        </w:rPr>
        <w:t>Federal courts</w:t>
      </w:r>
      <w:r w:rsidRPr="00116725">
        <w:rPr>
          <w:u w:val="single"/>
        </w:rPr>
        <w:t xml:space="preserve"> have made clear that they will </w:t>
      </w:r>
      <w:r w:rsidRPr="00F4002F">
        <w:rPr>
          <w:rStyle w:val="Emphasis"/>
        </w:rPr>
        <w:t>apply the Charming Betsy principle</w:t>
      </w:r>
      <w:r w:rsidRPr="00116725">
        <w:rPr>
          <w:u w:val="single"/>
        </w:rPr>
        <w:t xml:space="preserve"> if conflict exists between CIL and statutes that are ambiguous or inconclusive</w:t>
      </w:r>
      <w:r w:rsidRPr="00FC6656">
        <w:rPr>
          <w:sz w:val="16"/>
        </w:rPr>
        <w:t xml:space="preserve">.315 Thus, </w:t>
      </w:r>
      <w:r w:rsidRPr="00116725">
        <w:rPr>
          <w:u w:val="single"/>
        </w:rPr>
        <w:t>a federal appeals court</w:t>
      </w:r>
      <w:r w:rsidRPr="00FC6656">
        <w:rPr>
          <w:sz w:val="16"/>
        </w:rPr>
        <w:t>—</w:t>
      </w:r>
      <w:r w:rsidRPr="00116725">
        <w:rPr>
          <w:u w:val="single"/>
        </w:rPr>
        <w:t>recognizing a “clear international prohibition” against prolonged and arbitrary detention</w:t>
      </w:r>
      <w:r w:rsidRPr="00FC6656">
        <w:rPr>
          <w:sz w:val="16"/>
        </w:rPr>
        <w:t xml:space="preserve">, </w:t>
      </w:r>
      <w:r w:rsidRPr="00116725">
        <w:rPr>
          <w:u w:val="single"/>
        </w:rPr>
        <w:t>evidenced inter alia in the ICCPR</w:t>
      </w:r>
      <w:r w:rsidRPr="00FC6656">
        <w:rPr>
          <w:sz w:val="16"/>
        </w:rPr>
        <w:t xml:space="preserve">— </w:t>
      </w:r>
      <w:r w:rsidRPr="00116725">
        <w:rPr>
          <w:u w:val="single"/>
        </w:rPr>
        <w:t xml:space="preserve">construed an ambiguous statutory </w:t>
      </w:r>
      <w:r w:rsidRPr="00F4002F">
        <w:rPr>
          <w:rStyle w:val="Emphasis"/>
        </w:rPr>
        <w:t>immigration provision so as not to authorize the indefinite detention of removable aliens</w:t>
      </w:r>
      <w:r w:rsidRPr="00FC6656">
        <w:rPr>
          <w:sz w:val="16"/>
        </w:rPr>
        <w:t xml:space="preserve">. 316 And </w:t>
      </w:r>
      <w:r w:rsidRPr="00116725">
        <w:rPr>
          <w:u w:val="single"/>
        </w:rPr>
        <w:t xml:space="preserve">a district court—relying on a ratified OECD Convention—construed an ambiguous criminal statute so as to </w:t>
      </w:r>
      <w:r w:rsidRPr="00F4002F">
        <w:rPr>
          <w:rStyle w:val="Emphasis"/>
        </w:rPr>
        <w:t>authorize</w:t>
      </w:r>
      <w:r w:rsidRPr="00116725">
        <w:rPr>
          <w:u w:val="single"/>
        </w:rPr>
        <w:t xml:space="preserve"> broad prosecution of bribes involving officials of State-owned enterprises</w:t>
      </w:r>
      <w:r w:rsidRPr="00FC6656">
        <w:rPr>
          <w:sz w:val="16"/>
        </w:rPr>
        <w:t xml:space="preserve">. 317 At the same time, lower courts have indicated that the Charming Betsy canon comes into play only when the statute itself is ambiguous. “It is always the case that clear congressional action trumps customary international law and previously enacted treaties.”318 When a statute makes plain Congress’s intent, “Article III courts . . . must enforce the intent of Congressirrespective of whether the statute conforms to customary international law.”319 In this context, </w:t>
      </w:r>
      <w:r w:rsidRPr="00116725">
        <w:rPr>
          <w:u w:val="single"/>
        </w:rPr>
        <w:t xml:space="preserve">the </w:t>
      </w:r>
      <w:r w:rsidRPr="00F4002F">
        <w:rPr>
          <w:rStyle w:val="Emphasis"/>
          <w:highlight w:val="green"/>
        </w:rPr>
        <w:t>permanent replacement</w:t>
      </w:r>
      <w:r w:rsidRPr="00F4002F">
        <w:rPr>
          <w:rStyle w:val="Emphasis"/>
        </w:rPr>
        <w:t xml:space="preserve"> doctrine </w:t>
      </w:r>
      <w:r w:rsidRPr="00F4002F">
        <w:rPr>
          <w:rStyle w:val="Emphasis"/>
          <w:highlight w:val="green"/>
        </w:rPr>
        <w:t>is</w:t>
      </w:r>
      <w:r w:rsidRPr="00F4002F">
        <w:rPr>
          <w:rStyle w:val="Emphasis"/>
        </w:rPr>
        <w:t xml:space="preserve"> best understood as reflecting not clear congressional action</w:t>
      </w:r>
      <w:r w:rsidRPr="00116725">
        <w:rPr>
          <w:u w:val="single"/>
        </w:rPr>
        <w:t xml:space="preserve"> but rather an </w:t>
      </w:r>
      <w:r w:rsidRPr="00CF4094">
        <w:rPr>
          <w:highlight w:val="green"/>
          <w:u w:val="single"/>
        </w:rPr>
        <w:t xml:space="preserve">inconclusive </w:t>
      </w:r>
      <w:r w:rsidRPr="00F4002F">
        <w:rPr>
          <w:rStyle w:val="Emphasis"/>
          <w:highlight w:val="green"/>
        </w:rPr>
        <w:t>statutory text</w:t>
      </w:r>
      <w:r w:rsidRPr="00116725">
        <w:rPr>
          <w:u w:val="single"/>
        </w:rPr>
        <w:t xml:space="preserve">. When the Supreme Court grafted a </w:t>
      </w:r>
      <w:r w:rsidRPr="00F4002F">
        <w:rPr>
          <w:rStyle w:val="Emphasis"/>
        </w:rPr>
        <w:t>permanent replacement doctrine</w:t>
      </w:r>
      <w:r w:rsidRPr="00116725">
        <w:rPr>
          <w:u w:val="single"/>
        </w:rPr>
        <w:t xml:space="preserve"> onto the NLRA in 1938</w:t>
      </w:r>
      <w:r w:rsidRPr="00FC6656">
        <w:rPr>
          <w:sz w:val="16"/>
        </w:rPr>
        <w:t xml:space="preserve">, </w:t>
      </w:r>
      <w:r w:rsidRPr="00116725">
        <w:rPr>
          <w:u w:val="single"/>
        </w:rPr>
        <w:t xml:space="preserve">it acknowledged that the </w:t>
      </w:r>
      <w:r w:rsidRPr="00CF4094">
        <w:rPr>
          <w:highlight w:val="green"/>
          <w:u w:val="single"/>
        </w:rPr>
        <w:t xml:space="preserve">doctrine was </w:t>
      </w:r>
      <w:r w:rsidRPr="00F4002F">
        <w:rPr>
          <w:rStyle w:val="Emphasis"/>
          <w:highlight w:val="green"/>
        </w:rPr>
        <w:t>not based on</w:t>
      </w:r>
      <w:r w:rsidRPr="00F4002F">
        <w:rPr>
          <w:rStyle w:val="Emphasis"/>
        </w:rPr>
        <w:t xml:space="preserve"> any </w:t>
      </w:r>
      <w:r w:rsidRPr="00F4002F">
        <w:rPr>
          <w:rStyle w:val="Emphasis"/>
          <w:highlight w:val="green"/>
        </w:rPr>
        <w:t>language in the text</w:t>
      </w:r>
      <w:r w:rsidRPr="00F4002F">
        <w:rPr>
          <w:rStyle w:val="Emphasis"/>
        </w:rPr>
        <w:t xml:space="preserve"> itself</w:t>
      </w:r>
      <w:r w:rsidRPr="00FC6656">
        <w:rPr>
          <w:sz w:val="16"/>
        </w:rPr>
        <w:t xml:space="preserve">.320 </w:t>
      </w:r>
      <w:r w:rsidRPr="00116725">
        <w:rPr>
          <w:u w:val="single"/>
        </w:rPr>
        <w:t xml:space="preserve">Statutory </w:t>
      </w:r>
      <w:r w:rsidRPr="00F4002F">
        <w:rPr>
          <w:rStyle w:val="Emphasis"/>
        </w:rPr>
        <w:t>amendments</w:t>
      </w:r>
      <w:r w:rsidRPr="00FC6656">
        <w:rPr>
          <w:sz w:val="16"/>
        </w:rPr>
        <w:t xml:space="preserve"> from 1947 and 1959 </w:t>
      </w:r>
      <w:r w:rsidRPr="00116725">
        <w:rPr>
          <w:u w:val="single"/>
        </w:rPr>
        <w:t xml:space="preserve">make no reference to an employer’s right to hire </w:t>
      </w:r>
      <w:r w:rsidRPr="00F4002F">
        <w:rPr>
          <w:rStyle w:val="Emphasis"/>
        </w:rPr>
        <w:t>permanent replacements for lawful strikers</w:t>
      </w:r>
      <w:r w:rsidRPr="00116725">
        <w:rPr>
          <w:u w:val="single"/>
        </w:rPr>
        <w:t>. The only mention of strikers not entitled to reinstatement is language added in 1947 and modified in 1959</w:t>
      </w:r>
      <w:r w:rsidRPr="00FC6656">
        <w:rPr>
          <w:sz w:val="16"/>
        </w:rPr>
        <w:t xml:space="preserve">, 321 discussing voting eligibility for employees engaged in an economic strike who are not entitled to reinstatement. </w:t>
      </w:r>
      <w:r w:rsidRPr="00FC6656">
        <w:rPr>
          <w:u w:val="single"/>
        </w:rPr>
        <w:t xml:space="preserve">But that </w:t>
      </w:r>
      <w:r w:rsidRPr="00F4002F">
        <w:rPr>
          <w:rStyle w:val="Emphasis"/>
          <w:highlight w:val="green"/>
        </w:rPr>
        <w:t>reference</w:t>
      </w:r>
      <w:r w:rsidRPr="00FC6656">
        <w:rPr>
          <w:sz w:val="16"/>
        </w:rPr>
        <w:t xml:space="preserve">, in a section titled “Representatives and Elections” that is unrelated to the section dealing with lawfulness of employer practices, </w:t>
      </w:r>
      <w:r w:rsidRPr="00CF4094">
        <w:rPr>
          <w:highlight w:val="green"/>
          <w:u w:val="single"/>
        </w:rPr>
        <w:t>is</w:t>
      </w:r>
      <w:r w:rsidRPr="00FC6656">
        <w:rPr>
          <w:u w:val="single"/>
        </w:rPr>
        <w:t xml:space="preserve"> </w:t>
      </w:r>
      <w:r w:rsidRPr="00F4002F">
        <w:rPr>
          <w:rStyle w:val="Emphasis"/>
        </w:rPr>
        <w:t xml:space="preserve">at best </w:t>
      </w:r>
      <w:r w:rsidRPr="00F4002F">
        <w:rPr>
          <w:rStyle w:val="Emphasis"/>
          <w:highlight w:val="green"/>
        </w:rPr>
        <w:t>ambiguous</w:t>
      </w:r>
      <w:r w:rsidRPr="00FC6656">
        <w:rPr>
          <w:sz w:val="16"/>
        </w:rPr>
        <w:t xml:space="preserve">. 322 </w:t>
      </w:r>
      <w:r w:rsidRPr="00FC6656">
        <w:rPr>
          <w:u w:val="single"/>
        </w:rPr>
        <w:t xml:space="preserve">Non-entitlement to reinstatement could be for </w:t>
      </w:r>
      <w:r w:rsidRPr="00F4002F">
        <w:rPr>
          <w:rStyle w:val="Emphasis"/>
        </w:rPr>
        <w:t>various reasons</w:t>
      </w:r>
      <w:r w:rsidRPr="00FC6656">
        <w:rPr>
          <w:u w:val="single"/>
        </w:rPr>
        <w:t xml:space="preserve">, and the agency is given broad discretion to </w:t>
      </w:r>
      <w:r w:rsidRPr="00F4002F">
        <w:rPr>
          <w:rStyle w:val="Emphasis"/>
        </w:rPr>
        <w:t>determine voter eligibility “consistent with the purposes and provisions of this subchapter.”</w:t>
      </w:r>
      <w:r w:rsidRPr="00FC6656">
        <w:rPr>
          <w:sz w:val="16"/>
        </w:rPr>
        <w:t xml:space="preserve">323 As previously noted, subsequent Supreme Court decisions have invoked the permanent replacement doctrine.324 Yet still other </w:t>
      </w:r>
      <w:r w:rsidRPr="00CF4094">
        <w:rPr>
          <w:u w:val="single"/>
        </w:rPr>
        <w:t>Court decisions</w:t>
      </w:r>
      <w:r w:rsidRPr="00FC6656">
        <w:rPr>
          <w:u w:val="single"/>
        </w:rPr>
        <w:t xml:space="preserve"> are arguably inconsistent with Mackay Radio</w:t>
      </w:r>
      <w:r w:rsidRPr="00FC6656">
        <w:rPr>
          <w:sz w:val="16"/>
        </w:rPr>
        <w:t xml:space="preserve">, 325 </w:t>
      </w:r>
      <w:r w:rsidRPr="00FC6656">
        <w:rPr>
          <w:u w:val="single"/>
        </w:rPr>
        <w:t xml:space="preserve">and the </w:t>
      </w:r>
      <w:r w:rsidRPr="00CF4094">
        <w:rPr>
          <w:highlight w:val="green"/>
          <w:u w:val="single"/>
        </w:rPr>
        <w:t>legal basis for</w:t>
      </w:r>
      <w:r w:rsidRPr="00FC6656">
        <w:rPr>
          <w:u w:val="single"/>
        </w:rPr>
        <w:t xml:space="preserve"> allowing </w:t>
      </w:r>
      <w:r w:rsidRPr="00CF4094">
        <w:rPr>
          <w:highlight w:val="green"/>
          <w:u w:val="single"/>
        </w:rPr>
        <w:t>permanent replacements has been</w:t>
      </w:r>
      <w:r w:rsidRPr="00FC6656">
        <w:rPr>
          <w:u w:val="single"/>
        </w:rPr>
        <w:t xml:space="preserve"> harshly </w:t>
      </w:r>
      <w:r w:rsidRPr="00CF4094">
        <w:rPr>
          <w:highlight w:val="green"/>
          <w:u w:val="single"/>
        </w:rPr>
        <w:t>criticized</w:t>
      </w:r>
      <w:r w:rsidRPr="00FC6656">
        <w:rPr>
          <w:u w:val="single"/>
        </w:rPr>
        <w:t xml:space="preserve"> for decades</w:t>
      </w:r>
      <w:r w:rsidRPr="00FC6656">
        <w:rPr>
          <w:sz w:val="16"/>
        </w:rPr>
        <w:t xml:space="preserve">.326 In the early 1990s, </w:t>
      </w:r>
      <w:r w:rsidRPr="00FC6656">
        <w:rPr>
          <w:u w:val="single"/>
        </w:rPr>
        <w:t>Congress came close to prohibiting the doctrine</w:t>
      </w:r>
      <w:r w:rsidRPr="00FC6656">
        <w:rPr>
          <w:sz w:val="16"/>
        </w:rPr>
        <w:t xml:space="preserve">, </w:t>
      </w:r>
      <w:r w:rsidRPr="00FC6656">
        <w:rPr>
          <w:u w:val="single"/>
        </w:rPr>
        <w:t>while making no textual changes during its effort</w:t>
      </w:r>
      <w:r w:rsidRPr="00FC6656">
        <w:rPr>
          <w:sz w:val="16"/>
        </w:rPr>
        <w:t xml:space="preserve">. 327 Overall, </w:t>
      </w:r>
      <w:r w:rsidRPr="00FC6656">
        <w:rPr>
          <w:u w:val="single"/>
        </w:rPr>
        <w:t>continued reliance on a controversial Court decision that construed statutory silence, and instances of congressional failures to act, would not appear to qualify as unambiguous statutory action trumping the CIL that has developed during and after the Court actions and congressional inactions, and that is now well-established</w:t>
      </w:r>
      <w:r w:rsidRPr="00FC6656">
        <w:rPr>
          <w:sz w:val="16"/>
        </w:rPr>
        <w:t xml:space="preserve">. As discussed in Section III.C, </w:t>
      </w:r>
      <w:r w:rsidRPr="00FC6656">
        <w:rPr>
          <w:u w:val="single"/>
        </w:rPr>
        <w:t xml:space="preserve">the </w:t>
      </w:r>
      <w:r w:rsidRPr="00CF4094">
        <w:rPr>
          <w:highlight w:val="green"/>
          <w:u w:val="single"/>
        </w:rPr>
        <w:t>Supreme Court</w:t>
      </w:r>
      <w:r w:rsidRPr="00FC6656">
        <w:rPr>
          <w:u w:val="single"/>
        </w:rPr>
        <w:t xml:space="preserve"> in admiralty law has </w:t>
      </w:r>
      <w:r w:rsidRPr="00CF4094">
        <w:rPr>
          <w:highlight w:val="green"/>
          <w:u w:val="single"/>
        </w:rPr>
        <w:t>overruled precedents</w:t>
      </w:r>
      <w:r w:rsidRPr="00FC6656">
        <w:rPr>
          <w:u w:val="single"/>
        </w:rPr>
        <w:t xml:space="preserve"> or distinguished statutes </w:t>
      </w:r>
      <w:r w:rsidRPr="00CF4094">
        <w:rPr>
          <w:highlight w:val="green"/>
          <w:u w:val="single"/>
        </w:rPr>
        <w:t>when newer</w:t>
      </w:r>
      <w:r w:rsidRPr="00FC6656">
        <w:rPr>
          <w:u w:val="single"/>
        </w:rPr>
        <w:t xml:space="preserve"> developments in </w:t>
      </w:r>
      <w:r w:rsidRPr="00CF4094">
        <w:rPr>
          <w:highlight w:val="green"/>
          <w:u w:val="single"/>
        </w:rPr>
        <w:t>CIL justify such action</w:t>
      </w:r>
      <w:r w:rsidRPr="00FC6656">
        <w:rPr>
          <w:sz w:val="16"/>
        </w:rPr>
        <w:t xml:space="preserve">.328 In this setting, </w:t>
      </w:r>
      <w:r w:rsidRPr="00FC6656">
        <w:rPr>
          <w:u w:val="single"/>
        </w:rPr>
        <w:t xml:space="preserve">the </w:t>
      </w:r>
      <w:r w:rsidRPr="00CF4094">
        <w:rPr>
          <w:highlight w:val="green"/>
          <w:u w:val="single"/>
        </w:rPr>
        <w:t>Charming Betsy</w:t>
      </w:r>
      <w:r w:rsidRPr="00FC6656">
        <w:rPr>
          <w:u w:val="single"/>
        </w:rPr>
        <w:t xml:space="preserve"> canon </w:t>
      </w:r>
      <w:r w:rsidRPr="00CF4094">
        <w:rPr>
          <w:highlight w:val="green"/>
          <w:u w:val="single"/>
        </w:rPr>
        <w:t>could encourage an updated</w:t>
      </w:r>
      <w:r w:rsidRPr="00FC6656">
        <w:rPr>
          <w:u w:val="single"/>
        </w:rPr>
        <w:t xml:space="preserve"> construction of the </w:t>
      </w:r>
      <w:r w:rsidRPr="00CF4094">
        <w:rPr>
          <w:highlight w:val="green"/>
          <w:u w:val="single"/>
        </w:rPr>
        <w:t>NLRA</w:t>
      </w:r>
      <w:r w:rsidRPr="00FC6656">
        <w:rPr>
          <w:sz w:val="16"/>
        </w:rPr>
        <w:t xml:space="preserve">, essentially </w:t>
      </w:r>
      <w:r w:rsidRPr="00FC6656">
        <w:rPr>
          <w:u w:val="single"/>
        </w:rPr>
        <w:t xml:space="preserve">forcing the Court to rethink its position. </w:t>
      </w:r>
      <w:r w:rsidRPr="00CF4094">
        <w:rPr>
          <w:u w:val="single"/>
        </w:rPr>
        <w:t>Regarding</w:t>
      </w:r>
      <w:r w:rsidRPr="00FC6656">
        <w:rPr>
          <w:u w:val="single"/>
        </w:rPr>
        <w:t xml:space="preserve"> the prohibition on coverage for </w:t>
      </w:r>
      <w:r w:rsidRPr="00CF4094">
        <w:rPr>
          <w:highlight w:val="green"/>
          <w:u w:val="single"/>
        </w:rPr>
        <w:t>state employers</w:t>
      </w:r>
      <w:r w:rsidRPr="00FC6656">
        <w:rPr>
          <w:u w:val="single"/>
        </w:rPr>
        <w:t xml:space="preserve">, this statutory language is unambiguous and therefore the Charming Betsy canon has no application. The conflict here </w:t>
      </w:r>
      <w:r w:rsidRPr="00CF4094">
        <w:rPr>
          <w:highlight w:val="green"/>
          <w:u w:val="single"/>
        </w:rPr>
        <w:t>involves</w:t>
      </w:r>
      <w:r w:rsidRPr="00FC6656">
        <w:rPr>
          <w:u w:val="single"/>
        </w:rPr>
        <w:t xml:space="preserve"> the United States allowing the states unlimited rights to control the strike-related activities of their employees</w:t>
      </w:r>
      <w:r w:rsidRPr="00FC6656">
        <w:rPr>
          <w:sz w:val="16"/>
        </w:rPr>
        <w:t xml:space="preserve">. As explained above, </w:t>
      </w:r>
      <w:r w:rsidRPr="00FC6656">
        <w:rPr>
          <w:u w:val="single"/>
        </w:rPr>
        <w:t xml:space="preserve">the United States has justified this </w:t>
      </w:r>
      <w:r w:rsidRPr="00CF4094">
        <w:rPr>
          <w:highlight w:val="green"/>
          <w:u w:val="single"/>
        </w:rPr>
        <w:t>unlimited right of control</w:t>
      </w:r>
      <w:r w:rsidRPr="00FC6656">
        <w:rPr>
          <w:u w:val="single"/>
        </w:rPr>
        <w:t xml:space="preserve"> before the CFA by relying on the dual sovereignty of federalism</w:t>
      </w:r>
      <w:r w:rsidRPr="00FC6656">
        <w:rPr>
          <w:sz w:val="16"/>
        </w:rPr>
        <w:t xml:space="preserve"> as a constitutional matter.329 But </w:t>
      </w:r>
      <w:r w:rsidRPr="00CF4094">
        <w:rPr>
          <w:highlight w:val="green"/>
          <w:u w:val="single"/>
        </w:rPr>
        <w:t>that is not</w:t>
      </w:r>
      <w:r w:rsidRPr="00FC6656">
        <w:rPr>
          <w:u w:val="single"/>
        </w:rPr>
        <w:t xml:space="preserve"> obviously </w:t>
      </w:r>
      <w:r w:rsidRPr="00CF4094">
        <w:rPr>
          <w:highlight w:val="green"/>
          <w:u w:val="single"/>
        </w:rPr>
        <w:t>applicable after Garcia altered the constitutional equation</w:t>
      </w:r>
      <w:r w:rsidRPr="00FC6656">
        <w:rPr>
          <w:u w:val="single"/>
        </w:rPr>
        <w:t xml:space="preserve"> in 1985 with respect to laws of general applicability</w:t>
      </w:r>
      <w:r w:rsidRPr="00FC6656">
        <w:rPr>
          <w:sz w:val="16"/>
        </w:rPr>
        <w:t xml:space="preserve">. Moreover, </w:t>
      </w:r>
      <w:r w:rsidRPr="00FC6656">
        <w:rPr>
          <w:u w:val="single"/>
        </w:rPr>
        <w:t>CIL on the right to strike comes into its own long after the 1938 exclusion ofstatesfrom federalstatutory coverage.</w:t>
      </w:r>
      <w:r w:rsidRPr="00FC6656">
        <w:rPr>
          <w:sz w:val="16"/>
        </w:rPr>
        <w:t xml:space="preserve"> Instead, </w:t>
      </w:r>
      <w:r w:rsidRPr="00FC6656">
        <w:rPr>
          <w:u w:val="single"/>
        </w:rPr>
        <w:t>the U.S.should grant injunctive relief prohibiting states from violating CIL regarding the right to strike, at least until Congress has addressed the issue.</w:t>
      </w:r>
    </w:p>
    <w:p w14:paraId="2504CC01" w14:textId="77777777" w:rsidR="001339A0" w:rsidRDefault="001339A0" w:rsidP="001339A0">
      <w:pPr>
        <w:rPr>
          <w:u w:val="single"/>
        </w:rPr>
      </w:pPr>
    </w:p>
    <w:p w14:paraId="4412F910" w14:textId="77777777" w:rsidR="001339A0" w:rsidRDefault="001339A0" w:rsidP="001339A0">
      <w:pPr>
        <w:pStyle w:val="Heading4"/>
      </w:pPr>
      <w:r>
        <w:t xml:space="preserve">Definition of </w:t>
      </w:r>
      <w:r w:rsidRPr="0026026A">
        <w:rPr>
          <w:u w:val="single"/>
        </w:rPr>
        <w:t>unconditional right to strike</w:t>
      </w:r>
      <w:r>
        <w:t>:</w:t>
      </w:r>
    </w:p>
    <w:p w14:paraId="26E9A538" w14:textId="77777777" w:rsidR="001339A0" w:rsidRDefault="001339A0" w:rsidP="001339A0">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21" w:history="1">
        <w:r w:rsidRPr="00540FF3">
          <w:rPr>
            <w:rStyle w:val="Hyperlink"/>
          </w:rPr>
          <w:t>https://play.google.com/store/books/details?id=7o1tA__v4xwC&amp;rdid=book-7o1tA__v4xwC&amp;rdot=1</w:t>
        </w:r>
      </w:hyperlink>
      <w:r>
        <w:t>] Justin</w:t>
      </w:r>
    </w:p>
    <w:p w14:paraId="6C7416FB" w14:textId="77777777" w:rsidR="001339A0" w:rsidRPr="0026026A" w:rsidRDefault="001339A0" w:rsidP="001339A0">
      <w:r>
        <w:t>**Edited for gendered language</w:t>
      </w:r>
    </w:p>
    <w:p w14:paraId="3CA27985" w14:textId="77777777" w:rsidR="001339A0" w:rsidRDefault="001339A0" w:rsidP="001339A0">
      <w:pPr>
        <w:rPr>
          <w:u w:val="single"/>
        </w:rPr>
      </w:pPr>
      <w:r w:rsidRPr="0026026A">
        <w:rPr>
          <w:sz w:val="16"/>
        </w:rPr>
        <w:t xml:space="preserve">As for </w:t>
      </w:r>
      <w:r w:rsidRPr="008D2E40">
        <w:rPr>
          <w:highlight w:val="green"/>
          <w:u w:val="single"/>
        </w:rPr>
        <w:t>the</w:t>
      </w:r>
      <w:r w:rsidRPr="00FC6656">
        <w:rPr>
          <w:u w:val="single"/>
        </w:rPr>
        <w:t xml:space="preserve"> so-called absolute or </w:t>
      </w:r>
      <w:r w:rsidRPr="008D2E40">
        <w:rPr>
          <w:rStyle w:val="Emphasis"/>
          <w:highlight w:val="green"/>
        </w:rPr>
        <w:t>unconditional</w:t>
      </w:r>
      <w:r w:rsidRPr="008D2E40">
        <w:rPr>
          <w:highlight w:val="green"/>
          <w:u w:val="single"/>
        </w:rPr>
        <w:t xml:space="preserve"> right to strike</w:t>
      </w:r>
      <w:r w:rsidRPr="00FC6656">
        <w:rPr>
          <w:u w:val="single"/>
        </w:rPr>
        <w:t xml:space="preserve">—there are no absolute rights that do not </w:t>
      </w:r>
      <w:r w:rsidRPr="008D2E40">
        <w:rPr>
          <w:highlight w:val="green"/>
          <w:u w:val="single"/>
        </w:rPr>
        <w:t>have</w:t>
      </w:r>
      <w:r w:rsidRPr="00FC6656">
        <w:rPr>
          <w:u w:val="single"/>
        </w:rPr>
        <w:t xml:space="preserve"> their </w:t>
      </w:r>
      <w:r w:rsidRPr="008D2E40">
        <w:rPr>
          <w:rStyle w:val="Emphasis"/>
          <w:highlight w:val="green"/>
        </w:rPr>
        <w:t>corresponding</w:t>
      </w:r>
      <w:r w:rsidRPr="008D2E40">
        <w:rPr>
          <w:highlight w:val="green"/>
          <w:u w:val="single"/>
        </w:rPr>
        <w:t xml:space="preserve"> </w:t>
      </w:r>
      <w:r w:rsidRPr="008D2E40">
        <w:rPr>
          <w:rStyle w:val="Emphasis"/>
          <w:highlight w:val="green"/>
        </w:rPr>
        <w:t>responsibilities</w:t>
      </w:r>
      <w:r w:rsidRPr="0026026A">
        <w:rPr>
          <w:sz w:val="16"/>
        </w:rPr>
        <w:t xml:space="preserve">. Under our American Anglo-Saxon system, </w:t>
      </w:r>
      <w:r w:rsidRPr="008D2E40">
        <w:rPr>
          <w:highlight w:val="green"/>
          <w:u w:val="single"/>
        </w:rPr>
        <w:t xml:space="preserve">each individual is </w:t>
      </w:r>
      <w:r w:rsidRPr="008D2E40">
        <w:rPr>
          <w:rStyle w:val="Emphasis"/>
          <w:highlight w:val="green"/>
        </w:rPr>
        <w:t>entitled</w:t>
      </w:r>
      <w:r w:rsidRPr="00FC6656">
        <w:rPr>
          <w:u w:val="single"/>
        </w:rPr>
        <w:t xml:space="preserve"> to the maximum of freedom, </w:t>
      </w:r>
      <w:r w:rsidRPr="008D2E40">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8D2E40">
        <w:rPr>
          <w:highlight w:val="green"/>
          <w:u w:val="single"/>
        </w:rPr>
        <w:t xml:space="preserve">[their] freedom has </w:t>
      </w:r>
      <w:r w:rsidRPr="00FC6656">
        <w:rPr>
          <w:rStyle w:val="Emphasis"/>
        </w:rPr>
        <w:t>due</w:t>
      </w:r>
      <w:r w:rsidRPr="00FC6656">
        <w:rPr>
          <w:u w:val="single"/>
        </w:rPr>
        <w:t xml:space="preserve"> </w:t>
      </w:r>
      <w:r w:rsidRPr="008D2E40">
        <w:rPr>
          <w:rStyle w:val="Emphasis"/>
          <w:highlight w:val="green"/>
        </w:rPr>
        <w:t>regard</w:t>
      </w:r>
      <w:r w:rsidRPr="008D2E40">
        <w:rPr>
          <w:highlight w:val="green"/>
          <w:u w:val="single"/>
        </w:rPr>
        <w:t xml:space="preserve"> for</w:t>
      </w:r>
      <w:r w:rsidRPr="0026026A">
        <w:rPr>
          <w:u w:val="single"/>
        </w:rPr>
        <w:t xml:space="preserve"> the </w:t>
      </w:r>
      <w:r w:rsidRPr="008D2E40">
        <w:rPr>
          <w:rStyle w:val="Emphasis"/>
          <w:highlight w:val="green"/>
        </w:rPr>
        <w:t>rights</w:t>
      </w:r>
      <w:r w:rsidRPr="008D2E40">
        <w:rPr>
          <w:highlight w:val="green"/>
          <w:u w:val="single"/>
        </w:rPr>
        <w:t xml:space="preserve"> and </w:t>
      </w:r>
      <w:r w:rsidRPr="008D2E40">
        <w:rPr>
          <w:rStyle w:val="Emphasis"/>
          <w:highlight w:val="green"/>
        </w:rPr>
        <w:t>freedoms</w:t>
      </w:r>
      <w:r w:rsidRPr="008D2E40">
        <w:rPr>
          <w:highlight w:val="green"/>
          <w:u w:val="single"/>
        </w:rPr>
        <w:t xml:space="preserve"> of </w:t>
      </w:r>
      <w:r w:rsidRPr="008D2E40">
        <w:rPr>
          <w:rStyle w:val="Emphasis"/>
          <w:highlight w:val="green"/>
        </w:rPr>
        <w:t>others</w:t>
      </w:r>
      <w:r w:rsidRPr="008D2E40">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8D2E40">
        <w:rPr>
          <w:highlight w:val="green"/>
          <w:u w:val="single"/>
        </w:rPr>
        <w:t xml:space="preserve">I take </w:t>
      </w:r>
      <w:r w:rsidRPr="008D2E40">
        <w:rPr>
          <w:rStyle w:val="Emphasis"/>
          <w:highlight w:val="green"/>
        </w:rPr>
        <w:t>issue</w:t>
      </w:r>
      <w:r w:rsidRPr="0026026A">
        <w:rPr>
          <w:sz w:val="16"/>
        </w:rPr>
        <w:t xml:space="preserve"> very definitely </w:t>
      </w:r>
      <w:r w:rsidRPr="008D2E40">
        <w:rPr>
          <w:highlight w:val="green"/>
          <w:u w:val="single"/>
        </w:rPr>
        <w:t xml:space="preserve">with the suggestion </w:t>
      </w:r>
      <w:r w:rsidRPr="00FC6656">
        <w:rPr>
          <w:u w:val="single"/>
        </w:rPr>
        <w:t xml:space="preserve">that </w:t>
      </w:r>
      <w:r w:rsidRPr="008D2E40">
        <w:rPr>
          <w:highlight w:val="green"/>
          <w:u w:val="single"/>
        </w:rPr>
        <w:t>there is an</w:t>
      </w:r>
      <w:r w:rsidRPr="0026026A">
        <w:rPr>
          <w:u w:val="single"/>
        </w:rPr>
        <w:t xml:space="preserve"> absolute and </w:t>
      </w:r>
      <w:r w:rsidRPr="008D2E40">
        <w:rPr>
          <w:rStyle w:val="Emphasis"/>
          <w:highlight w:val="green"/>
        </w:rPr>
        <w:t>unconditional</w:t>
      </w:r>
      <w:r w:rsidRPr="008D2E40">
        <w:rPr>
          <w:highlight w:val="green"/>
          <w:u w:val="single"/>
        </w:rPr>
        <w:t xml:space="preserve"> </w:t>
      </w:r>
      <w:r w:rsidRPr="008D2E40">
        <w:rPr>
          <w:rStyle w:val="Emphasis"/>
          <w:highlight w:val="green"/>
        </w:rPr>
        <w:t>right</w:t>
      </w:r>
      <w:r w:rsidRPr="008D2E40">
        <w:rPr>
          <w:highlight w:val="green"/>
          <w:u w:val="single"/>
        </w:rPr>
        <w:t xml:space="preserve"> to</w:t>
      </w:r>
      <w:r w:rsidRPr="0026026A">
        <w:rPr>
          <w:sz w:val="16"/>
        </w:rPr>
        <w:t xml:space="preserve"> concerted action (which after all is what the </w:t>
      </w:r>
      <w:r w:rsidRPr="008D2E40">
        <w:rPr>
          <w:rStyle w:val="Emphasis"/>
          <w:highlight w:val="green"/>
        </w:rPr>
        <w:t>strike</w:t>
      </w:r>
      <w:r w:rsidRPr="0026026A">
        <w:rPr>
          <w:sz w:val="16"/>
        </w:rPr>
        <w:t xml:space="preserve"> is) </w:t>
      </w:r>
      <w:r w:rsidRPr="008D2E40">
        <w:rPr>
          <w:highlight w:val="green"/>
          <w:u w:val="single"/>
        </w:rPr>
        <w:t xml:space="preserve">which </w:t>
      </w:r>
      <w:r w:rsidRPr="008D2E40">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8D2E40">
        <w:rPr>
          <w:rStyle w:val="Emphasis"/>
          <w:highlight w:val="green"/>
        </w:rPr>
        <w:t>welfare</w:t>
      </w:r>
      <w:r w:rsidRPr="008D2E40">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401CB12B" w14:textId="77777777" w:rsidR="001339A0" w:rsidRDefault="001339A0" w:rsidP="001339A0">
      <w:pPr>
        <w:rPr>
          <w:sz w:val="16"/>
        </w:rPr>
      </w:pPr>
    </w:p>
    <w:p w14:paraId="6529AA46" w14:textId="529EB864" w:rsidR="00E42E4C" w:rsidRDefault="001339A0" w:rsidP="001339A0">
      <w:pPr>
        <w:pStyle w:val="Heading3"/>
      </w:pPr>
      <w:r>
        <w:t>1AC – Framing</w:t>
      </w:r>
    </w:p>
    <w:p w14:paraId="2F13B36A" w14:textId="77777777" w:rsidR="001339A0" w:rsidRDefault="001339A0" w:rsidP="001339A0">
      <w:pPr>
        <w:pStyle w:val="Heading4"/>
        <w:rPr>
          <w:rFonts w:cs="Calibri"/>
        </w:rPr>
      </w:pPr>
      <w:r w:rsidRPr="007B328F">
        <w:rPr>
          <w:rFonts w:cs="Calibri"/>
        </w:rPr>
        <w:t xml:space="preserve">The standard is </w:t>
      </w:r>
      <w:r>
        <w:rPr>
          <w:rFonts w:cs="Calibri"/>
        </w:rPr>
        <w:t>maximizing expected wellbeing-hedonistic act util</w:t>
      </w:r>
    </w:p>
    <w:p w14:paraId="21D6C898" w14:textId="77777777" w:rsidR="001339A0" w:rsidRDefault="001339A0" w:rsidP="001339A0">
      <w:pPr>
        <w:pStyle w:val="Heading4"/>
        <w:rPr>
          <w:rFonts w:cs="Calibri"/>
        </w:rPr>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7DA35F3" w14:textId="77777777" w:rsidR="001339A0" w:rsidRDefault="001339A0" w:rsidP="001339A0">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1954971A" w14:textId="77777777" w:rsidR="001339A0" w:rsidRPr="00611177" w:rsidRDefault="001339A0" w:rsidP="001339A0">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5D358288" w14:textId="77777777" w:rsidR="001339A0" w:rsidRPr="00611177" w:rsidRDefault="001339A0" w:rsidP="001339A0">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68DD7D2F" w14:textId="77777777" w:rsidR="001339A0" w:rsidRPr="00484031" w:rsidRDefault="001339A0" w:rsidP="001339A0">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r w:rsidRPr="00611177">
        <w:rPr>
          <w:rStyle w:val="TitleChar"/>
          <w:b/>
          <w:highlight w:val="green"/>
        </w:rPr>
        <w:t>disvaluable</w:t>
      </w:r>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0F79A6DA" w14:textId="369CCFC4" w:rsidR="001339A0" w:rsidRDefault="001339A0" w:rsidP="001339A0">
      <w:pPr>
        <w:pStyle w:val="Heading3"/>
      </w:pPr>
      <w:r>
        <w:t>Sauce</w:t>
      </w:r>
    </w:p>
    <w:p w14:paraId="5A014E7E" w14:textId="77777777" w:rsidR="001339A0" w:rsidRDefault="001339A0" w:rsidP="001339A0">
      <w:pPr>
        <w:pStyle w:val="Heading4"/>
      </w:pPr>
      <w:r>
        <w:t xml:space="preserve">1] </w:t>
      </w:r>
      <w:r w:rsidRPr="00394AF8">
        <w:rPr>
          <w:rFonts w:cs="Calibri"/>
        </w:rPr>
        <w:t xml:space="preserve">Aff gets </w:t>
      </w:r>
      <w:r w:rsidRPr="00394AF8">
        <w:t>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38DB6693" w14:textId="77777777" w:rsidR="001339A0" w:rsidRPr="001339A0" w:rsidRDefault="001339A0" w:rsidP="001339A0"/>
    <w:sectPr w:rsidR="001339A0" w:rsidRPr="001339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Headings)">
    <w:altName w:val="Calibri"/>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339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D6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C73"/>
    <w:rsid w:val="00117316"/>
    <w:rsid w:val="001209B4"/>
    <w:rsid w:val="001339A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DDA"/>
    <w:rsid w:val="00274EDB"/>
    <w:rsid w:val="0027729E"/>
    <w:rsid w:val="002843B2"/>
    <w:rsid w:val="00284ED6"/>
    <w:rsid w:val="00290C5A"/>
    <w:rsid w:val="00290C92"/>
    <w:rsid w:val="0029647A"/>
    <w:rsid w:val="00296504"/>
    <w:rsid w:val="002B5511"/>
    <w:rsid w:val="002B6673"/>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59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D1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A6B"/>
    <w:rsid w:val="006F5693"/>
    <w:rsid w:val="006F5D4C"/>
    <w:rsid w:val="00705AD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BF6"/>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DB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18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6D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B6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40B"/>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948"/>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3820C4"/>
  <w14:defaultImageDpi w14:val="300"/>
  <w15:docId w15:val="{3C7360E3-61CE-FC48-B5FA-97ADB19D2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Heading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6673"/>
    <w:pPr>
      <w:spacing w:after="160" w:line="259" w:lineRule="auto"/>
    </w:pPr>
  </w:style>
  <w:style w:type="paragraph" w:styleId="Heading1">
    <w:name w:val="heading 1"/>
    <w:aliases w:val="Pocket"/>
    <w:basedOn w:val="Normal"/>
    <w:next w:val="Normal"/>
    <w:link w:val="Heading1Char"/>
    <w:uiPriority w:val="9"/>
    <w:qFormat/>
    <w:rsid w:val="002B667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6673"/>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6673"/>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B6673"/>
    <w:pPr>
      <w:keepNext/>
      <w:keepLines/>
      <w:spacing w:before="40"/>
      <w:outlineLvl w:val="3"/>
    </w:pPr>
    <w:rPr>
      <w:rFonts w:eastAsiaTheme="majorEastAsia" w:cstheme="majorBidi"/>
      <w:b/>
      <w:bCs/>
      <w:sz w:val="26"/>
    </w:rPr>
  </w:style>
  <w:style w:type="character" w:default="1" w:styleId="DefaultParagraphFont">
    <w:name w:val="Default Paragraph Font"/>
    <w:uiPriority w:val="1"/>
    <w:semiHidden/>
    <w:unhideWhenUsed/>
    <w:rsid w:val="002B66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6673"/>
  </w:style>
  <w:style w:type="character" w:customStyle="1" w:styleId="Heading1Char">
    <w:name w:val="Heading 1 Char"/>
    <w:aliases w:val="Pocket Char"/>
    <w:basedOn w:val="DefaultParagraphFont"/>
    <w:link w:val="Heading1"/>
    <w:uiPriority w:val="9"/>
    <w:rsid w:val="002B6673"/>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2B6673"/>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2B6673"/>
    <w:rPr>
      <w:rFonts w:eastAsiaTheme="majorEastAsia"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B6673"/>
    <w:rPr>
      <w:rFonts w:eastAsiaTheme="majorEastAsia" w:cstheme="majorBidi"/>
      <w:b/>
      <w:b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B6673"/>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1"/>
    <w:qFormat/>
    <w:rsid w:val="002B6673"/>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2B66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B6673"/>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2B6673"/>
    <w:rPr>
      <w:color w:val="auto"/>
      <w:u w:val="none"/>
    </w:rPr>
  </w:style>
  <w:style w:type="paragraph" w:styleId="DocumentMap">
    <w:name w:val="Document Map"/>
    <w:basedOn w:val="Normal"/>
    <w:link w:val="DocumentMapChar"/>
    <w:uiPriority w:val="99"/>
    <w:semiHidden/>
    <w:unhideWhenUsed/>
    <w:rsid w:val="002B6673"/>
    <w:rPr>
      <w:rFonts w:ascii="Lucida Grande" w:hAnsi="Lucida Grande" w:cs="Lucida Grande"/>
    </w:rPr>
  </w:style>
  <w:style w:type="character" w:customStyle="1" w:styleId="DocumentMapChar">
    <w:name w:val="Document Map Char"/>
    <w:basedOn w:val="DefaultParagraphFont"/>
    <w:link w:val="DocumentMap"/>
    <w:uiPriority w:val="99"/>
    <w:semiHidden/>
    <w:rsid w:val="002B6673"/>
    <w:rPr>
      <w:rFonts w:ascii="Lucida Grande" w:hAnsi="Lucida Grande" w:cs="Lucida Grande"/>
    </w:rPr>
  </w:style>
  <w:style w:type="character" w:styleId="UnresolvedMention">
    <w:name w:val="Unresolved Mention"/>
    <w:basedOn w:val="DefaultParagraphFont"/>
    <w:uiPriority w:val="99"/>
    <w:semiHidden/>
    <w:unhideWhenUsed/>
    <w:rsid w:val="001339A0"/>
    <w:rPr>
      <w:color w:val="605E5C"/>
      <w:shd w:val="clear" w:color="auto" w:fill="E1DFDD"/>
    </w:rPr>
  </w:style>
  <w:style w:type="paragraph" w:customStyle="1" w:styleId="textbold">
    <w:name w:val="text bold"/>
    <w:basedOn w:val="Normal"/>
    <w:link w:val="Emphasis"/>
    <w:uiPriority w:val="20"/>
    <w:qFormat/>
    <w:rsid w:val="001339A0"/>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1339A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Calibri (Headings)"/>
      <w:b w:val="0"/>
      <w:bCs w:val="0"/>
      <w:sz w:val="22"/>
      <w:szCs w:val="22"/>
    </w:rPr>
  </w:style>
  <w:style w:type="paragraph" w:styleId="ListParagraph">
    <w:name w:val="List Paragraph"/>
    <w:basedOn w:val="Normal"/>
    <w:uiPriority w:val="34"/>
    <w:qFormat/>
    <w:rsid w:val="001339A0"/>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1339A0"/>
    <w:pPr>
      <w:autoSpaceDE w:val="0"/>
      <w:autoSpaceDN w:val="0"/>
      <w:adjustRightInd w:val="0"/>
      <w:spacing w:before="480" w:line="254" w:lineRule="auto"/>
      <w:ind w:left="432" w:right="432"/>
      <w:jc w:val="both"/>
    </w:pPr>
    <w:rPr>
      <w:rFonts w:asciiTheme="minorHAnsi" w:hAnsiTheme="minorHAnsi" w:cstheme="minorBidi"/>
      <w:u w:val="single"/>
    </w:rPr>
  </w:style>
  <w:style w:type="paragraph" w:customStyle="1" w:styleId="CiteSpacing">
    <w:name w:val="Cite Spacing"/>
    <w:uiPriority w:val="4"/>
    <w:qFormat/>
    <w:rsid w:val="001339A0"/>
    <w:pPr>
      <w:spacing w:after="160" w:line="259" w:lineRule="auto"/>
    </w:pPr>
    <w:rPr>
      <w:rFonts w:asciiTheme="minorHAnsi" w:eastAsiaTheme="minorHAnsi" w:hAnsiTheme="minorHAnsi" w:cstheme="minorBidi"/>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1339A0"/>
    <w:rPr>
      <w:u w:val="single"/>
    </w:rPr>
  </w:style>
  <w:style w:type="paragraph" w:styleId="Title">
    <w:name w:val="Title"/>
    <w:aliases w:val="title,UNDERLINE,Cites and Cards,Bold Underlined,Block Heading,Read This,Non Read Text,Debate Normal"/>
    <w:basedOn w:val="Normal"/>
    <w:link w:val="TitleChar"/>
    <w:uiPriority w:val="1"/>
    <w:qFormat/>
    <w:rsid w:val="001339A0"/>
    <w:pPr>
      <w:spacing w:before="240" w:after="60"/>
      <w:ind w:left="432" w:right="432"/>
      <w:jc w:val="center"/>
      <w:outlineLvl w:val="0"/>
    </w:pPr>
    <w:rPr>
      <w:u w:val="single"/>
    </w:rPr>
  </w:style>
  <w:style w:type="character" w:customStyle="1" w:styleId="TitleChar1">
    <w:name w:val="Title Char1"/>
    <w:basedOn w:val="DefaultParagraphFont"/>
    <w:uiPriority w:val="10"/>
    <w:rsid w:val="001339A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ship.law.nd.edu/cgi/viewcontent.cgi?article=1034&amp;context=ndjicl"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s://play.google.com/store/books/details?id=7o1tA__v4xwC&amp;rdid=book-7o1tA__v4xwC&amp;rdot=1" TargetMode="External"/><Relationship Id="rId7" Type="http://schemas.openxmlformats.org/officeDocument/2006/relationships/settings" Target="settings.xml"/><Relationship Id="rId12" Type="http://schemas.openxmlformats.org/officeDocument/2006/relationships/hyperlink" Target="https://www.ilo.org/global/standards/introduction-to-international-labour-standards/the-benefits-of-international-labour-standards/lang--en/index.htm"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digitalcommons.law.yale.edu/cgi/viewcontent.cgi?article=1710&amp;context=yj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law.yale.edu/cgi/viewcontent.cgi?article=1710&amp;context=yjil"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theme" Target="theme/theme1.xml"/><Relationship Id="rId10" Type="http://schemas.openxmlformats.org/officeDocument/2006/relationships/hyperlink" Target="https://sci-hub.se/https://doi.org/10.1177/2031952521994412" TargetMode="External"/><Relationship Id="rId19" Type="http://schemas.openxmlformats.org/officeDocument/2006/relationships/hyperlink" Target="https://digitalcommons.law.yale.edu/cgi/viewcontent.cgi?article=1710&amp;context=yjil" TargetMode="External"/><Relationship Id="rId4" Type="http://schemas.openxmlformats.org/officeDocument/2006/relationships/customXml" Target="../customXml/item4.xml"/><Relationship Id="rId9" Type="http://schemas.openxmlformats.org/officeDocument/2006/relationships/hyperlink" Target="https://digitalcommons.law.yale.edu/cgi/viewcontent.cgi?article=1710&amp;context=yjil"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ansh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B81EEAB-37C9-AE4E-BC33-58E82E44D26D}">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14939</Words>
  <Characters>85155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Karan  Shah</cp:lastModifiedBy>
  <cp:revision>5</cp:revision>
  <dcterms:created xsi:type="dcterms:W3CDTF">2021-10-30T18:01:00Z</dcterms:created>
  <dcterms:modified xsi:type="dcterms:W3CDTF">2021-11-20T18:06:00Z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