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2F477" w14:textId="2DD93360" w:rsidR="000959EF" w:rsidRDefault="000959EF" w:rsidP="000959EF">
      <w:pPr>
        <w:pStyle w:val="Heading2"/>
      </w:pPr>
      <w:r>
        <w:t>1</w:t>
      </w:r>
    </w:p>
    <w:p w14:paraId="09913E79" w14:textId="47A21601" w:rsidR="000959EF" w:rsidRDefault="000959EF" w:rsidP="000959EF">
      <w:pPr>
        <w:pStyle w:val="Heading4"/>
      </w:pPr>
      <w:r w:rsidRPr="00A353FF">
        <w:t xml:space="preserve">Interpretation: The affirmative may not specify a </w:t>
      </w:r>
      <w:r>
        <w:t>just government in which a right to strike ought to be recognized</w:t>
      </w:r>
    </w:p>
    <w:p w14:paraId="24166420" w14:textId="77777777" w:rsidR="000959EF" w:rsidRPr="003E5015" w:rsidRDefault="000959EF" w:rsidP="000959EF">
      <w:pPr>
        <w:pStyle w:val="Heading4"/>
      </w:pPr>
      <w:r w:rsidRPr="003E5015">
        <w:t>“A” is an indefinite article that modifies “</w:t>
      </w:r>
      <w:r>
        <w:t xml:space="preserve">just </w:t>
      </w:r>
      <w:proofErr w:type="spellStart"/>
      <w:r>
        <w:t>governmnt</w:t>
      </w:r>
      <w:proofErr w:type="spellEnd"/>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0A0BF3FF" w14:textId="77777777" w:rsidR="000959EF" w:rsidRPr="003E5015" w:rsidRDefault="000959EF" w:rsidP="000959EF">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079C4559" w14:textId="77777777" w:rsidR="000959EF" w:rsidRDefault="000959EF" w:rsidP="000959EF">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111D144B" w14:textId="2B0A0C9C" w:rsidR="000959EF" w:rsidRDefault="000959EF" w:rsidP="000959EF">
      <w:pPr>
        <w:pStyle w:val="Heading4"/>
      </w:pPr>
      <w:r w:rsidRPr="00A353FF">
        <w:t>Violation: they spec</w:t>
      </w:r>
      <w:r>
        <w:t xml:space="preserve"> [</w:t>
      </w:r>
      <w:r>
        <w:t>India</w:t>
      </w:r>
      <w:r>
        <w:t>]</w:t>
      </w:r>
    </w:p>
    <w:p w14:paraId="23A03420" w14:textId="77777777" w:rsidR="000959EF" w:rsidRPr="00A353FF" w:rsidRDefault="000959EF" w:rsidP="000959EF">
      <w:pPr>
        <w:pStyle w:val="Heading4"/>
      </w:pPr>
      <w:r w:rsidRPr="00A353FF">
        <w:t>Standards:</w:t>
      </w:r>
    </w:p>
    <w:p w14:paraId="53FC6FEA" w14:textId="77777777" w:rsidR="000959EF" w:rsidRDefault="000959EF" w:rsidP="000959EF">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165E3801" w14:textId="77777777" w:rsidR="000959EF" w:rsidRDefault="000959EF" w:rsidP="000959EF">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w:t>
      </w:r>
    </w:p>
    <w:p w14:paraId="37974998" w14:textId="77777777" w:rsidR="000959EF" w:rsidRDefault="000959EF" w:rsidP="000959EF">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w:t>
      </w:r>
    </w:p>
    <w:p w14:paraId="41EF0DC8" w14:textId="77777777" w:rsidR="000959EF" w:rsidRDefault="000959EF" w:rsidP="000959EF">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0AF08907" w14:textId="77777777" w:rsidR="000959EF" w:rsidRDefault="000959EF" w:rsidP="000959EF">
      <w:pPr>
        <w:pStyle w:val="Heading4"/>
      </w:pPr>
      <w:r>
        <w:t>Drop the debater – a] deter future abuse and b] set better norms for debate.</w:t>
      </w:r>
    </w:p>
    <w:p w14:paraId="48C57D13" w14:textId="77777777" w:rsidR="000959EF" w:rsidRDefault="000959EF" w:rsidP="000959EF">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5B5C3032" w14:textId="77777777" w:rsidR="000959EF" w:rsidRDefault="000959EF" w:rsidP="000959EF">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AB1D663" w14:textId="7F158EBF" w:rsidR="000959EF" w:rsidRDefault="000959EF" w:rsidP="000959EF">
      <w:pPr>
        <w:pStyle w:val="Heading2"/>
      </w:pPr>
      <w:r>
        <w:t>2</w:t>
      </w:r>
    </w:p>
    <w:p w14:paraId="698548DD" w14:textId="22A90C28" w:rsidR="000959EF" w:rsidRDefault="000959EF" w:rsidP="000959EF">
      <w:pPr>
        <w:pStyle w:val="Heading4"/>
      </w:pPr>
      <w:r w:rsidRPr="006109AD">
        <w:t>Counterplan text –</w:t>
      </w:r>
      <w:r>
        <w:t xml:space="preserve"> </w:t>
      </w:r>
      <w:r>
        <w:t>India</w:t>
      </w:r>
      <w:r>
        <w:t xml:space="preserve"> ought to </w:t>
      </w:r>
    </w:p>
    <w:p w14:paraId="39493C86" w14:textId="77777777" w:rsidR="000959EF" w:rsidRDefault="000959EF" w:rsidP="000959EF">
      <w:pPr>
        <w:pStyle w:val="Heading4"/>
      </w:pPr>
      <w:r>
        <w:t xml:space="preserve">---enter a prior, binding, and genuine consultation with the International Court of Justice to issue a binding ruling to </w:t>
      </w:r>
      <w:r w:rsidRPr="006B3298">
        <w:rPr>
          <w:highlight w:val="red"/>
        </w:rPr>
        <w:t>[recognize an unconditional right</w:t>
      </w:r>
      <w:r>
        <w:rPr>
          <w:highlight w:val="red"/>
        </w:rPr>
        <w:t xml:space="preserve"> of workers</w:t>
      </w:r>
      <w:r w:rsidRPr="006B3298">
        <w:rPr>
          <w:highlight w:val="red"/>
        </w:rPr>
        <w:t xml:space="preserve"> to strike]</w:t>
      </w:r>
      <w:r>
        <w:t xml:space="preserve"> </w:t>
      </w:r>
    </w:p>
    <w:p w14:paraId="49A3AC48" w14:textId="77777777" w:rsidR="000959EF" w:rsidRDefault="000959EF" w:rsidP="000959EF">
      <w:pPr>
        <w:pStyle w:val="Heading4"/>
      </w:pPr>
      <w:r>
        <w:t>---pass a concurrent resolution that non-compliance with the International Court of Justice’s ruling constitutes an enforceable violation of Charter obligations.</w:t>
      </w:r>
    </w:p>
    <w:p w14:paraId="27152A90" w14:textId="77777777" w:rsidR="000959EF" w:rsidRPr="00B002D7" w:rsidRDefault="000959EF" w:rsidP="000959EF"/>
    <w:p w14:paraId="720E9912" w14:textId="77777777" w:rsidR="000959EF" w:rsidRDefault="000959EF" w:rsidP="000959EF">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w:t>
      </w:r>
    </w:p>
    <w:p w14:paraId="351341AC" w14:textId="77777777" w:rsidR="000959EF" w:rsidRPr="00D2046C" w:rsidRDefault="000959EF" w:rsidP="000959EF">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3ECB4052" w14:textId="77777777" w:rsidR="000959EF" w:rsidRPr="00C855A4" w:rsidRDefault="000959EF" w:rsidP="000959EF">
      <w:pPr>
        <w:rPr>
          <w:sz w:val="16"/>
        </w:rPr>
      </w:pPr>
      <w:r w:rsidRPr="00C855A4">
        <w:rPr>
          <w:sz w:val="16"/>
        </w:rPr>
        <w:t xml:space="preserve">C. FOA and the Right to Strike as </w:t>
      </w:r>
      <w:proofErr w:type="spellStart"/>
      <w:r w:rsidRPr="00C855A4">
        <w:rPr>
          <w:sz w:val="16"/>
        </w:rPr>
        <w:t>Opinio</w:t>
      </w:r>
      <w:proofErr w:type="spellEnd"/>
      <w:r w:rsidRPr="00C855A4">
        <w:rPr>
          <w:sz w:val="16"/>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C855A4">
        <w:rPr>
          <w:sz w:val="16"/>
        </w:rPr>
        <w:t>opinio</w:t>
      </w:r>
      <w:proofErr w:type="spellEnd"/>
      <w:r w:rsidRPr="00C855A4">
        <w:rPr>
          <w:sz w:val="16"/>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proofErr w:type="spellStart"/>
      <w:r w:rsidRPr="00C855A4">
        <w:rPr>
          <w:rStyle w:val="Emphasis"/>
          <w:highlight w:val="green"/>
        </w:rPr>
        <w:t>opinio</w:t>
      </w:r>
      <w:proofErr w:type="spellEnd"/>
      <w:r w:rsidRPr="00C855A4">
        <w:rPr>
          <w:rStyle w:val="Emphasis"/>
          <w:highlight w:val="green"/>
        </w:rPr>
        <w:t xml:space="preserve">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w:t>
      </w:r>
      <w:proofErr w:type="spellStart"/>
      <w:r w:rsidRPr="00C855A4">
        <w:rPr>
          <w:sz w:val="16"/>
        </w:rPr>
        <w:t>opinio</w:t>
      </w:r>
      <w:proofErr w:type="spellEnd"/>
      <w:r w:rsidRPr="00C855A4">
        <w:rPr>
          <w:sz w:val="16"/>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C855A4">
        <w:rPr>
          <w:sz w:val="16"/>
        </w:rPr>
        <w:t>opinio</w:t>
      </w:r>
      <w:proofErr w:type="spellEnd"/>
      <w:r w:rsidRPr="00C855A4">
        <w:rPr>
          <w:sz w:val="16"/>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C855A4">
        <w:rPr>
          <w:sz w:val="16"/>
        </w:rPr>
        <w:t>opinio</w:t>
      </w:r>
      <w:proofErr w:type="spellEnd"/>
      <w:r w:rsidRPr="00C855A4">
        <w:rPr>
          <w:sz w:val="16"/>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w:t>
      </w:r>
      <w:proofErr w:type="gramStart"/>
      <w:r w:rsidRPr="00C855A4">
        <w:rPr>
          <w:sz w:val="16"/>
        </w:rPr>
        <w:t>particular relevance</w:t>
      </w:r>
      <w:proofErr w:type="gramEnd"/>
      <w:r w:rsidRPr="00C855A4">
        <w:rPr>
          <w:sz w:val="16"/>
        </w:rPr>
        <w:t xml:space="preserve"> to the U.S. setting, these expansions have included assuring the right to strike for public sector employees and prohibiting the hiring of replacements for strikers. 165 A third reason to infer </w:t>
      </w:r>
      <w:proofErr w:type="spellStart"/>
      <w:r w:rsidRPr="00C855A4">
        <w:rPr>
          <w:sz w:val="16"/>
        </w:rPr>
        <w:t>opinio</w:t>
      </w:r>
      <w:proofErr w:type="spellEnd"/>
      <w:r w:rsidRPr="00C855A4">
        <w:rPr>
          <w:sz w:val="16"/>
        </w:rPr>
        <w:t xml:space="preserve">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855A4">
        <w:rPr>
          <w:sz w:val="16"/>
        </w:rPr>
        <w:t>opinio</w:t>
      </w:r>
      <w:proofErr w:type="spellEnd"/>
      <w:r w:rsidRPr="00C855A4">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166F65A7" w14:textId="77777777" w:rsidR="000959EF" w:rsidRDefault="000959EF" w:rsidP="000959EF"/>
    <w:p w14:paraId="4A9B85AB" w14:textId="77777777" w:rsidR="000959EF" w:rsidRDefault="000959EF" w:rsidP="000959EF">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4B63CE55" w14:textId="77777777" w:rsidR="000959EF" w:rsidRPr="00B002D7" w:rsidRDefault="000959EF" w:rsidP="000959EF">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w:t>
      </w:r>
      <w:proofErr w:type="gramStart"/>
      <w:r w:rsidRPr="00B002D7">
        <w:t>in particular the</w:t>
      </w:r>
      <w:proofErr w:type="gramEnd"/>
      <w:r w:rsidRPr="00B002D7">
        <w:t xml:space="preserve"> field of socio-economic human rights and equality-oriented policies), social law, constitutional and administrative law. Norbert Schuster works as a lawyer in Berlin and teaches at the University of Bremen. He </w:t>
      </w:r>
      <w:proofErr w:type="spellStart"/>
      <w:r w:rsidRPr="00B002D7">
        <w:t>specialises</w:t>
      </w:r>
      <w:proofErr w:type="spellEnd"/>
      <w:r w:rsidRPr="00B002D7">
        <w:t xml:space="preserve"> in </w:t>
      </w:r>
      <w:proofErr w:type="spellStart"/>
      <w:r w:rsidRPr="00B002D7">
        <w:t>labour</w:t>
      </w:r>
      <w:proofErr w:type="spellEnd"/>
      <w:r w:rsidRPr="00B002D7">
        <w:t xml:space="preserve"> law</w:t>
      </w:r>
      <w:r>
        <w:t>; “</w:t>
      </w:r>
      <w:r w:rsidRPr="00B002D7">
        <w:t xml:space="preserve">It </w:t>
      </w:r>
      <w:proofErr w:type="spellStart"/>
      <w:r w:rsidRPr="00B002D7">
        <w:t>ain’t</w:t>
      </w:r>
      <w:proofErr w:type="spellEnd"/>
      <w:r w:rsidRPr="00B002D7">
        <w:t xml:space="preserve"> over ‘til it’s over: the right to strike and the mandate of the ILO Committee of Experts revisited</w:t>
      </w:r>
      <w:r>
        <w:t xml:space="preserve">,” </w:t>
      </w:r>
      <w:hyperlink r:id="rId10" w:history="1">
        <w:r w:rsidRPr="00270F2A">
          <w:rPr>
            <w:rStyle w:val="Hyperlink"/>
          </w:rPr>
          <w:t>https://global-labour-university.org/fileadmin/GLU_Working_Papers/GLU_WP_No.40.pdf</w:t>
        </w:r>
      </w:hyperlink>
      <w:r>
        <w:t xml:space="preserve">] Justin </w:t>
      </w:r>
    </w:p>
    <w:p w14:paraId="4EEF6B38" w14:textId="77777777" w:rsidR="000959EF" w:rsidRDefault="000959EF" w:rsidP="000959EF">
      <w: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w:t>
      </w:r>
      <w:proofErr w:type="gramStart"/>
      <w:r w:rsidRPr="00B002D7">
        <w:rPr>
          <w:u w:val="single"/>
        </w:rPr>
        <w:t>so as to</w:t>
      </w:r>
      <w:proofErr w:type="gramEnd"/>
      <w:r w:rsidRPr="00B002D7">
        <w:rPr>
          <w:u w:val="single"/>
        </w:rPr>
        <w:t xml:space="preserve">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w:t>
      </w:r>
      <w:proofErr w:type="gramStart"/>
      <w:r w:rsidRPr="00B002D7">
        <w:rPr>
          <w:highlight w:val="green"/>
          <w:u w:val="single"/>
        </w:rPr>
        <w:t>inasmuch as</w:t>
      </w:r>
      <w:proofErr w:type="gramEnd"/>
      <w:r w:rsidRPr="00B002D7">
        <w:rPr>
          <w:highlight w:val="green"/>
          <w:u w:val="single"/>
        </w:rPr>
        <w:t xml:space="preserve">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Let us assume that such a disagreement exists here as to whether</w:t>
      </w:r>
      <w:proofErr w:type="gramStart"/>
      <w:r>
        <w:t>, in particular, Art</w:t>
      </w:r>
      <w:proofErr w:type="gramEnd"/>
      <w:r>
        <w:t xml:space="preserve"> 3 of ILO Convention No. 87 also accords trade unions a right to strike.85 The Committee of Experts and the Committee on Freedom of Association have expressed a legal opinion on this. In the current legal situation, </w:t>
      </w:r>
      <w:proofErr w:type="gramStart"/>
      <w:r>
        <w:t>i.e.</w:t>
      </w:r>
      <w:proofErr w:type="gramEnd"/>
      <w:r>
        <w:t xml:space="preserv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51F1231A" w14:textId="77777777" w:rsidR="000959EF" w:rsidRDefault="000959EF" w:rsidP="000959EF"/>
    <w:p w14:paraId="2ADC7B88" w14:textId="77777777" w:rsidR="000959EF" w:rsidRDefault="000959EF" w:rsidP="000959EF">
      <w:pPr>
        <w:pStyle w:val="Heading4"/>
      </w:pPr>
      <w:r>
        <w:t xml:space="preserve">UN Charter solves – </w:t>
      </w:r>
      <w:r w:rsidRPr="00B621A4">
        <w:rPr>
          <w:u w:val="single"/>
        </w:rPr>
        <w:t>empirics</w:t>
      </w:r>
      <w:r>
        <w:t>.</w:t>
      </w:r>
    </w:p>
    <w:p w14:paraId="677BD723" w14:textId="77777777" w:rsidR="000959EF" w:rsidRPr="002C5DE6" w:rsidRDefault="000959EF" w:rsidP="000959EF">
      <w:r w:rsidRPr="002C5DE6">
        <w:rPr>
          <w:rStyle w:val="Style13ptBold"/>
        </w:rPr>
        <w:t>Abiodun 18</w:t>
      </w:r>
      <w:r>
        <w:t xml:space="preserve"> [</w:t>
      </w:r>
      <w:proofErr w:type="spellStart"/>
      <w:r w:rsidRPr="002C5DE6">
        <w:t>Amuda-Kannike</w:t>
      </w:r>
      <w:proofErr w:type="spellEnd"/>
      <w:r w:rsidRPr="002C5DE6">
        <w:t>, and Sylvanus Abila. "A Critical Examination of the Enforcement of ICJ Decisions through the Organs of the United Nations." Journal of Law and Criminal Justice 6.1 (2018): 21-46.</w:t>
      </w:r>
      <w:r>
        <w:t xml:space="preserve"> Faculty of Law at Poma University] Elmer</w:t>
      </w:r>
    </w:p>
    <w:p w14:paraId="14F9458A" w14:textId="77777777" w:rsidR="000959EF" w:rsidRPr="00B621A4" w:rsidRDefault="000959EF" w:rsidP="000959EF">
      <w:r w:rsidRPr="00B621A4">
        <w:rPr>
          <w:u w:val="single"/>
        </w:rPr>
        <w:t xml:space="preserve">Further, the </w:t>
      </w:r>
      <w:r w:rsidRPr="00B621A4">
        <w:rPr>
          <w:highlight w:val="green"/>
          <w:u w:val="single"/>
        </w:rPr>
        <w:t xml:space="preserve">study has </w:t>
      </w:r>
      <w:r w:rsidRPr="00B621A4">
        <w:rPr>
          <w:u w:val="single"/>
        </w:rPr>
        <w:t xml:space="preserve">also </w:t>
      </w:r>
      <w:r w:rsidRPr="00B621A4">
        <w:rPr>
          <w:highlight w:val="green"/>
          <w:u w:val="single"/>
        </w:rPr>
        <w:t xml:space="preserve">shown </w:t>
      </w:r>
      <w:r w:rsidRPr="00B621A4">
        <w:rPr>
          <w:u w:val="single"/>
        </w:rPr>
        <w:t xml:space="preserve">that irrespective of the powers of the enabling statute, </w:t>
      </w:r>
      <w:r w:rsidRPr="00B621A4">
        <w:rPr>
          <w:b/>
          <w:bCs/>
          <w:highlight w:val="green"/>
          <w:u w:val="single"/>
        </w:rPr>
        <w:t xml:space="preserve">there is the need to resort to the UN Charter for such directive </w:t>
      </w:r>
      <w:r w:rsidRPr="00B621A4">
        <w:rPr>
          <w:b/>
          <w:bCs/>
          <w:u w:val="single"/>
        </w:rPr>
        <w:t xml:space="preserve">especially </w:t>
      </w:r>
      <w:r w:rsidRPr="00B621A4">
        <w:rPr>
          <w:b/>
          <w:bCs/>
          <w:highlight w:val="green"/>
          <w:u w:val="single"/>
        </w:rPr>
        <w:t>where non-compliance</w:t>
      </w:r>
      <w:r w:rsidRPr="00B621A4">
        <w:rPr>
          <w:highlight w:val="green"/>
          <w:u w:val="single"/>
        </w:rPr>
        <w:t xml:space="preserve"> </w:t>
      </w:r>
      <w:r w:rsidRPr="00B621A4">
        <w:rPr>
          <w:u w:val="single"/>
        </w:rPr>
        <w:t xml:space="preserve">of a recalcitrant party </w:t>
      </w:r>
      <w:r w:rsidRPr="00B621A4">
        <w:rPr>
          <w:highlight w:val="green"/>
          <w:u w:val="single"/>
        </w:rPr>
        <w:t xml:space="preserve">can threaten world peace </w:t>
      </w:r>
      <w:r w:rsidRPr="00B621A4">
        <w:rPr>
          <w:u w:val="single"/>
        </w:rPr>
        <w:t>and security</w:t>
      </w:r>
      <w:r w:rsidRPr="00B621A4">
        <w:t xml:space="preserve">. To this end, as was </w:t>
      </w:r>
      <w:r w:rsidRPr="00B621A4">
        <w:rPr>
          <w:highlight w:val="green"/>
          <w:u w:val="single"/>
        </w:rPr>
        <w:t>observed in the Pan Am case</w:t>
      </w:r>
      <w:r w:rsidRPr="00B621A4">
        <w:t xml:space="preserve">, the </w:t>
      </w:r>
      <w:r w:rsidRPr="00B621A4">
        <w:rPr>
          <w:highlight w:val="green"/>
          <w:u w:val="single"/>
        </w:rPr>
        <w:t xml:space="preserve">UN Charter is </w:t>
      </w:r>
      <w:r w:rsidRPr="00B621A4">
        <w:rPr>
          <w:b/>
          <w:bCs/>
          <w:highlight w:val="green"/>
          <w:u w:val="single"/>
        </w:rPr>
        <w:t>superior to any other international instrument</w:t>
      </w:r>
      <w:r w:rsidRPr="00B621A4">
        <w:rPr>
          <w:highlight w:val="green"/>
          <w:u w:val="single"/>
        </w:rPr>
        <w:t xml:space="preserve"> and its provisions </w:t>
      </w:r>
      <w:r w:rsidRPr="00B621A4">
        <w:rPr>
          <w:b/>
          <w:bCs/>
          <w:highlight w:val="green"/>
          <w:u w:val="single"/>
        </w:rPr>
        <w:t>can be the basis for judgment enforcement directives to an international organization to act</w:t>
      </w:r>
      <w:r w:rsidRPr="00B621A4">
        <w:rPr>
          <w:highlight w:val="green"/>
        </w:rPr>
        <w:t xml:space="preserve"> </w:t>
      </w:r>
      <w:r w:rsidRPr="00B621A4">
        <w:rPr>
          <w:u w:val="single"/>
        </w:rPr>
        <w:t>outside the mandates of its enabling statu8te. It</w:t>
      </w:r>
      <w:r w:rsidRPr="00B621A4">
        <w:t xml:space="preserve"> is recommended that there should be immediate restriction of the use of “veto” power on the ICJ decisions in other to give enough respect to the said decision by not only the member nations but all the nations of the World. This will bring about separation of powers to work in </w:t>
      </w:r>
      <w:proofErr w:type="spellStart"/>
      <w:r w:rsidRPr="00B621A4">
        <w:t>favour</w:t>
      </w:r>
      <w:proofErr w:type="spellEnd"/>
      <w:r w:rsidRPr="00B621A4">
        <w:t xml:space="preserve"> of the ICJ as an independent institution instead of being subjected to the control and manipulations of the permanent members of the Security Council. The provisions of Article 94(2) of the UN Charter should be amended to state that the Security Council should immediately ensure compliance with the ICJ Decisions instead of “if they deem necessary”. It is equally recommended that once there is a decision of the ICJ, it must be readily carried out by all the organs of the United Nations and any member nation who refused to carry out or support the carrying out of such decision or decisions should be the suspended or expelled from membership of the organs of the United Nations, or even from the United Nations in General in addition to the penalty of a fine of $100,000 (one hundred thousand dollars) within 3 months of non-compliance.</w:t>
      </w:r>
    </w:p>
    <w:p w14:paraId="39ED8138" w14:textId="77777777" w:rsidR="000959EF" w:rsidRDefault="000959EF" w:rsidP="000959EF"/>
    <w:p w14:paraId="67832320" w14:textId="77777777" w:rsidR="000959EF" w:rsidRPr="006109AD" w:rsidRDefault="000959EF" w:rsidP="000959EF">
      <w:pPr>
        <w:pStyle w:val="Heading4"/>
      </w:pPr>
      <w:r w:rsidRPr="006109AD">
        <w:t>ICJ legitimacy is key to global multilateralism and crisis stability – it’s declining now.</w:t>
      </w:r>
    </w:p>
    <w:p w14:paraId="2CE75E0A" w14:textId="77777777" w:rsidR="000959EF" w:rsidRPr="006109AD" w:rsidRDefault="000959EF" w:rsidP="000959EF">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11" w:history="1">
        <w:r w:rsidRPr="00270F2A">
          <w:rPr>
            <w:rStyle w:val="Hyperlink"/>
          </w:rPr>
          <w:t>https://www.un.org/pga/73/2018/10/25/report-of-the-international-court-of-justice/</w:t>
        </w:r>
      </w:hyperlink>
      <w:r>
        <w:t>] Recut Justin</w:t>
      </w:r>
    </w:p>
    <w:p w14:paraId="430F7030" w14:textId="77777777" w:rsidR="000959EF" w:rsidRDefault="000959EF" w:rsidP="000959EF">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424FB103" w14:textId="77777777" w:rsidR="000959EF" w:rsidRPr="006109AD" w:rsidRDefault="000959EF" w:rsidP="000959EF"/>
    <w:p w14:paraId="06469630" w14:textId="77777777" w:rsidR="000959EF" w:rsidRPr="006109AD" w:rsidRDefault="000959EF" w:rsidP="000959EF">
      <w:pPr>
        <w:pStyle w:val="Heading4"/>
      </w:pPr>
      <w:r w:rsidRPr="006109AD">
        <w:t xml:space="preserve">Multilateralism solves </w:t>
      </w:r>
      <w:r>
        <w:t>a bunch of impacts – even a tiny net benefit is enough to o/w the AFF</w:t>
      </w:r>
    </w:p>
    <w:p w14:paraId="5CFC5799" w14:textId="77777777" w:rsidR="000959EF" w:rsidRPr="006109AD" w:rsidRDefault="000959EF" w:rsidP="000959EF">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2" w:history="1">
        <w:r w:rsidRPr="00270F2A">
          <w:rPr>
            <w:rStyle w:val="Hyperlink"/>
            <w:rFonts w:eastAsia="Calibri"/>
          </w:rPr>
          <w:t>http://transatlantic.sais-jhu.edu/publications/books/Smarter%20Power/Chapter%204%20brimmer.pdf</w:t>
        </w:r>
      </w:hyperlink>
      <w:r>
        <w:rPr>
          <w:rFonts w:eastAsia="Calibri"/>
        </w:rPr>
        <w:t>] Recut Justin</w:t>
      </w:r>
    </w:p>
    <w:p w14:paraId="57B97035" w14:textId="77777777" w:rsidR="000959EF" w:rsidRDefault="000959EF" w:rsidP="000959EF">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p w14:paraId="7FB0B563" w14:textId="59DA0CC7" w:rsidR="000959EF" w:rsidRDefault="000959EF" w:rsidP="000959EF">
      <w:pPr>
        <w:pStyle w:val="Heading2"/>
      </w:pPr>
      <w:r>
        <w:t>3</w:t>
      </w:r>
    </w:p>
    <w:p w14:paraId="4D62CCE8" w14:textId="77777777" w:rsidR="000959EF" w:rsidRPr="00010B7D" w:rsidRDefault="000959EF" w:rsidP="000959EF">
      <w:pPr>
        <w:pStyle w:val="Heading4"/>
      </w:pPr>
      <w:r>
        <w:t xml:space="preserve">Ethics must begin </w:t>
      </w:r>
      <w:proofErr w:type="gramStart"/>
      <w:r>
        <w:t>a priori</w:t>
      </w:r>
      <w:proofErr w:type="gramEnd"/>
      <w:r>
        <w:t xml:space="preserve"> and the meta-ethic is bindingness.</w:t>
      </w:r>
    </w:p>
    <w:p w14:paraId="625BC030" w14:textId="77777777" w:rsidR="000959EF" w:rsidRDefault="000959EF" w:rsidP="000959EF">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74E8DE75" w14:textId="77777777" w:rsidR="000959EF" w:rsidRDefault="000959EF" w:rsidP="000959EF">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24AB135C" w14:textId="77777777" w:rsidR="000959EF" w:rsidRDefault="000959EF" w:rsidP="000959EF">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521276C7" w14:textId="77777777" w:rsidR="000959EF" w:rsidRDefault="000959EF" w:rsidP="000959EF">
      <w:pPr>
        <w:pStyle w:val="Heading4"/>
      </w:pPr>
      <w:r w:rsidRPr="000A5608">
        <w:t xml:space="preserve">Thus, the standard is consistency with the categorical imperative. </w:t>
      </w:r>
    </w:p>
    <w:p w14:paraId="29639FA3" w14:textId="77777777" w:rsidR="000959EF" w:rsidRDefault="000959EF" w:rsidP="000959EF">
      <w:pPr>
        <w:pStyle w:val="Heading4"/>
      </w:pPr>
      <w:r>
        <w:t xml:space="preserve">Prefer – </w:t>
      </w:r>
    </w:p>
    <w:p w14:paraId="6DF006E8" w14:textId="77777777" w:rsidR="000959EF" w:rsidRDefault="000959EF" w:rsidP="000959EF">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2C45D231" w14:textId="77777777" w:rsidR="000959EF" w:rsidRDefault="000959EF" w:rsidP="000959EF">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0D9D6876" w14:textId="77777777" w:rsidR="000959EF" w:rsidRDefault="000959EF" w:rsidP="000959EF">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6ABD355B" w14:textId="77777777" w:rsidR="000959EF" w:rsidRDefault="000959EF" w:rsidP="000959EF">
      <w:pPr>
        <w:pStyle w:val="Heading4"/>
      </w:pPr>
      <w:r>
        <w:t>Negate:</w:t>
      </w:r>
    </w:p>
    <w:p w14:paraId="77B4D0A0" w14:textId="77777777" w:rsidR="000959EF" w:rsidRDefault="000959EF" w:rsidP="000959EF">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6EB491E4" w14:textId="77777777" w:rsidR="000959EF" w:rsidRDefault="000959EF" w:rsidP="000959EF">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3" w:history="1">
        <w:r w:rsidRPr="00540FF3">
          <w:rPr>
            <w:rStyle w:val="Hyperlink"/>
          </w:rPr>
          <w:t>https://sci-hub.se/10.1017/s0003055418000321]</w:t>
        </w:r>
      </w:hyperlink>
      <w:r>
        <w:t xml:space="preserve"> Justin</w:t>
      </w:r>
    </w:p>
    <w:p w14:paraId="204DDD21" w14:textId="77777777" w:rsidR="000959EF" w:rsidRPr="00B7182E" w:rsidRDefault="000959EF" w:rsidP="000959EF">
      <w:r>
        <w:t>**Edited for ableist language</w:t>
      </w:r>
    </w:p>
    <w:p w14:paraId="6628F3DB" w14:textId="77777777" w:rsidR="000959EF" w:rsidRPr="00491885" w:rsidRDefault="000959EF" w:rsidP="000959EF">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4C201397" w14:textId="77777777" w:rsidR="000959EF" w:rsidRPr="00491885" w:rsidRDefault="000959EF" w:rsidP="000959EF">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059C6B70" w14:textId="77777777" w:rsidR="000959EF" w:rsidRDefault="000959EF" w:rsidP="000959EF">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p>
    <w:p w14:paraId="5CD26A86" w14:textId="77777777" w:rsidR="000959EF" w:rsidRDefault="000959EF" w:rsidP="000959EF">
      <w:pPr>
        <w:pStyle w:val="Heading4"/>
      </w:pPr>
      <w:r>
        <w:t xml:space="preserve">3] The </w:t>
      </w:r>
      <w:proofErr w:type="spellStart"/>
      <w:r>
        <w:t>aff</w:t>
      </w:r>
      <w:proofErr w:type="spellEnd"/>
      <w:r>
        <w:t xml:space="preserve"> homogenizes all strikes as an unconditional right which is </w:t>
      </w:r>
      <w:r w:rsidRPr="00CE7C9E">
        <w:rPr>
          <w:u w:val="single"/>
        </w:rPr>
        <w:t>unethical</w:t>
      </w:r>
      <w:r>
        <w:t>.</w:t>
      </w:r>
    </w:p>
    <w:p w14:paraId="0F4D716C" w14:textId="77777777" w:rsidR="000959EF" w:rsidRPr="00384BFB" w:rsidRDefault="000959EF" w:rsidP="000959EF">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2904EE70" w14:textId="77777777" w:rsidR="000959EF" w:rsidRPr="00CE7C9E" w:rsidRDefault="000959EF" w:rsidP="000959EF">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bookmarkEnd w:id="0"/>
    <w:p w14:paraId="3D3C0CFD" w14:textId="77777777" w:rsidR="000959EF" w:rsidRDefault="000959EF" w:rsidP="000959EF">
      <w:pPr>
        <w:pStyle w:val="Heading4"/>
      </w:pPr>
      <w:r>
        <w:t xml:space="preserve">4] </w:t>
      </w:r>
      <w:r w:rsidRPr="002D7BF0">
        <w:rPr>
          <w:u w:val="single"/>
        </w:rPr>
        <w:t>Free-riding</w:t>
      </w:r>
      <w:r>
        <w:t>: strikes are a form of free-riding since those who don’t participate still reap the benefits.</w:t>
      </w:r>
    </w:p>
    <w:p w14:paraId="43CB18A2" w14:textId="77777777" w:rsidR="000959EF" w:rsidRPr="00AB7671" w:rsidRDefault="000959EF" w:rsidP="000959EF">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4" w:history="1">
        <w:r w:rsidRPr="00AF436A">
          <w:rPr>
            <w:rStyle w:val="Hyperlink"/>
          </w:rPr>
          <w:t>https://www.forbes.com/sites/prakashdolsak/2019/09/14/climate-strikes-what-they-accomplish-and-how-they-could-have-more-impact/?sh=2244a9bd5eed</w:t>
        </w:r>
      </w:hyperlink>
      <w:r>
        <w:t>] Justin</w:t>
      </w:r>
    </w:p>
    <w:p w14:paraId="617CC6B5" w14:textId="77777777" w:rsidR="000959EF" w:rsidRPr="00DE0935" w:rsidRDefault="000959EF" w:rsidP="000959EF">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1D291DA4" w14:textId="35E983B9" w:rsidR="000959EF" w:rsidRDefault="003F4246" w:rsidP="003F4246">
      <w:pPr>
        <w:pStyle w:val="Heading2"/>
      </w:pPr>
      <w:r>
        <w:t>Case</w:t>
      </w:r>
    </w:p>
    <w:p w14:paraId="5A6F1C7C" w14:textId="77777777" w:rsidR="003F4246" w:rsidRPr="003F4246" w:rsidRDefault="003F4246" w:rsidP="003F4246"/>
    <w:p w14:paraId="08088902" w14:textId="77777777" w:rsidR="003F4246" w:rsidRPr="003F4246" w:rsidRDefault="003F4246" w:rsidP="003F4246"/>
    <w:p w14:paraId="791221A8" w14:textId="77777777" w:rsidR="000959EF" w:rsidRPr="000959EF" w:rsidRDefault="000959EF" w:rsidP="000959EF"/>
    <w:p w14:paraId="7FA9ED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59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9EF"/>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246"/>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F52"/>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C055D2"/>
  <w14:defaultImageDpi w14:val="300"/>
  <w15:docId w15:val="{FC24AADF-6AF3-1047-A507-225435F74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59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959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59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59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Tags,tags,No Spacing1111,ta"/>
    <w:basedOn w:val="Normal"/>
    <w:next w:val="Normal"/>
    <w:link w:val="Heading4Char"/>
    <w:uiPriority w:val="9"/>
    <w:unhideWhenUsed/>
    <w:qFormat/>
    <w:rsid w:val="000959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59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59EF"/>
  </w:style>
  <w:style w:type="character" w:customStyle="1" w:styleId="Heading1Char">
    <w:name w:val="Heading 1 Char"/>
    <w:aliases w:val="Pocket Char"/>
    <w:basedOn w:val="DefaultParagraphFont"/>
    <w:link w:val="Heading1"/>
    <w:uiPriority w:val="9"/>
    <w:rsid w:val="000959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59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959E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0959E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0959EF"/>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0959EF"/>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
    <w:basedOn w:val="DefaultParagraphFont"/>
    <w:link w:val="textbold"/>
    <w:uiPriority w:val="20"/>
    <w:qFormat/>
    <w:rsid w:val="000959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959E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0959EF"/>
    <w:rPr>
      <w:color w:val="auto"/>
      <w:u w:val="none"/>
    </w:rPr>
  </w:style>
  <w:style w:type="paragraph" w:styleId="DocumentMap">
    <w:name w:val="Document Map"/>
    <w:basedOn w:val="Normal"/>
    <w:link w:val="DocumentMapChar"/>
    <w:uiPriority w:val="99"/>
    <w:semiHidden/>
    <w:unhideWhenUsed/>
    <w:rsid w:val="000959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59EF"/>
    <w:rPr>
      <w:rFonts w:ascii="Lucida Grande" w:hAnsi="Lucida Grande" w:cs="Lucida Grande"/>
    </w:rPr>
  </w:style>
  <w:style w:type="paragraph" w:customStyle="1" w:styleId="textbold">
    <w:name w:val="text bold"/>
    <w:basedOn w:val="Normal"/>
    <w:link w:val="Emphasis"/>
    <w:uiPriority w:val="20"/>
    <w:qFormat/>
    <w:rsid w:val="000959EF"/>
    <w:pPr>
      <w:ind w:left="720"/>
      <w:jc w:val="both"/>
    </w:pPr>
    <w:rPr>
      <w:b/>
      <w:iCs/>
      <w:u w:val="single"/>
    </w:rPr>
  </w:style>
  <w:style w:type="paragraph" w:customStyle="1" w:styleId="Card">
    <w:name w:val="Card"/>
    <w:aliases w:val="Medium Grid 21,No Spacing31,No Spacing22,No Spacing3"/>
    <w:basedOn w:val="Heading1"/>
    <w:link w:val="Hyperlink"/>
    <w:autoRedefine/>
    <w:uiPriority w:val="99"/>
    <w:qFormat/>
    <w:rsid w:val="000959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0959EF"/>
    <w:rPr>
      <w:sz w:val="22"/>
      <w:u w:val="single"/>
    </w:rPr>
  </w:style>
  <w:style w:type="paragraph" w:styleId="NoSpacing">
    <w:name w:val="No Spacing"/>
    <w:aliases w:val="Card Format,ClearFormatting,Clear,DDI Tag,Tag Title,Dont use,Tag and Cite,No Spacing41,No Spacing6,No Spacing7,Very Small Text,No Spacing8,Dont u,No Spacing311,No Spacing111112,No Spacing51,CD - Cite,No Spacing2,tag,Note Level 2,Small Text,card"/>
    <w:basedOn w:val="Heading1"/>
    <w:autoRedefine/>
    <w:uiPriority w:val="99"/>
    <w:qFormat/>
    <w:rsid w:val="000959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959E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hub.se/10.1017/s0003055418000321%5d//SJW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ransatlantic.sais-jhu.edu/publications/books/Smarter%20Power/Chapter%204%20brimmer.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pga/73/2018/10/25/report-of-the-international-court-of-justi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global-labour-university.org/fileadmin/GLU_Working_Papers/GLU_WP_No.40.pdf"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forbes.com/sites/prakashdolsak/2019/09/14/climate-strikes-what-they-accomplish-and-how-they-could-have-more-impact/?sh=2244a9bd5e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5748</Words>
  <Characters>32768</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38440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1</cp:revision>
  <dcterms:created xsi:type="dcterms:W3CDTF">2021-10-29T22:13:00Z</dcterms:created>
  <dcterms:modified xsi:type="dcterms:W3CDTF">2021-10-29T22:44:00Z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