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5DB3E" w14:textId="77777777" w:rsidR="001D1883" w:rsidRDefault="001D1883" w:rsidP="00D255D3">
      <w:pPr>
        <w:pStyle w:val="Heading3"/>
        <w:rPr>
          <w:rFonts w:cs="Calibri"/>
        </w:rPr>
      </w:pPr>
    </w:p>
    <w:p w14:paraId="54F3B457" w14:textId="4468A66F" w:rsidR="009D4C8F" w:rsidRPr="00976E44" w:rsidRDefault="009D4C8F" w:rsidP="00D255D3">
      <w:pPr>
        <w:pStyle w:val="Heading3"/>
        <w:rPr>
          <w:rFonts w:cs="Calibri"/>
        </w:rPr>
      </w:pPr>
      <w:r w:rsidRPr="00976E44">
        <w:rPr>
          <w:rFonts w:cs="Calibri"/>
        </w:rPr>
        <w:lastRenderedPageBreak/>
        <w:t>1AC – Adv</w:t>
      </w:r>
    </w:p>
    <w:p w14:paraId="245A5ED3" w14:textId="77777777" w:rsidR="009D4C8F" w:rsidRPr="00976E44" w:rsidRDefault="009D4C8F" w:rsidP="009D4C8F">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39F489BD" w14:textId="77777777" w:rsidR="009D4C8F" w:rsidRPr="00976E44" w:rsidRDefault="009D4C8F" w:rsidP="009D4C8F">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7554DD44" w14:textId="77777777" w:rsidR="009D4C8F" w:rsidRPr="00976E44" w:rsidRDefault="009D4C8F" w:rsidP="009D4C8F">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 xml:space="preserve">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w:t>
      </w:r>
      <w:r w:rsidRPr="00976E44">
        <w:rPr>
          <w:sz w:val="16"/>
        </w:rPr>
        <w:lastRenderedPageBreak/>
        <w:t>pharmaceutical company Cipla, was only USD $1.00 per day.</w:t>
      </w:r>
      <w:r>
        <w:rPr>
          <w:sz w:val="16"/>
        </w:rPr>
        <w:t xml:space="preserve"> </w:t>
      </w: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 xml:space="preserve">Latin </w:t>
      </w:r>
      <w:r w:rsidRPr="00976E44">
        <w:rPr>
          <w:rStyle w:val="Emphasis"/>
        </w:rPr>
        <w:lastRenderedPageBreak/>
        <w:t>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Despite President Jair Bolsanaro’s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xml:space="preserve">,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w:t>
      </w:r>
      <w:r w:rsidRPr="00976E44">
        <w:rPr>
          <w:sz w:val="16"/>
        </w:rPr>
        <w:lastRenderedPageBreak/>
        <w:t>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and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53B97017" w14:textId="77777777" w:rsidR="009D4C8F" w:rsidRPr="00976E44" w:rsidRDefault="009D4C8F" w:rsidP="009D4C8F"/>
    <w:p w14:paraId="0C0DFBE6" w14:textId="77777777" w:rsidR="009D4C8F" w:rsidRPr="00F8725C" w:rsidRDefault="009D4C8F" w:rsidP="009D4C8F">
      <w:pPr>
        <w:pStyle w:val="Heading4"/>
      </w:pPr>
      <w:r w:rsidRPr="00F8725C">
        <w:t>It's not over – Latin America is still skeptical of Chinese aid but lack of US presence means it’s the only choice – try or die to capitalize on this weakness.</w:t>
      </w:r>
    </w:p>
    <w:p w14:paraId="0F855C5B" w14:textId="77777777" w:rsidR="009D4C8F" w:rsidRPr="00976E44" w:rsidRDefault="009D4C8F" w:rsidP="009D4C8F">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0" w:history="1">
        <w:r w:rsidRPr="00976E44">
          <w:rPr>
            <w:rStyle w:val="Hyperlink"/>
          </w:rPr>
          <w:t>https://thediplomat.com/2021/08/chinas-vaccine-diplomacy-in-latin-america/</w:t>
        </w:r>
      </w:hyperlink>
      <w:r w:rsidRPr="00976E44">
        <w:t>] Justin</w:t>
      </w:r>
    </w:p>
    <w:p w14:paraId="0A34D293" w14:textId="77777777" w:rsidR="009D4C8F" w:rsidRPr="00976E44" w:rsidRDefault="009D4C8F" w:rsidP="009D4C8F">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277EF7C4" w14:textId="77777777" w:rsidR="009D4C8F" w:rsidRPr="00976E44" w:rsidRDefault="009D4C8F" w:rsidP="009D4C8F">
      <w:pPr>
        <w:rPr>
          <w:u w:val="single"/>
        </w:rPr>
      </w:pPr>
      <w:r w:rsidRPr="00976E44">
        <w:rPr>
          <w:u w:val="single"/>
        </w:rPr>
        <w:lastRenderedPageBreak/>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4CF3F40B" w14:textId="77777777" w:rsidR="009D4C8F" w:rsidRPr="00976E44" w:rsidRDefault="009D4C8F" w:rsidP="009D4C8F">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45E61BAB" w14:textId="77777777" w:rsidR="009D4C8F" w:rsidRPr="00976E44" w:rsidRDefault="009D4C8F" w:rsidP="009D4C8F">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7C04883" w14:textId="77777777" w:rsidR="009D4C8F" w:rsidRPr="00976E44" w:rsidRDefault="009D4C8F" w:rsidP="009D4C8F">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16AA97D1" w14:textId="77777777" w:rsidR="009D4C8F" w:rsidRPr="00976E44" w:rsidRDefault="009D4C8F" w:rsidP="009D4C8F"/>
    <w:p w14:paraId="298EF8AE" w14:textId="77777777" w:rsidR="009D4C8F" w:rsidRPr="00976E44" w:rsidRDefault="009D4C8F" w:rsidP="009D4C8F">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6CE6F730" w14:textId="77777777" w:rsidR="009D4C8F" w:rsidRPr="00976E44" w:rsidRDefault="009D4C8F" w:rsidP="009D4C8F">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1" w:history="1">
        <w:r w:rsidRPr="00976E44">
          <w:rPr>
            <w:rStyle w:val="Hyperlink"/>
          </w:rPr>
          <w:t>https://scroll.in/article/1000114/in-latin-america-chinese-vaccine-diplomacy-is-directly-challenging-uss-declining-authority</w:t>
        </w:r>
      </w:hyperlink>
      <w:r w:rsidRPr="00976E44">
        <w:t>] Justin</w:t>
      </w:r>
    </w:p>
    <w:p w14:paraId="73A5CD51" w14:textId="77777777" w:rsidR="009D4C8F" w:rsidRPr="00976E44" w:rsidRDefault="009D4C8F" w:rsidP="009D4C8F">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3AC29762" w14:textId="77777777" w:rsidR="009D4C8F" w:rsidRPr="00976E44" w:rsidRDefault="009D4C8F" w:rsidP="009D4C8F">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56366749" w14:textId="77777777" w:rsidR="009D4C8F" w:rsidRPr="00976E44" w:rsidRDefault="009D4C8F" w:rsidP="009D4C8F">
      <w:pPr>
        <w:rPr>
          <w:sz w:val="16"/>
        </w:rPr>
      </w:pPr>
      <w:r w:rsidRPr="00976E44">
        <w:rPr>
          <w:sz w:val="16"/>
        </w:rPr>
        <w:lastRenderedPageBreak/>
        <w:t>During a global vaccine shortage, China has been able to provide 252 million doses to the world. This includes the majority of total doses made available to Latin American countries.</w:t>
      </w:r>
    </w:p>
    <w:p w14:paraId="00254FD0" w14:textId="77777777" w:rsidR="009D4C8F" w:rsidRPr="00976E44" w:rsidRDefault="009D4C8F" w:rsidP="009D4C8F">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32738E71" w14:textId="77777777" w:rsidR="009D4C8F" w:rsidRPr="00976E44" w:rsidRDefault="009D4C8F" w:rsidP="009D4C8F">
      <w:pPr>
        <w:rPr>
          <w:sz w:val="16"/>
        </w:rPr>
      </w:pPr>
      <w:r w:rsidRPr="00976E44">
        <w:rPr>
          <w:sz w:val="16"/>
        </w:rPr>
        <w:t>As of May, no other country can match this figure. Most countries are focused primarily on achieving their own herd immunity first.</w:t>
      </w:r>
    </w:p>
    <w:p w14:paraId="162C6184" w14:textId="77777777" w:rsidR="009D4C8F" w:rsidRPr="00976E44" w:rsidRDefault="009D4C8F" w:rsidP="009D4C8F">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3FA5CC5C" w14:textId="77777777" w:rsidR="009D4C8F" w:rsidRPr="00976E44" w:rsidRDefault="009D4C8F" w:rsidP="009D4C8F">
      <w:pPr>
        <w:rPr>
          <w:u w:val="single"/>
        </w:rPr>
      </w:pPr>
      <w:r w:rsidRPr="00976E44">
        <w:rPr>
          <w:u w:val="single"/>
        </w:rPr>
        <w:t xml:space="preserve">Declining </w:t>
      </w:r>
      <w:r w:rsidRPr="00976E44">
        <w:rPr>
          <w:rStyle w:val="Emphasis"/>
        </w:rPr>
        <w:t>‘Washington Consensus’</w:t>
      </w:r>
    </w:p>
    <w:p w14:paraId="569DC33B" w14:textId="77777777" w:rsidR="009D4C8F" w:rsidRPr="00976E44" w:rsidRDefault="009D4C8F" w:rsidP="009D4C8F">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D579827" w14:textId="77777777" w:rsidR="009D4C8F" w:rsidRPr="00976E44" w:rsidRDefault="009D4C8F" w:rsidP="009D4C8F">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4751BB0" w14:textId="77777777" w:rsidR="009D4C8F" w:rsidRPr="00976E44" w:rsidRDefault="009D4C8F" w:rsidP="009D4C8F">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3BB3EACE" w14:textId="77777777" w:rsidR="009D4C8F" w:rsidRPr="00976E44" w:rsidRDefault="009D4C8F" w:rsidP="009D4C8F">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0043BFB3" w14:textId="77777777" w:rsidR="009D4C8F" w:rsidRPr="00976E44" w:rsidRDefault="009D4C8F" w:rsidP="009D4C8F">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421DE7DB" w14:textId="77777777" w:rsidR="009D4C8F" w:rsidRPr="00976E44" w:rsidRDefault="009D4C8F" w:rsidP="009D4C8F">
      <w:pPr>
        <w:rPr>
          <w:sz w:val="16"/>
        </w:rPr>
      </w:pPr>
      <w:r w:rsidRPr="00976E44">
        <w:rPr>
          <w:sz w:val="16"/>
        </w:rPr>
        <w:t>Rising Chinese power</w:t>
      </w:r>
    </w:p>
    <w:p w14:paraId="10548E63" w14:textId="77777777" w:rsidR="009D4C8F" w:rsidRPr="00976E44" w:rsidRDefault="009D4C8F" w:rsidP="009D4C8F">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6E714F4" w14:textId="77777777" w:rsidR="009D4C8F" w:rsidRPr="00976E44" w:rsidRDefault="009D4C8F" w:rsidP="009D4C8F">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3A1B95D4" w14:textId="77777777" w:rsidR="009D4C8F" w:rsidRPr="00976E44" w:rsidRDefault="009D4C8F" w:rsidP="009D4C8F">
      <w:pPr>
        <w:rPr>
          <w:sz w:val="16"/>
        </w:rPr>
      </w:pPr>
      <w:r w:rsidRPr="00976E44">
        <w:rPr>
          <w:sz w:val="16"/>
        </w:rPr>
        <w:t>The US and Chinese tools for economic diplomacy are very similar in practice, yet fundamentally different in philosophy.</w:t>
      </w:r>
    </w:p>
    <w:p w14:paraId="4F4FC0E7" w14:textId="77777777" w:rsidR="009D4C8F" w:rsidRPr="00976E44" w:rsidRDefault="009D4C8F" w:rsidP="009D4C8F">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41A8446C" w14:textId="77777777" w:rsidR="009D4C8F" w:rsidRPr="00976E44" w:rsidRDefault="009D4C8F" w:rsidP="009D4C8F">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6F55A94A" w14:textId="77777777" w:rsidR="009D4C8F" w:rsidRPr="00976E44" w:rsidRDefault="009D4C8F" w:rsidP="009D4C8F">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w:t>
      </w:r>
      <w:r w:rsidRPr="00976E44">
        <w:rPr>
          <w:u w:val="single"/>
        </w:rPr>
        <w:lastRenderedPageBreak/>
        <w:t>inward-looking diplomatic approach of the United States during the Trump administration; the perennial flirtation of some Latin American countries with various forms of socialism; and the failure of the US’s own economic and other (capitalist) strategies there.</w:t>
      </w:r>
    </w:p>
    <w:p w14:paraId="444C75B7" w14:textId="77777777" w:rsidR="009D4C8F" w:rsidRPr="00976E44" w:rsidRDefault="009D4C8F" w:rsidP="009D4C8F">
      <w:pPr>
        <w:rPr>
          <w:sz w:val="16"/>
        </w:rPr>
      </w:pPr>
      <w:r w:rsidRPr="00976E44">
        <w:rPr>
          <w:sz w:val="16"/>
        </w:rPr>
        <w:t>Old international order</w:t>
      </w:r>
    </w:p>
    <w:p w14:paraId="444CD4CF" w14:textId="77777777" w:rsidR="009D4C8F" w:rsidRPr="00976E44" w:rsidRDefault="009D4C8F" w:rsidP="009D4C8F">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28CCF2E" w14:textId="77777777" w:rsidR="009D4C8F" w:rsidRPr="00976E44" w:rsidRDefault="009D4C8F" w:rsidP="009D4C8F">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EF50A93" w14:textId="77777777" w:rsidR="009D4C8F" w:rsidRPr="00976E44" w:rsidRDefault="009D4C8F" w:rsidP="009D4C8F">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19A394B4" w14:textId="77777777" w:rsidR="009D4C8F" w:rsidRPr="00976E44" w:rsidRDefault="009D4C8F" w:rsidP="009D4C8F"/>
    <w:p w14:paraId="338C7510" w14:textId="77777777" w:rsidR="009D4C8F" w:rsidRPr="00976E44" w:rsidRDefault="009D4C8F" w:rsidP="009D4C8F">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2E73BF14" w14:textId="77777777" w:rsidR="009D4C8F" w:rsidRPr="00976E44" w:rsidRDefault="009D4C8F" w:rsidP="009D4C8F">
      <w:r w:rsidRPr="00976E44">
        <w:rPr>
          <w:rStyle w:val="Style13ptBold"/>
        </w:rPr>
        <w:t>Yulis 17</w:t>
      </w:r>
      <w:r w:rsidRPr="00976E44">
        <w:t xml:space="preserve"> [Max; Major in PoliSci,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29763B0F" w14:textId="77777777" w:rsidR="009D4C8F" w:rsidRPr="00976E44" w:rsidRDefault="009D4C8F" w:rsidP="009D4C8F">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37C46B4B" w14:textId="77777777" w:rsidR="009D4C8F" w:rsidRPr="00976E44" w:rsidRDefault="009D4C8F" w:rsidP="009D4C8F">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lastRenderedPageBreak/>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0554E29C" w14:textId="77777777" w:rsidR="009D4C8F" w:rsidRPr="00976E44" w:rsidRDefault="009D4C8F" w:rsidP="009D4C8F">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24861D4A" w14:textId="77777777" w:rsidR="009D4C8F" w:rsidRPr="00976E44" w:rsidRDefault="009D4C8F" w:rsidP="009D4C8F"/>
    <w:p w14:paraId="481E7693" w14:textId="77777777" w:rsidR="009D4C8F" w:rsidRPr="00976E44" w:rsidRDefault="009D4C8F" w:rsidP="009D4C8F">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53B7C54F" w14:textId="77777777" w:rsidR="009D4C8F" w:rsidRPr="00976E44" w:rsidRDefault="009D4C8F" w:rsidP="009D4C8F">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4C1954B8" w14:textId="77777777" w:rsidR="009D4C8F" w:rsidRPr="00976E44" w:rsidRDefault="009D4C8F" w:rsidP="009D4C8F">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 xml:space="preserve">the </w:t>
      </w:r>
      <w:r w:rsidRPr="00976E44">
        <w:rPr>
          <w:u w:val="single"/>
        </w:rPr>
        <w:lastRenderedPageBreak/>
        <w:t>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02D3FBB4" w14:textId="77777777" w:rsidR="009D4C8F" w:rsidRDefault="009D4C8F" w:rsidP="009D4C8F"/>
    <w:p w14:paraId="196BC83D" w14:textId="77777777" w:rsidR="009D4C8F" w:rsidRDefault="009D4C8F" w:rsidP="009D4C8F">
      <w:pPr>
        <w:pStyle w:val="Heading3"/>
      </w:pPr>
      <w:r>
        <w:lastRenderedPageBreak/>
        <w:t>1AC – Plan</w:t>
      </w:r>
    </w:p>
    <w:p w14:paraId="613895C8" w14:textId="6F26B275" w:rsidR="009155FE" w:rsidRPr="00063A63" w:rsidRDefault="009D4C8F" w:rsidP="00063A63">
      <w:pPr>
        <w:pStyle w:val="Heading4"/>
        <w:spacing w:before="0" w:after="40" w:line="276" w:lineRule="auto"/>
        <w:rPr>
          <w:rFonts w:cs="Calibri"/>
        </w:rPr>
      </w:pPr>
      <w:r>
        <w:rPr>
          <w:rFonts w:cs="Calibri"/>
        </w:rPr>
        <w:t>Thus the plan, Resolved</w:t>
      </w:r>
      <w:r w:rsidRPr="00C05CBA">
        <w:rPr>
          <w:rFonts w:cs="Calibri"/>
        </w:rPr>
        <w:t>: The member nations of the World Trade Organization ought to reduce intellectual property protections for medicines</w:t>
      </w:r>
      <w:r>
        <w:rPr>
          <w:rFonts w:cs="Calibri"/>
        </w:rPr>
        <w:t>.</w:t>
      </w:r>
    </w:p>
    <w:p w14:paraId="1C6D539F" w14:textId="782A7AD7" w:rsidR="009155FE" w:rsidRDefault="009155FE" w:rsidP="009155FE">
      <w:r>
        <w:t>Enforcement: Young and Potts-Szeliga 21</w:t>
      </w:r>
    </w:p>
    <w:p w14:paraId="36EE9EDB" w14:textId="7B510B2D" w:rsidR="00063A63" w:rsidRDefault="009155FE" w:rsidP="009155FE">
      <w:r>
        <w:t>IP: IP for mRNA.</w:t>
      </w:r>
    </w:p>
    <w:p w14:paraId="35EB6D41" w14:textId="1186B716" w:rsidR="009155FE" w:rsidRDefault="009155FE" w:rsidP="009155FE">
      <w:pPr>
        <w:pStyle w:val="Heading4"/>
      </w:pPr>
      <w:r>
        <w:t xml:space="preserve">Reduce is suspending a benefit until a condition is met </w:t>
      </w:r>
    </w:p>
    <w:p w14:paraId="23CB2990" w14:textId="77777777" w:rsidR="009155FE" w:rsidRPr="00A242B9" w:rsidRDefault="009155FE" w:rsidP="009155FE">
      <w:r w:rsidRPr="00A242B9">
        <w:rPr>
          <w:rStyle w:val="Style13ptBold"/>
        </w:rPr>
        <w:t>USCA 01</w:t>
      </w:r>
      <w:r w:rsidRPr="00A242B9">
        <w:t xml:space="preserve"> – United States Court of Appeals, Fourth Circuit, per curiam opinion, 1/17/01, Carrington Gardens Associates, I v. Cisneros, 1 F. App'x 239 (2001), https://cite.case.law/f-appx/1/239/136950/</w:t>
      </w:r>
    </w:p>
    <w:p w14:paraId="44062FB6" w14:textId="77777777" w:rsidR="009155FE" w:rsidRPr="008A3C47" w:rsidRDefault="009155FE" w:rsidP="009155FE">
      <w:pPr>
        <w:rPr>
          <w:sz w:val="16"/>
        </w:rPr>
      </w:pPr>
      <w:r w:rsidRPr="00A242B9">
        <w:rPr>
          <w:rStyle w:val="StyleUnderline"/>
        </w:rPr>
        <w:t>The housing contract</w:t>
      </w:r>
      <w:r w:rsidRPr="00A242B9">
        <w:rPr>
          <w:sz w:val="16"/>
        </w:rPr>
        <w:t xml:space="preserve">, which specifically incorporates HUD’s regulations in section 3, </w:t>
      </w:r>
      <w:r w:rsidRPr="00A242B9">
        <w:rPr>
          <w:rStyle w:val="StyleUnderline"/>
        </w:rPr>
        <w:t>establishes</w:t>
      </w:r>
      <w:r w:rsidRPr="00A242B9">
        <w:rPr>
          <w:sz w:val="16"/>
        </w:rPr>
        <w:t xml:space="preserve"> other </w:t>
      </w:r>
      <w:r w:rsidRPr="00A242B9">
        <w:rPr>
          <w:rStyle w:val="StyleUnderline"/>
        </w:rPr>
        <w:t>remedies</w:t>
      </w:r>
      <w:r w:rsidRPr="00A242B9">
        <w:rPr>
          <w:sz w:val="16"/>
        </w:rPr>
        <w:t xml:space="preserve"> that </w:t>
      </w:r>
      <w:r w:rsidRPr="00A242B9">
        <w:rPr>
          <w:rStyle w:val="StyleUnderline"/>
        </w:rPr>
        <w:t>HUD may exercise if an owner is in default</w:t>
      </w:r>
      <w:r w:rsidRPr="00A242B9">
        <w:rPr>
          <w:sz w:val="16"/>
        </w:rPr>
        <w:t xml:space="preserve"> on its obligations. Section 26 of the housing contract states that if an owner is in default, then </w:t>
      </w:r>
      <w:r w:rsidRPr="00A242B9">
        <w:rPr>
          <w:rStyle w:val="StyleUnderline"/>
        </w:rPr>
        <w:t>HUD may</w:t>
      </w:r>
      <w:r w:rsidRPr="00A242B9">
        <w:rPr>
          <w:sz w:val="16"/>
        </w:rPr>
        <w:t>:</w:t>
      </w:r>
    </w:p>
    <w:p w14:paraId="3C612E03" w14:textId="77777777" w:rsidR="009155FE" w:rsidRPr="008A3C47" w:rsidRDefault="009155FE" w:rsidP="009155FE">
      <w:pPr>
        <w:rPr>
          <w:sz w:val="16"/>
        </w:rPr>
      </w:pPr>
      <w:r w:rsidRPr="008A3C47">
        <w:rPr>
          <w:sz w:val="16"/>
        </w:rPr>
        <w:t>(a) Pay housing assistance directly to the mortgagee in the event of default under mortgage.</w:t>
      </w:r>
    </w:p>
    <w:p w14:paraId="772EFB35" w14:textId="77777777" w:rsidR="009155FE" w:rsidRPr="008A3C47" w:rsidRDefault="009155FE" w:rsidP="009155FE">
      <w:pPr>
        <w:rPr>
          <w:sz w:val="16"/>
        </w:rPr>
      </w:pPr>
      <w:r w:rsidRPr="008A3C47">
        <w:rPr>
          <w:sz w:val="16"/>
        </w:rPr>
        <w:t xml:space="preserve">*242(b) </w:t>
      </w:r>
      <w:r w:rsidRPr="00061420">
        <w:rPr>
          <w:rStyle w:val="Emphasis"/>
          <w:highlight w:val="green"/>
        </w:rPr>
        <w:t>Reduce or suspend</w:t>
      </w:r>
      <w:r w:rsidRPr="008A3C47">
        <w:rPr>
          <w:sz w:val="16"/>
        </w:rPr>
        <w:t xml:space="preserve"> housing </w:t>
      </w:r>
      <w:r w:rsidRPr="00EB112C">
        <w:rPr>
          <w:rStyle w:val="StyleUnderline"/>
        </w:rPr>
        <w:t xml:space="preserve">assistance </w:t>
      </w:r>
      <w:r w:rsidRPr="00061420">
        <w:rPr>
          <w:rStyle w:val="StyleUnderline"/>
          <w:highlight w:val="green"/>
        </w:rPr>
        <w:t>payments until</w:t>
      </w:r>
      <w:r w:rsidRPr="00EB112C">
        <w:rPr>
          <w:rStyle w:val="StyleUnderline"/>
        </w:rPr>
        <w:t xml:space="preserve"> the </w:t>
      </w:r>
      <w:r w:rsidRPr="00B84B02">
        <w:rPr>
          <w:rStyle w:val="StyleUnderline"/>
          <w:highlight w:val="green"/>
        </w:rPr>
        <w:t>default</w:t>
      </w:r>
      <w:r w:rsidRPr="00A242B9">
        <w:rPr>
          <w:sz w:val="16"/>
        </w:rPr>
        <w:t xml:space="preserve"> under this Contract </w:t>
      </w:r>
      <w:r w:rsidRPr="00D56175">
        <w:rPr>
          <w:rStyle w:val="StyleUnderline"/>
          <w:highlight w:val="green"/>
        </w:rPr>
        <w:t>has been cured</w:t>
      </w:r>
      <w:r w:rsidRPr="00A242B9">
        <w:rPr>
          <w:sz w:val="16"/>
        </w:rPr>
        <w:t xml:space="preserve"> to the satisfaction</w:t>
      </w:r>
      <w:r w:rsidRPr="008A3C47">
        <w:rPr>
          <w:sz w:val="16"/>
        </w:rPr>
        <w:t xml:space="preserve"> of HUD.</w:t>
      </w:r>
    </w:p>
    <w:p w14:paraId="60682374" w14:textId="77777777" w:rsidR="009155FE" w:rsidRPr="008A3C47" w:rsidRDefault="009155FE" w:rsidP="009155FE">
      <w:pPr>
        <w:rPr>
          <w:sz w:val="16"/>
        </w:rPr>
      </w:pPr>
      <w:r w:rsidRPr="008A3C47">
        <w:rPr>
          <w:sz w:val="16"/>
        </w:rPr>
        <w:t>(c) Withhold housing assistance payments until the default under this Contract has been cured to the satisfaction of HUD.</w:t>
      </w:r>
    </w:p>
    <w:p w14:paraId="1624F515" w14:textId="77777777" w:rsidR="009155FE" w:rsidRPr="008A3C47" w:rsidRDefault="009155FE" w:rsidP="009155FE">
      <w:pPr>
        <w:rPr>
          <w:sz w:val="16"/>
        </w:rPr>
      </w:pPr>
      <w:r w:rsidRPr="008A3C47">
        <w:rPr>
          <w:sz w:val="16"/>
        </w:rPr>
        <w:t>Therefore, if HUD finds that an owner has violated its obligations under the housing contract to maintain decent, safe, and sanitary housing, HUD may abate payments pursuant to 24 C.F.R. § 886.123 or exercise a remedy listed in section 26 of the housing contract. In this connection, we note that the meaning of abate is “a: to bring entirely down; demolish: put an end to: do away with.” Webster’s Third New Int’l Dictionary 2 (1971).</w:t>
      </w:r>
    </w:p>
    <w:p w14:paraId="22DAD53D" w14:textId="77777777" w:rsidR="009155FE" w:rsidRPr="008A3C47" w:rsidRDefault="009155FE" w:rsidP="009155FE">
      <w:pPr>
        <w:rPr>
          <w:sz w:val="16"/>
        </w:rPr>
      </w:pPr>
      <w:r w:rsidRPr="008A3C47">
        <w:rPr>
          <w:sz w:val="16"/>
        </w:rPr>
        <w:t>Under the regulation, 24 C.F.R. § 886.123, the payments to Carrington could have been stopped for good, the contract terms aside. For construction of the contract terms, we adopt the wording of the opinion of the district court for the next three paragraphs of this opinion which follow:</w:t>
      </w:r>
    </w:p>
    <w:p w14:paraId="403337E3" w14:textId="77777777" w:rsidR="009155FE" w:rsidRPr="008A3C47" w:rsidRDefault="009155FE" w:rsidP="009155FE">
      <w:pPr>
        <w:rPr>
          <w:sz w:val="16"/>
        </w:rPr>
      </w:pPr>
      <w:r w:rsidRPr="008A3C47">
        <w:rPr>
          <w:sz w:val="16"/>
        </w:rPr>
        <w:t xml:space="preserve">The plain meaning of the word “withhold” is “[tjo retain in one’s possession that which belongs to or is claimed or sought by another.... To refrain from paying that which is due.” Black’s Law Dictionary 1602 (6th ed.1990). Using this common meaning of “withhold,” HUD clearly has the authority to retain housing assistance payments. But, the HAP Contract’s withhold remedy also limits how long the funds may be retained. The housing assistance payments may be retained only “until the default under this Contract has been cured.” Tr.Ex. 8, § 26. Once the default is cured, HUD may no longer keep the retained funds. This remedy, therefore, creates a trust type relationship where HUD has the authority to keep </w:t>
      </w:r>
      <w:r w:rsidRPr="00A242B9">
        <w:rPr>
          <w:sz w:val="16"/>
        </w:rPr>
        <w:t xml:space="preserve">the withheld funds on the owner’s account only while the owner is in default and thereafter must pay out the withheld funds when the default is cured. In contrast, </w:t>
      </w:r>
      <w:r w:rsidRPr="00A242B9">
        <w:rPr>
          <w:rStyle w:val="StyleUnderline"/>
        </w:rPr>
        <w:t>the reduce-or-suspend remedy suggests a more permanent forfeiture of</w:t>
      </w:r>
      <w:r w:rsidRPr="00A242B9">
        <w:rPr>
          <w:sz w:val="16"/>
        </w:rPr>
        <w:t xml:space="preserve"> funds. The word “</w:t>
      </w:r>
      <w:r w:rsidRPr="00A242B9">
        <w:rPr>
          <w:rStyle w:val="StyleUnderline"/>
        </w:rPr>
        <w:t>suspend” means “[t]o interrupt; to cause to cease for a time; to postpone; to stay, delay, or hinder;</w:t>
      </w:r>
      <w:r w:rsidRPr="00A242B9">
        <w:rPr>
          <w:sz w:val="16"/>
        </w:rPr>
        <w:t xml:space="preserve"> </w:t>
      </w:r>
      <w:r w:rsidRPr="00A242B9">
        <w:rPr>
          <w:rStyle w:val="StyleUnderline"/>
        </w:rPr>
        <w:t>to discontinue temporarily, but with an expectation or purpose of resumption</w:t>
      </w:r>
      <w:r w:rsidRPr="00A242B9">
        <w:rPr>
          <w:sz w:val="16"/>
        </w:rPr>
        <w:t>.” Black’s Law Dictionary 1446 (6th ed.1990). “</w:t>
      </w:r>
      <w:r w:rsidRPr="00A242B9">
        <w:rPr>
          <w:rStyle w:val="StyleUnderline"/>
        </w:rPr>
        <w:t>Reduce” means “to diminish in size, amount, extent, or number</w:t>
      </w:r>
      <w:r w:rsidRPr="00A242B9">
        <w:rPr>
          <w:sz w:val="16"/>
        </w:rPr>
        <w:t xml:space="preserve">.” Webster’s Third New International Dictionary 1905 (1981).3 </w:t>
      </w:r>
      <w:r w:rsidRPr="00A242B9">
        <w:rPr>
          <w:rStyle w:val="StyleUnderline"/>
        </w:rPr>
        <w:t>Based on these definitions</w:t>
      </w:r>
      <w:r w:rsidRPr="00223B1E">
        <w:rPr>
          <w:rStyle w:val="StyleUnderline"/>
        </w:rPr>
        <w:t>, “</w:t>
      </w:r>
      <w:r w:rsidRPr="00061420">
        <w:rPr>
          <w:rStyle w:val="Emphasis"/>
          <w:highlight w:val="green"/>
        </w:rPr>
        <w:t>reduce” is</w:t>
      </w:r>
      <w:r w:rsidRPr="00223B1E">
        <w:rPr>
          <w:rStyle w:val="Emphasis"/>
        </w:rPr>
        <w:t xml:space="preserve"> merely </w:t>
      </w:r>
      <w:r w:rsidRPr="00061420">
        <w:rPr>
          <w:rStyle w:val="Emphasis"/>
          <w:highlight w:val="green"/>
        </w:rPr>
        <w:t>a less radical form of “suspend</w:t>
      </w:r>
      <w:r w:rsidRPr="008A3C47">
        <w:rPr>
          <w:sz w:val="16"/>
        </w:rPr>
        <w:t>.”</w:t>
      </w:r>
    </w:p>
    <w:p w14:paraId="07F3D82F" w14:textId="77777777" w:rsidR="009155FE" w:rsidRPr="008A3C47" w:rsidRDefault="009155FE" w:rsidP="009155FE">
      <w:pPr>
        <w:rPr>
          <w:sz w:val="16"/>
        </w:rPr>
      </w:pPr>
      <w:r w:rsidRPr="00A242B9">
        <w:rPr>
          <w:rStyle w:val="StyleUnderline"/>
        </w:rPr>
        <w:t xml:space="preserve">Under the common meanings of </w:t>
      </w:r>
      <w:r w:rsidRPr="00061420">
        <w:rPr>
          <w:rStyle w:val="StyleUnderline"/>
          <w:highlight w:val="green"/>
        </w:rPr>
        <w:t>“reduce</w:t>
      </w:r>
      <w:r w:rsidRPr="00223B1E">
        <w:rPr>
          <w:rStyle w:val="StyleUnderline"/>
        </w:rPr>
        <w:t xml:space="preserve">” and “suspend,” </w:t>
      </w:r>
      <w:r w:rsidRPr="00A242B9">
        <w:rPr>
          <w:rStyle w:val="StyleUnderline"/>
        </w:rPr>
        <w:t xml:space="preserve">HUD has the authority to </w:t>
      </w:r>
      <w:r w:rsidRPr="00061420">
        <w:rPr>
          <w:rStyle w:val="StyleUnderline"/>
          <w:highlight w:val="green"/>
        </w:rPr>
        <w:t>discontinue</w:t>
      </w:r>
      <w:r w:rsidRPr="00223B1E">
        <w:rPr>
          <w:rStyle w:val="StyleUnderline"/>
        </w:rPr>
        <w:t xml:space="preserve"> housing assistance </w:t>
      </w:r>
      <w:r w:rsidRPr="00A242B9">
        <w:rPr>
          <w:rStyle w:val="StyleUnderline"/>
        </w:rPr>
        <w:t>payments</w:t>
      </w:r>
      <w:r w:rsidRPr="008A3C47">
        <w:rPr>
          <w:sz w:val="16"/>
        </w:rPr>
        <w:t xml:space="preserve"> entirely or diminish the size of the payments </w:t>
      </w:r>
      <w:r w:rsidRPr="00223B1E">
        <w:rPr>
          <w:rStyle w:val="StyleUnderline"/>
        </w:rPr>
        <w:t>while Carrington Gardens is in default</w:t>
      </w:r>
      <w:r w:rsidRPr="008A3C47">
        <w:rPr>
          <w:sz w:val="16"/>
        </w:rPr>
        <w:t xml:space="preserve">. Like the withhold remedy, </w:t>
      </w:r>
      <w:r w:rsidRPr="00223B1E">
        <w:rPr>
          <w:rStyle w:val="StyleUnderline"/>
        </w:rPr>
        <w:t>this remedy limits how long payments may be discontinued or diminished</w:t>
      </w:r>
      <w:r w:rsidRPr="008A3C47">
        <w:rPr>
          <w:sz w:val="16"/>
        </w:rPr>
        <w:t xml:space="preserve">— </w:t>
      </w:r>
      <w:r w:rsidRPr="00223B1E">
        <w:rPr>
          <w:rStyle w:val="Emphasis"/>
        </w:rPr>
        <w:t>only “</w:t>
      </w:r>
      <w:r w:rsidRPr="00061420">
        <w:rPr>
          <w:rStyle w:val="Emphasis"/>
          <w:highlight w:val="green"/>
        </w:rPr>
        <w:t>until</w:t>
      </w:r>
      <w:r w:rsidRPr="00223B1E">
        <w:rPr>
          <w:rStyle w:val="Emphasis"/>
        </w:rPr>
        <w:t xml:space="preserve"> the </w:t>
      </w:r>
      <w:r w:rsidRPr="00061420">
        <w:rPr>
          <w:rStyle w:val="Emphasis"/>
          <w:highlight w:val="green"/>
        </w:rPr>
        <w:t>default</w:t>
      </w:r>
      <w:r w:rsidRPr="008A3C47">
        <w:rPr>
          <w:sz w:val="16"/>
        </w:rPr>
        <w:t xml:space="preserve"> under this Contract </w:t>
      </w:r>
      <w:r w:rsidRPr="00061420">
        <w:rPr>
          <w:rStyle w:val="Emphasis"/>
          <w:highlight w:val="green"/>
        </w:rPr>
        <w:t>has been cured</w:t>
      </w:r>
      <w:r w:rsidRPr="008A3C47">
        <w:rPr>
          <w:sz w:val="16"/>
        </w:rPr>
        <w:t xml:space="preserve">.” Tr.Ex. 8, § 26. </w:t>
      </w:r>
      <w:r w:rsidRPr="00312625">
        <w:rPr>
          <w:rStyle w:val="StyleUnderline"/>
        </w:rPr>
        <w:lastRenderedPageBreak/>
        <w:t>After the default has been cured, therefore,</w:t>
      </w:r>
      <w:r w:rsidRPr="008A3C47">
        <w:rPr>
          <w:sz w:val="16"/>
        </w:rPr>
        <w:t xml:space="preserve"> </w:t>
      </w:r>
      <w:r w:rsidRPr="008A3C47">
        <w:rPr>
          <w:rStyle w:val="StyleUnderline"/>
        </w:rPr>
        <w:t>HUD must resume full housing assistance payments</w:t>
      </w:r>
      <w:r w:rsidRPr="008A3C47">
        <w:rPr>
          <w:sz w:val="16"/>
        </w:rPr>
        <w:t>. Unlike the withhold remedy, however, under the plain language of the reduce-or-suspend remedy, HUD is under no obligation to pay out any discontinued or diminished funds. The words “suspend” or “reduce” furnish no inference or suggestion that HUD is obligated to retain suspended or reduced funds on the owner’s account until a default is cured. This language in the HAP Contract speaks *243only to HUD’s obligation to begin full payments after the default is cured. JA 546-548.</w:t>
      </w:r>
    </w:p>
    <w:p w14:paraId="30B938F3" w14:textId="77777777" w:rsidR="009155FE" w:rsidRDefault="009155FE" w:rsidP="009155FE">
      <w:pPr>
        <w:rPr>
          <w:sz w:val="16"/>
        </w:rPr>
      </w:pPr>
      <w:r w:rsidRPr="008A3C47">
        <w:rPr>
          <w:sz w:val="16"/>
        </w:rPr>
        <w:t>Thus, under the applicable regulations and the contract between the parties, the Secretary could have imposed any remedy from abatement of the payments to suspension of them for a time, with or without making up the suspended payments.</w:t>
      </w:r>
    </w:p>
    <w:p w14:paraId="33420EF5" w14:textId="4CCA8CC1" w:rsidR="009155FE" w:rsidRPr="009155FE" w:rsidRDefault="009155FE" w:rsidP="009155FE"/>
    <w:p w14:paraId="7168CBD3" w14:textId="77777777" w:rsidR="009D4C8F" w:rsidRPr="00361031" w:rsidRDefault="009D4C8F" w:rsidP="009D4C8F"/>
    <w:p w14:paraId="5C605A1B" w14:textId="77777777" w:rsidR="009D4C8F" w:rsidRPr="00361031" w:rsidRDefault="009D4C8F" w:rsidP="009D4C8F">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776DB2C5" w14:textId="77777777" w:rsidR="009D4C8F" w:rsidRPr="00361031" w:rsidRDefault="009D4C8F" w:rsidP="009D4C8F">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46701E29" w14:textId="77777777" w:rsidR="009D4C8F" w:rsidRPr="00361031" w:rsidRDefault="009D4C8F" w:rsidP="009D4C8F">
      <w:pPr>
        <w:rPr>
          <w:u w:val="single"/>
        </w:rPr>
      </w:pPr>
      <w:r w:rsidRPr="00361031">
        <w:rPr>
          <w:highlight w:val="green"/>
          <w:u w:val="single"/>
        </w:rPr>
        <w:t>Limited Waiver</w:t>
      </w:r>
      <w:r w:rsidRPr="00361031">
        <w:rPr>
          <w:u w:val="single"/>
        </w:rPr>
        <w:t xml:space="preserve"> Approach</w:t>
      </w:r>
    </w:p>
    <w:p w14:paraId="5641E8A1" w14:textId="77777777" w:rsidR="009D4C8F" w:rsidRPr="00361031" w:rsidRDefault="009D4C8F" w:rsidP="009D4C8F">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39864B3F" w14:textId="77777777" w:rsidR="009D4C8F" w:rsidRPr="00361031" w:rsidRDefault="009D4C8F" w:rsidP="009D4C8F">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700172CC" w14:textId="77777777" w:rsidR="009D4C8F" w:rsidRPr="00361031" w:rsidRDefault="009D4C8F" w:rsidP="009D4C8F">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w:t>
      </w:r>
      <w:r w:rsidRPr="00361031">
        <w:rPr>
          <w:sz w:val="16"/>
        </w:rPr>
        <w:lastRenderedPageBreak/>
        <w:t xml:space="preserve">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029DDDD2" w14:textId="77777777" w:rsidR="009D4C8F" w:rsidRPr="00361031" w:rsidRDefault="009D4C8F" w:rsidP="009D4C8F">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7D536F5E" w14:textId="77777777" w:rsidR="009D4C8F" w:rsidRPr="00361031" w:rsidRDefault="009D4C8F" w:rsidP="009D4C8F">
      <w:pPr>
        <w:rPr>
          <w:sz w:val="16"/>
        </w:rPr>
      </w:pPr>
      <w:r w:rsidRPr="00361031">
        <w:rPr>
          <w:sz w:val="16"/>
        </w:rPr>
        <w:t>Let’s Not Repeat Past Mistakes</w:t>
      </w:r>
    </w:p>
    <w:p w14:paraId="04E45E31" w14:textId="77777777" w:rsidR="009D4C8F" w:rsidRDefault="009D4C8F" w:rsidP="009D4C8F">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47FE3DB7" w14:textId="77777777" w:rsidR="009D4C8F" w:rsidRPr="003253D0" w:rsidRDefault="009D4C8F" w:rsidP="009D4C8F">
      <w:pPr>
        <w:pStyle w:val="Heading4"/>
      </w:pPr>
      <w:r>
        <w:t xml:space="preserve">Prefer our definitions – words in the rez are intended as terms of art which determines topic lit and predictability. O/w on specificity and intent to define.    </w:t>
      </w:r>
    </w:p>
    <w:p w14:paraId="7F926CFE" w14:textId="77777777" w:rsidR="009D4C8F" w:rsidRDefault="009D4C8F" w:rsidP="009D4C8F">
      <w:pPr>
        <w:pStyle w:val="Heading4"/>
      </w:pPr>
      <w:r>
        <w:t>WTO and members.</w:t>
      </w:r>
    </w:p>
    <w:p w14:paraId="2F6C5279" w14:textId="77777777" w:rsidR="009D4C8F" w:rsidRPr="003253D0" w:rsidRDefault="009D4C8F" w:rsidP="009D4C8F">
      <w:r w:rsidRPr="00B035B1">
        <w:rPr>
          <w:rStyle w:val="Style13ptBold"/>
          <w:sz w:val="28"/>
          <w:szCs w:val="28"/>
        </w:rPr>
        <w:t>Javaid 21</w:t>
      </w:r>
      <w:r>
        <w:t xml:space="preserve"> [Arfa; 7/30/21; Academic</w:t>
      </w:r>
      <w:r w:rsidRPr="003253D0">
        <w:t xml:space="preserve"> content writer with 2+ years of experience in in the writing and editing industry. She is a Blogger, Youtuber and a published writer at YourQuote, Nojoto, UC News, NewsDog, and writers on competitive test preparation topics at jagranjosh.com</w:t>
      </w:r>
      <w:r>
        <w:t>; “</w:t>
      </w:r>
      <w:r w:rsidRPr="003253D0">
        <w:rPr>
          <w:i/>
          <w:iCs/>
        </w:rPr>
        <w:t>World Trade Organization (WTO): What is it and how does it work</w:t>
      </w:r>
      <w:r w:rsidRPr="003253D0">
        <w:t>?</w:t>
      </w:r>
      <w:r>
        <w:t xml:space="preserve">,” Josh, </w:t>
      </w:r>
      <w:hyperlink r:id="rId15" w:history="1">
        <w:r w:rsidRPr="003C780C">
          <w:rPr>
            <w:rStyle w:val="Hyperlink"/>
          </w:rPr>
          <w:t>https://www.jagranjosh.com/general-knowledge/world-trade-organization-wto-all-you-need-to-know-1627564483-1</w:t>
        </w:r>
      </w:hyperlink>
      <w:r>
        <w:t>] Justin</w:t>
      </w:r>
    </w:p>
    <w:p w14:paraId="69A4ABB8" w14:textId="77777777" w:rsidR="009D4C8F" w:rsidRDefault="009D4C8F" w:rsidP="009D4C8F">
      <w:r w:rsidRPr="003253D0">
        <w:rPr>
          <w:highlight w:val="green"/>
          <w:u w:val="single"/>
        </w:rPr>
        <w:t>WTO</w:t>
      </w:r>
      <w:r w:rsidRPr="003253D0">
        <w:rPr>
          <w:u w:val="single"/>
        </w:rPr>
        <w:t xml:space="preserve"> has had </w:t>
      </w:r>
      <w:r w:rsidRPr="003253D0">
        <w:rPr>
          <w:highlight w:val="green"/>
          <w:u w:val="single"/>
        </w:rPr>
        <w:t>164 members</w:t>
      </w:r>
      <w:r>
        <w:t xml:space="preserve"> since 29 July 2016. The below-mentioned table below </w:t>
      </w:r>
      <w:r w:rsidRPr="003253D0">
        <w:rPr>
          <w:highlight w:val="green"/>
          <w:u w:val="single"/>
        </w:rPr>
        <w:t xml:space="preserve">comprises Member </w:t>
      </w:r>
      <w:r w:rsidRPr="00C827B9">
        <w:rPr>
          <w:highlight w:val="green"/>
          <w:u w:val="single"/>
        </w:rPr>
        <w:t>Nations of the World Trade Organization</w:t>
      </w:r>
      <w:r>
        <w:t xml:space="preserve"> along with their date of joining.</w:t>
      </w:r>
    </w:p>
    <w:p w14:paraId="6D5CA1C9" w14:textId="77777777" w:rsidR="009D4C8F" w:rsidRPr="00B035B1" w:rsidRDefault="009D4C8F" w:rsidP="009D4C8F">
      <w:pPr>
        <w:rPr>
          <w:rStyle w:val="Heading4Char"/>
        </w:rPr>
      </w:pPr>
      <w:r w:rsidRPr="00B035B1">
        <w:rPr>
          <w:rStyle w:val="Heading4Char"/>
        </w:rPr>
        <w:t>Member:</w:t>
      </w:r>
    </w:p>
    <w:p w14:paraId="15B78419" w14:textId="77777777" w:rsidR="009D4C8F" w:rsidRPr="00C827B9" w:rsidRDefault="009D4C8F" w:rsidP="009D4C8F">
      <w:pPr>
        <w:rPr>
          <w:rStyle w:val="Heading4Char"/>
        </w:rPr>
      </w:pPr>
      <w:r w:rsidRPr="00B035B1">
        <w:rPr>
          <w:b/>
          <w:bCs/>
          <w:sz w:val="28"/>
          <w:szCs w:val="28"/>
        </w:rPr>
        <w:t>Oxford Languages</w:t>
      </w:r>
      <w:r>
        <w:rPr>
          <w:rStyle w:val="Heading4Char"/>
        </w:rPr>
        <w:t xml:space="preserve"> </w:t>
      </w:r>
      <w:r w:rsidRPr="00C827B9">
        <w:t>https://www.google.com/search?q=member+definition&amp;rlz=1C1CHBF_enUS877US877&amp;oq=member+definition&amp;aqs=chrome.0.69i59j69i60l3.1863j0j7&amp;sourceid=chrome&amp;ie=UTF-8</w:t>
      </w:r>
      <w:r>
        <w:t>]</w:t>
      </w:r>
    </w:p>
    <w:p w14:paraId="3C537219" w14:textId="77777777" w:rsidR="009D4C8F" w:rsidRDefault="009D4C8F" w:rsidP="009D4C8F">
      <w:pPr>
        <w:rPr>
          <w:u w:val="single"/>
        </w:rPr>
      </w:pPr>
      <w:r w:rsidRPr="00C827B9">
        <w:rPr>
          <w:rStyle w:val="Heading4Char"/>
          <w:u w:val="single"/>
        </w:rPr>
        <w:t xml:space="preserve">a person, </w:t>
      </w:r>
      <w:r w:rsidRPr="00C827B9">
        <w:rPr>
          <w:rStyle w:val="Heading4Char"/>
          <w:highlight w:val="green"/>
          <w:u w:val="single"/>
        </w:rPr>
        <w:t>country</w:t>
      </w:r>
      <w:r w:rsidRPr="00C827B9">
        <w:rPr>
          <w:rStyle w:val="Heading4Char"/>
        </w:rPr>
        <w:t xml:space="preserve">, or organization that </w:t>
      </w:r>
      <w:r w:rsidRPr="00C827B9">
        <w:rPr>
          <w:rStyle w:val="Heading4Char"/>
          <w:u w:val="single"/>
        </w:rPr>
        <w:t xml:space="preserve">has </w:t>
      </w:r>
      <w:r w:rsidRPr="00C827B9">
        <w:rPr>
          <w:rStyle w:val="Heading4Char"/>
          <w:highlight w:val="green"/>
          <w:u w:val="single"/>
        </w:rPr>
        <w:t>joined a group</w:t>
      </w:r>
      <w:r w:rsidRPr="00C827B9">
        <w:rPr>
          <w:rStyle w:val="Heading4Char"/>
          <w:u w:val="single"/>
        </w:rPr>
        <w:t>, society, or team.</w:t>
      </w:r>
      <w:r w:rsidRPr="00C827B9">
        <w:rPr>
          <w:u w:val="single"/>
        </w:rPr>
        <w:t xml:space="preserve"> </w:t>
      </w:r>
    </w:p>
    <w:p w14:paraId="684CF9B4" w14:textId="77777777" w:rsidR="009D4C8F" w:rsidRDefault="009D4C8F" w:rsidP="009D4C8F"/>
    <w:p w14:paraId="6C145950" w14:textId="77777777" w:rsidR="009D4C8F" w:rsidRDefault="009D4C8F" w:rsidP="009D4C8F">
      <w:pPr>
        <w:pStyle w:val="Heading4"/>
      </w:pPr>
      <w:r>
        <w:lastRenderedPageBreak/>
        <w:t>Intellectual property protections are</w:t>
      </w:r>
    </w:p>
    <w:p w14:paraId="63B3339E" w14:textId="77777777" w:rsidR="009D4C8F" w:rsidRPr="006466B8" w:rsidRDefault="009D4C8F" w:rsidP="009D4C8F">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6CD0216B" w14:textId="77777777" w:rsidR="009D4C8F" w:rsidRDefault="009D4C8F" w:rsidP="009D4C8F">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079EEABA" w14:textId="77777777" w:rsidR="009D4C8F" w:rsidRDefault="009D4C8F" w:rsidP="009D4C8F">
      <w:pPr>
        <w:pStyle w:val="Heading4"/>
      </w:pPr>
      <w:r>
        <w:t>Medicine is</w:t>
      </w:r>
    </w:p>
    <w:p w14:paraId="769FA7ED" w14:textId="77777777" w:rsidR="009D4C8F" w:rsidRPr="00BD6AF4" w:rsidRDefault="009D4C8F" w:rsidP="009D4C8F">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65FA1E70" w14:textId="77777777" w:rsidR="009D4C8F" w:rsidRPr="009F270D" w:rsidRDefault="009D4C8F" w:rsidP="009D4C8F">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476EABE4" w14:textId="77777777" w:rsidR="009D4C8F" w:rsidRPr="00E37F47" w:rsidRDefault="009D4C8F" w:rsidP="009D4C8F">
      <w:pPr>
        <w:pStyle w:val="Heading4"/>
      </w:pPr>
      <w:r>
        <w:t xml:space="preserve">“To” </w:t>
      </w:r>
      <w:r w:rsidRPr="00E37F47">
        <w:t>—used to indicate that the following verb is in the infinitive form</w:t>
      </w:r>
    </w:p>
    <w:p w14:paraId="7BC537AB" w14:textId="77777777" w:rsidR="009D4C8F" w:rsidRPr="00E37F47" w:rsidRDefault="009D4C8F" w:rsidP="009D4C8F">
      <w:pPr>
        <w:pStyle w:val="Heading4"/>
        <w:rPr>
          <w:b w:val="0"/>
          <w:bCs w:val="0"/>
          <w:sz w:val="22"/>
          <w:szCs w:val="22"/>
        </w:rPr>
      </w:pPr>
      <w:r w:rsidRPr="00E37F47">
        <w:rPr>
          <w:b w:val="0"/>
          <w:bCs w:val="0"/>
          <w:sz w:val="22"/>
          <w:szCs w:val="22"/>
        </w:rPr>
        <w:t>https://www.merriam-webster.com/dictionary/to</w:t>
      </w:r>
    </w:p>
    <w:p w14:paraId="57F5A643" w14:textId="77777777" w:rsidR="009D4C8F" w:rsidRDefault="009D4C8F" w:rsidP="009D4C8F">
      <w:pPr>
        <w:rPr>
          <w:rFonts w:eastAsiaTheme="majorEastAsia" w:cstheme="majorHAnsi"/>
          <w:b/>
          <w:bCs/>
          <w:color w:val="000000" w:themeColor="text1"/>
          <w:sz w:val="28"/>
          <w:szCs w:val="28"/>
        </w:rPr>
      </w:pPr>
      <w:r>
        <w:rPr>
          <w:rFonts w:eastAsiaTheme="majorEastAsia" w:cstheme="majorHAnsi"/>
          <w:b/>
          <w:bCs/>
          <w:color w:val="000000" w:themeColor="text1"/>
          <w:sz w:val="28"/>
          <w:szCs w:val="28"/>
        </w:rPr>
        <w:t>“ For”</w:t>
      </w:r>
      <w:r w:rsidRPr="00E37F47">
        <w:rPr>
          <w:rFonts w:eastAsiaTheme="majorEastAsia" w:cstheme="majorHAnsi"/>
          <w:b/>
          <w:bCs/>
          <w:color w:val="000000" w:themeColor="text1"/>
          <w:sz w:val="28"/>
          <w:szCs w:val="28"/>
        </w:rPr>
        <w:t>—</w:t>
      </w:r>
      <w:r>
        <w:rPr>
          <w:rFonts w:eastAsiaTheme="majorEastAsia" w:cstheme="majorHAnsi"/>
          <w:b/>
          <w:bCs/>
          <w:color w:val="000000" w:themeColor="text1"/>
          <w:sz w:val="28"/>
          <w:szCs w:val="28"/>
        </w:rPr>
        <w:t xml:space="preserve"> is </w:t>
      </w:r>
      <w:r w:rsidRPr="00E37F47">
        <w:rPr>
          <w:rFonts w:eastAsiaTheme="majorEastAsia" w:cstheme="majorHAnsi"/>
          <w:b/>
          <w:bCs/>
          <w:color w:val="000000" w:themeColor="text1"/>
          <w:sz w:val="28"/>
          <w:szCs w:val="28"/>
        </w:rPr>
        <w:t>used as a function word to indicate purpose</w:t>
      </w:r>
    </w:p>
    <w:p w14:paraId="05F83E05" w14:textId="77777777" w:rsidR="009D4C8F" w:rsidRPr="00E37F47" w:rsidRDefault="009D4C8F" w:rsidP="009D4C8F">
      <w:pPr>
        <w:rPr>
          <w:rFonts w:eastAsiaTheme="majorEastAsia" w:cstheme="majorHAnsi"/>
          <w:color w:val="000000" w:themeColor="text1"/>
          <w:szCs w:val="22"/>
        </w:rPr>
      </w:pPr>
      <w:r w:rsidRPr="00E37F47">
        <w:rPr>
          <w:rFonts w:eastAsiaTheme="majorEastAsia" w:cstheme="majorHAnsi"/>
          <w:color w:val="000000" w:themeColor="text1"/>
          <w:szCs w:val="22"/>
        </w:rPr>
        <w:t>https://www.merriam-webster.com/dictionary/for</w:t>
      </w:r>
    </w:p>
    <w:p w14:paraId="1F700BF4" w14:textId="77777777" w:rsidR="009D4C8F" w:rsidRPr="00361031" w:rsidRDefault="009D4C8F" w:rsidP="009D4C8F">
      <w:pPr>
        <w:rPr>
          <w:sz w:val="16"/>
        </w:rPr>
      </w:pPr>
    </w:p>
    <w:p w14:paraId="288743B8" w14:textId="77777777" w:rsidR="009D4C8F" w:rsidRDefault="009D4C8F" w:rsidP="009D4C8F"/>
    <w:p w14:paraId="683DA689" w14:textId="77777777" w:rsidR="009D4C8F" w:rsidRDefault="009D4C8F" w:rsidP="009D4C8F">
      <w:pPr>
        <w:pStyle w:val="Heading3"/>
        <w:rPr>
          <w:rStyle w:val="StyleUnderline"/>
          <w:rFonts w:cstheme="majorHAnsi"/>
          <w:b/>
          <w:sz w:val="32"/>
        </w:rPr>
      </w:pPr>
      <w:r w:rsidRPr="00CE11B7">
        <w:rPr>
          <w:rStyle w:val="StyleUnderline"/>
          <w:rFonts w:cstheme="majorHAnsi"/>
          <w:b/>
          <w:sz w:val="32"/>
        </w:rPr>
        <w:lastRenderedPageBreak/>
        <w:t>Framework</w:t>
      </w:r>
    </w:p>
    <w:p w14:paraId="202AB48E" w14:textId="77777777" w:rsidR="009D4C8F" w:rsidRPr="00E75985" w:rsidRDefault="009D4C8F" w:rsidP="009D4C8F">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215D7CCF" w14:textId="77777777" w:rsidR="009D4C8F" w:rsidRPr="00CA3F84" w:rsidRDefault="009D4C8F" w:rsidP="009D4C8F">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1A89E725" w14:textId="77777777" w:rsidR="009D4C8F" w:rsidRPr="00DB71C8" w:rsidRDefault="009D4C8F" w:rsidP="009D4C8F">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7753708" w14:textId="77777777" w:rsidR="009D4C8F" w:rsidRPr="00CE11B7" w:rsidRDefault="009D4C8F" w:rsidP="009D4C8F">
      <w:pPr>
        <w:pStyle w:val="Heading4"/>
      </w:pPr>
      <w:r>
        <w:t>Thus, t</w:t>
      </w:r>
      <w:r w:rsidRPr="00CE11B7">
        <w:t xml:space="preserve">he standard is maximizing </w:t>
      </w:r>
      <w:r>
        <w:t>well-being</w:t>
      </w:r>
      <w:r w:rsidRPr="00CE11B7">
        <w:t>. Prefer it:</w:t>
      </w:r>
    </w:p>
    <w:p w14:paraId="26CCF76A" w14:textId="77777777" w:rsidR="009D4C8F" w:rsidRPr="00CE11B7" w:rsidRDefault="009D4C8F" w:rsidP="009D4C8F">
      <w:pPr>
        <w:pStyle w:val="Heading4"/>
      </w:pPr>
      <w:r w:rsidRPr="00CE11B7">
        <w:t xml:space="preserve">[1] Actor </w:t>
      </w:r>
      <w:r>
        <w:t>spec</w:t>
      </w:r>
      <w:r w:rsidRPr="00CE11B7">
        <w:t xml:space="preserve">: util is the best for governments, which is the actor in the rez – multiple warrants: </w:t>
      </w:r>
    </w:p>
    <w:p w14:paraId="203C5841" w14:textId="77777777" w:rsidR="009D4C8F" w:rsidRDefault="009D4C8F" w:rsidP="009D4C8F">
      <w:pPr>
        <w:pStyle w:val="Heading4"/>
        <w:ind w:left="720"/>
      </w:pPr>
      <w:r w:rsidRPr="00CE11B7">
        <w:t>[a] Governments must aggregate since every policy benefits some and harms others, which also means side constraints freeze action.</w:t>
      </w:r>
    </w:p>
    <w:p w14:paraId="461278AD" w14:textId="77777777" w:rsidR="009D4C8F" w:rsidRDefault="009D4C8F" w:rsidP="009D4C8F">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4DAC4E21" w14:textId="77777777" w:rsidR="009D4C8F" w:rsidRPr="00402E94" w:rsidRDefault="009D4C8F" w:rsidP="009D4C8F">
      <w:pPr>
        <w:pStyle w:val="Heading4"/>
        <w:ind w:left="720"/>
      </w:pPr>
      <w:r>
        <w:t>[c] No act omission distinction – governments are responsible for everything in the public sphere and have yes/no bills so inaction is an implicit authorization of action.</w:t>
      </w:r>
    </w:p>
    <w:p w14:paraId="663E1430" w14:textId="77777777" w:rsidR="009D4C8F" w:rsidRDefault="009D4C8F" w:rsidP="009D4C8F">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76996B39" w14:textId="77777777" w:rsidR="009D4C8F" w:rsidRPr="0010606C" w:rsidRDefault="009D4C8F" w:rsidP="009D4C8F">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76B35839" w14:textId="77777777" w:rsidR="009D4C8F" w:rsidRPr="00CE11B7" w:rsidRDefault="009D4C8F" w:rsidP="009D4C8F">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594C7FE9" w14:textId="77777777" w:rsidR="009D4C8F" w:rsidRPr="00CE11B7" w:rsidRDefault="009D4C8F" w:rsidP="009D4C8F">
      <w:pPr>
        <w:rPr>
          <w:rFonts w:asciiTheme="majorHAnsi" w:hAnsiTheme="majorHAnsi" w:cstheme="majorHAnsi"/>
          <w:color w:val="000000" w:themeColor="text1"/>
        </w:rPr>
      </w:pPr>
      <w:r w:rsidRPr="007A6590">
        <w:rPr>
          <w:rStyle w:val="Style13ptBold"/>
          <w:rFonts w:asciiTheme="majorHAnsi" w:hAnsiTheme="majorHAnsi" w:cstheme="majorHAnsi"/>
          <w:color w:val="000000" w:themeColor="text1"/>
          <w:sz w:val="28"/>
          <w:szCs w:val="28"/>
        </w:rPr>
        <w:t>Paterson 3</w:t>
      </w:r>
      <w:r w:rsidRPr="007A6590">
        <w:rPr>
          <w:rFonts w:asciiTheme="majorHAnsi" w:hAnsiTheme="majorHAnsi" w:cstheme="majorHAnsi"/>
          <w:color w:val="000000" w:themeColor="text1"/>
          <w:sz w:val="28"/>
          <w:szCs w:val="28"/>
        </w:rPr>
        <w:t xml:space="preserve"> </w:t>
      </w:r>
      <w:r w:rsidRPr="00CE11B7">
        <w:rPr>
          <w:rFonts w:asciiTheme="majorHAnsi" w:hAnsiTheme="majorHAnsi" w:cstheme="majorHAnsi"/>
          <w:color w:val="000000" w:themeColor="text1"/>
        </w:rPr>
        <w:t>– Department of Philosophy, Providence College, Rhode Island (Craig, “A Life Not Worth Living?”, Studies in Christian Ethics.</w:t>
      </w:r>
    </w:p>
    <w:p w14:paraId="66D3FB90" w14:textId="77777777" w:rsidR="009D4C8F" w:rsidRPr="00CE11B7" w:rsidRDefault="009D4C8F" w:rsidP="009D4C8F">
      <w:pPr>
        <w:rPr>
          <w:rFonts w:asciiTheme="majorHAnsi" w:hAnsiTheme="majorHAnsi" w:cstheme="majorHAnsi"/>
          <w:color w:val="000000" w:themeColor="text1"/>
          <w:sz w:val="8"/>
        </w:rPr>
      </w:pPr>
      <w:r w:rsidRPr="00CE11B7">
        <w:rPr>
          <w:rFonts w:asciiTheme="majorHAnsi" w:hAnsiTheme="majorHAnsi"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asciiTheme="majorHAnsi" w:hAnsiTheme="majorHAnsi"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asciiTheme="majorHAnsi" w:hAnsiTheme="majorHAnsi"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asciiTheme="majorHAnsi" w:hAnsiTheme="majorHAnsi" w:cstheme="majorHAnsi"/>
          <w:color w:val="000000" w:themeColor="text1"/>
          <w:sz w:val="8"/>
        </w:rPr>
        <w:t xml:space="preserve">for the person. What is crucially at stake here, and is dialectically supportive of the self-evidency of the basic good of human life, is that death is a radical interference with the current life process of the kind of </w:t>
      </w:r>
      <w:r w:rsidRPr="00CE11B7">
        <w:rPr>
          <w:rFonts w:asciiTheme="majorHAnsi" w:hAnsiTheme="majorHAnsi" w:cstheme="majorHAnsi"/>
          <w:color w:val="000000" w:themeColor="text1"/>
          <w:sz w:val="8"/>
        </w:rPr>
        <w:lastRenderedPageBreak/>
        <w:t>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asciiTheme="majorHAnsi" w:hAnsiTheme="majorHAnsi"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D66AF0F" w14:textId="0C03D341" w:rsidR="009D4C8F" w:rsidRDefault="009D4C8F" w:rsidP="009D4C8F">
      <w:pPr>
        <w:pStyle w:val="Heading4"/>
      </w:pPr>
      <w:r>
        <w:t>[</w:t>
      </w:r>
      <w:r w:rsidR="00D07C4D">
        <w:t>3</w:t>
      </w:r>
      <w:r>
        <w:t xml:space="preserve">] </w:t>
      </w:r>
      <w:r w:rsidRPr="005D165D">
        <w:t>Weighability – only consequentialism can explain the ethical difference in breaking a promise to take someone to the hospital and breaking a promise to take someone to lunch – there’s no way to weigh between competing offense under their fw which means their fw can’t guide action – it also proves their fw is counter intuitive</w:t>
      </w:r>
    </w:p>
    <w:p w14:paraId="42D3B333" w14:textId="31D9B2F8" w:rsidR="00D07C4D" w:rsidRPr="00331BF2" w:rsidRDefault="00D07C4D" w:rsidP="00D07C4D">
      <w:pPr>
        <w:pStyle w:val="Heading4"/>
      </w:pPr>
      <w:r>
        <w:t xml:space="preserve">[4] </w:t>
      </w:r>
      <w:r w:rsidRPr="00331BF2">
        <w:t>Put away your disads – the Aff outweighs any impacts.</w:t>
      </w:r>
    </w:p>
    <w:p w14:paraId="4E8E9181" w14:textId="77777777" w:rsidR="00D07C4D" w:rsidRPr="00CE11B7" w:rsidRDefault="00D07C4D" w:rsidP="00D07C4D">
      <w:pPr>
        <w:pStyle w:val="Tag2"/>
        <w:spacing w:line="240" w:lineRule="auto"/>
      </w:pPr>
      <w:r w:rsidRPr="00CE11B7">
        <w:rPr>
          <w:bCs/>
          <w:sz w:val="28"/>
          <w:szCs w:val="28"/>
        </w:rPr>
        <w:t>Pummer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4E70E3DE" w14:textId="77777777" w:rsidR="00D07C4D" w:rsidRDefault="00D07C4D" w:rsidP="00D07C4D">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E542DA">
        <w:rPr>
          <w:rStyle w:val="StyleUnderline"/>
          <w:rFonts w:cstheme="majorHAnsi"/>
          <w:highlight w:val="green"/>
        </w:rPr>
        <w:t xml:space="preserve">reducing existential risk is </w:t>
      </w:r>
      <w:r w:rsidRPr="00CE11B7">
        <w:rPr>
          <w:rStyle w:val="StyleUnderline"/>
          <w:rFonts w:cstheme="majorHAnsi"/>
        </w:rPr>
        <w:t xml:space="preserve">easily </w:t>
      </w:r>
      <w:r w:rsidRPr="00E542DA">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CE11B7">
        <w:rPr>
          <w:rStyle w:val="StyleUnderline"/>
          <w:rFonts w:cstheme="majorHAnsi"/>
        </w:rPr>
        <w:t xml:space="preserve">who </w:t>
      </w:r>
      <w:r w:rsidRPr="00E542DA">
        <w:rPr>
          <w:rStyle w:val="StyleUnderline"/>
          <w:rFonts w:cstheme="majorHAnsi"/>
          <w:highlight w:val="green"/>
        </w:rPr>
        <w:t>could exist in the future</w:t>
      </w:r>
      <w:r w:rsidRPr="00CE11B7">
        <w:rPr>
          <w:rStyle w:val="StyleUnderline"/>
          <w:rFonts w:cstheme="majorHAnsi"/>
        </w:rPr>
        <w:t xml:space="preserve"> – there are </w:t>
      </w:r>
      <w:r w:rsidRPr="00E542DA">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CE11B7">
        <w:rPr>
          <w:rStyle w:val="StyleUnderline"/>
          <w:rFonts w:cstheme="majorHAnsi"/>
        </w:rPr>
        <w:t xml:space="preserve"> arguably </w:t>
      </w:r>
      <w:r w:rsidRPr="00E542DA">
        <w:rPr>
          <w:rStyle w:val="StyleUnderline"/>
          <w:rFonts w:cstheme="majorHAnsi"/>
          <w:highlight w:val="green"/>
        </w:rPr>
        <w:t>the most important</w:t>
      </w:r>
      <w:r w:rsidRPr="00CE11B7">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w:t>
      </w:r>
      <w:r w:rsidRPr="00CE11B7">
        <w:rPr>
          <w:rFonts w:asciiTheme="majorHAnsi" w:hAnsiTheme="majorHAnsi" w:cstheme="majorHAnsi"/>
          <w:sz w:val="16"/>
        </w:rPr>
        <w:lastRenderedPageBreak/>
        <w:t xml:space="preserve">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they would have pretty strong reason, from the standpoint of moral uncertainty, to reduce existential risk.</w:t>
      </w:r>
      <w:r w:rsidRPr="00CE11B7">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CE11B7">
        <w:rPr>
          <w:rStyle w:val="StyleUnderline"/>
          <w:rFonts w:cstheme="majorHAnsi"/>
        </w:rPr>
        <w:t xml:space="preserve">the </w:t>
      </w:r>
      <w:r w:rsidRPr="00E542DA">
        <w:rPr>
          <w:rStyle w:val="StyleUnderline"/>
          <w:rFonts w:cstheme="majorHAnsi"/>
          <w:highlight w:val="green"/>
        </w:rPr>
        <w:t xml:space="preserve">well-being </w:t>
      </w:r>
      <w:r w:rsidRPr="00CE11B7">
        <w:rPr>
          <w:rStyle w:val="StyleUnderline"/>
          <w:rFonts w:cstheme="majorHAnsi"/>
        </w:rPr>
        <w:t xml:space="preserve">of possible future people </w:t>
      </w:r>
      <w:r w:rsidRPr="00E542DA">
        <w:rPr>
          <w:rStyle w:val="StyleUnderline"/>
          <w:rFonts w:cstheme="majorHAnsi"/>
          <w:highlight w:val="green"/>
        </w:rPr>
        <w:t xml:space="preserve">matters, </w:t>
      </w:r>
      <w:r w:rsidRPr="00CE11B7">
        <w:rPr>
          <w:rStyle w:val="StyleUnderline"/>
          <w:rFonts w:cstheme="majorHAnsi"/>
        </w:rPr>
        <w:t xml:space="preserve">it is at least arguable that, </w:t>
      </w:r>
      <w:r w:rsidRPr="00E542DA">
        <w:rPr>
          <w:rStyle w:val="StyleUnderline"/>
          <w:rFonts w:cstheme="majorHAnsi"/>
          <w:highlight w:val="green"/>
        </w:rPr>
        <w:t xml:space="preserve">from </w:t>
      </w:r>
      <w:r w:rsidRPr="00CE11B7">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seem to be fairly implausible views.</w:t>
      </w:r>
      <w:r w:rsidRPr="00CE11B7">
        <w:rPr>
          <w:rFonts w:asciiTheme="majorHAnsi" w:hAnsiTheme="majorHAnsi" w:cstheme="majorHAnsi"/>
          <w:sz w:val="16"/>
        </w:rPr>
        <w:t xml:space="preserve"> And </w:t>
      </w:r>
      <w:r w:rsidRPr="00CE11B7">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w:t>
      </w:r>
      <w:r w:rsidRPr="00CE11B7">
        <w:rPr>
          <w:rFonts w:asciiTheme="majorHAnsi" w:hAnsiTheme="majorHAnsi" w:cstheme="majorHAnsi"/>
          <w:sz w:val="16"/>
        </w:rPr>
        <w:lastRenderedPageBreak/>
        <w:t xml:space="preserve">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1756B3EF" w14:textId="77777777" w:rsidR="009D4C8F" w:rsidRPr="005D165D" w:rsidRDefault="009D4C8F" w:rsidP="009D4C8F"/>
    <w:p w14:paraId="7441976F" w14:textId="77777777" w:rsidR="009D4C8F" w:rsidRPr="00A27744" w:rsidRDefault="009D4C8F" w:rsidP="009D4C8F">
      <w:pPr>
        <w:rPr>
          <w:color w:val="000000" w:themeColor="text1"/>
          <w:sz w:val="10"/>
        </w:rPr>
      </w:pPr>
    </w:p>
    <w:p w14:paraId="135B85B2" w14:textId="77777777" w:rsidR="009D4C8F" w:rsidRPr="00CE11B7" w:rsidRDefault="009D4C8F" w:rsidP="009D4C8F">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3924C79E" w14:textId="77777777" w:rsidR="009D4C8F" w:rsidRPr="00FA3591" w:rsidRDefault="009D4C8F" w:rsidP="009D4C8F">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w:t>
      </w:r>
    </w:p>
    <w:p w14:paraId="530ADCF4" w14:textId="77777777" w:rsidR="009D4C8F" w:rsidRPr="00A809F8" w:rsidRDefault="009D4C8F" w:rsidP="009D4C8F"/>
    <w:p w14:paraId="62CB4D56" w14:textId="77777777" w:rsidR="009D4C8F" w:rsidRDefault="009D4C8F" w:rsidP="009D4C8F">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r>
        <w:t xml:space="preserve"> </w:t>
      </w:r>
    </w:p>
    <w:p w14:paraId="2C62CE22" w14:textId="77777777" w:rsidR="009D4C8F" w:rsidRDefault="009D4C8F" w:rsidP="009D4C8F"/>
    <w:p w14:paraId="77DC0045" w14:textId="35FB06AA" w:rsidR="00D07C4D" w:rsidRPr="00CE11B7" w:rsidRDefault="009D4C8F" w:rsidP="00D07C4D">
      <w:pPr>
        <w:pStyle w:val="Heading4"/>
      </w:pPr>
      <w:r>
        <w:rPr>
          <w:rFonts w:cs="Calibri"/>
        </w:rPr>
        <w:t>[3]</w:t>
      </w:r>
      <w:r w:rsidR="00D07C4D">
        <w:rPr>
          <w:rFonts w:cs="Calibri"/>
        </w:rPr>
        <w:t xml:space="preserve"> </w:t>
      </w:r>
      <w:r w:rsidR="00D07C4D" w:rsidRPr="00CE11B7">
        <w:rPr>
          <w:rStyle w:val="Style13ptBold"/>
          <w:b/>
          <w:sz w:val="28"/>
        </w:rPr>
        <w:t xml:space="preserve">The ROTB is to determine whether the post-fiat impacts of the Aff </w:t>
      </w:r>
      <w:r w:rsidR="00D07C4D">
        <w:rPr>
          <w:rStyle w:val="Style13ptBold"/>
          <w:b/>
          <w:sz w:val="28"/>
        </w:rPr>
        <w:t xml:space="preserve">policy </w:t>
      </w:r>
      <w:r w:rsidR="00D07C4D" w:rsidRPr="00CE11B7">
        <w:rPr>
          <w:rStyle w:val="Style13ptBold"/>
          <w:b/>
          <w:sz w:val="28"/>
        </w:rPr>
        <w:t>are good.</w:t>
      </w:r>
      <w:r w:rsidR="00D07C4D">
        <w:rPr>
          <w:rStyle w:val="Style13ptBold"/>
          <w:b/>
          <w:sz w:val="28"/>
        </w:rPr>
        <w:t xml:space="preserve"> a</w:t>
      </w:r>
      <w:r w:rsidR="00D07C4D" w:rsidRPr="00CE11B7">
        <w:rPr>
          <w:rStyle w:val="Style13ptBold"/>
          <w:b/>
          <w:sz w:val="28"/>
        </w:rPr>
        <w:t>] Fairness – opposing frameworks moot the 1AC – there are infinite parts they could problematize which forces a 1ar restart.</w:t>
      </w:r>
      <w:r w:rsidR="00D07C4D">
        <w:rPr>
          <w:rStyle w:val="Style13ptBold"/>
          <w:b/>
          <w:sz w:val="28"/>
        </w:rPr>
        <w:t xml:space="preserve"> b</w:t>
      </w:r>
      <w:r w:rsidR="00D07C4D" w:rsidRPr="00CE11B7">
        <w:rPr>
          <w:rStyle w:val="Style13ptBold"/>
          <w:b/>
          <w:sz w:val="28"/>
        </w:rPr>
        <w:t xml:space="preserve">] Clash – Our scholarship is tied to the consequences of the plan – their model lets them get through the 2NR without addressing the aff skewing our time. </w:t>
      </w:r>
      <w:r w:rsidR="00D07C4D">
        <w:t>c</w:t>
      </w:r>
      <w:r w:rsidR="00D07C4D" w:rsidRPr="00CE11B7">
        <w:t>] Simulated costs and benefits of post-fiat policies teaches students how to deploy themselves in the real world.</w:t>
      </w:r>
    </w:p>
    <w:p w14:paraId="4E035924" w14:textId="77777777" w:rsidR="00D07C4D" w:rsidRDefault="00D07C4D" w:rsidP="00D07C4D">
      <w:pPr>
        <w:spacing w:line="257" w:lineRule="auto"/>
        <w:rPr>
          <w:rFonts w:asciiTheme="majorHAnsi" w:eastAsia="Calibri" w:hAnsiTheme="majorHAnsi" w:cstheme="majorHAnsi"/>
          <w:color w:val="000000" w:themeColor="text1"/>
          <w:sz w:val="12"/>
        </w:rPr>
      </w:pPr>
      <w:r w:rsidRPr="002D0FD5">
        <w:rPr>
          <w:rStyle w:val="Style13ptBold"/>
          <w:rFonts w:asciiTheme="majorHAnsi" w:hAnsiTheme="majorHAnsi" w:cstheme="majorHAnsi"/>
          <w:sz w:val="28"/>
          <w:szCs w:val="28"/>
        </w:rPr>
        <w:t>Coverstone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(Alan Coverstone masters in communication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E542DA">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they also </w:t>
      </w:r>
      <w:r w:rsidRPr="00E542DA">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E542DA">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E542DA">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E542DA">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E542DA">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nothing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E542DA">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look no further than the annual state of the Union Address where personal story after personal story is used to support the political agenda of those in power. The so-called </w:t>
      </w:r>
      <w:r w:rsidRPr="00E542DA">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E542DA">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E542DA">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E542DA">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w:t>
      </w:r>
      <w:r w:rsidRPr="008C44FB">
        <w:rPr>
          <w:rFonts w:asciiTheme="majorHAnsi" w:eastAsia="Calibri" w:hAnsiTheme="majorHAnsi" w:cstheme="majorHAnsi"/>
          <w:b/>
          <w:color w:val="000000" w:themeColor="text1"/>
          <w:u w:val="single"/>
        </w:rPr>
        <w:lastRenderedPageBreak/>
        <w:t xml:space="preserve">to </w:t>
      </w:r>
      <w:r w:rsidRPr="00E542DA">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E542DA">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E542DA">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E542DA">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E542DA">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E542DA">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E542DA">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Furthermore</w:t>
      </w:r>
      <w:r w:rsidRPr="00CE11B7">
        <w:rPr>
          <w:rFonts w:asciiTheme="majorHAnsi" w:eastAsia="Calibri" w:hAnsiTheme="majorHAnsi" w:cstheme="majorHAnsi"/>
          <w:b/>
          <w:color w:val="000000" w:themeColor="text1"/>
          <w:u w:val="single"/>
        </w:rPr>
        <w:t xml:space="preserve">comfortable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18B8CB45" w14:textId="717FA081" w:rsidR="009D4C8F" w:rsidRDefault="009D4C8F" w:rsidP="009D4C8F">
      <w:pPr>
        <w:pStyle w:val="Heading4"/>
        <w:rPr>
          <w:rFonts w:cs="Calibri"/>
        </w:rPr>
      </w:pPr>
    </w:p>
    <w:p w14:paraId="045AC31A" w14:textId="219E3384" w:rsidR="009D4C8F" w:rsidRPr="00C7794F" w:rsidRDefault="009D4C8F" w:rsidP="009D4C8F">
      <w:pPr>
        <w:pStyle w:val="Heading4"/>
        <w:rPr>
          <w:rFonts w:cs="Calibri"/>
        </w:rPr>
      </w:pPr>
      <w:r>
        <w:rPr>
          <w:rFonts w:cs="Calibri"/>
        </w:rPr>
        <w:t>[</w:t>
      </w:r>
      <w:r w:rsidR="00D07C4D">
        <w:rPr>
          <w:rFonts w:cs="Calibri"/>
        </w:rPr>
        <w:t>4</w:t>
      </w:r>
      <w:r>
        <w:rPr>
          <w:rFonts w:cs="Calibri"/>
        </w:rPr>
        <w:t xml:space="preserve">] </w:t>
      </w:r>
      <w:r w:rsidRPr="00C7794F">
        <w:rPr>
          <w:rFonts w:cs="Calibri"/>
        </w:rPr>
        <w:t>Evolution</w:t>
      </w:r>
      <w:r>
        <w:rPr>
          <w:rFonts w:cs="Calibri"/>
        </w:rPr>
        <w:t>ary analysis</w:t>
      </w:r>
      <w:r w:rsidRPr="00C7794F">
        <w:rPr>
          <w:rFonts w:cs="Calibri"/>
        </w:rPr>
        <w:t xml:space="preserve"> proves </w:t>
      </w:r>
      <w:r>
        <w:rPr>
          <w:rFonts w:cs="Calibri"/>
        </w:rPr>
        <w:t>offensive realism.</w:t>
      </w:r>
    </w:p>
    <w:p w14:paraId="28FB764B" w14:textId="77777777" w:rsidR="009D4C8F" w:rsidRPr="00BE53CD" w:rsidRDefault="009D4C8F" w:rsidP="009D4C8F">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1F5D76A" w14:textId="77777777" w:rsidR="009D4C8F" w:rsidRPr="006C0761" w:rsidRDefault="009D4C8F" w:rsidP="009D4C8F">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lastRenderedPageBreak/>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5F55D1E0" w14:textId="77777777" w:rsidR="009D4C8F" w:rsidRDefault="009D4C8F" w:rsidP="009D4C8F">
      <w:pPr>
        <w:spacing w:line="257" w:lineRule="auto"/>
        <w:rPr>
          <w:rFonts w:asciiTheme="majorHAnsi" w:eastAsia="Calibri" w:hAnsiTheme="majorHAnsi" w:cstheme="majorHAnsi"/>
          <w:color w:val="000000" w:themeColor="text1"/>
          <w:sz w:val="12"/>
        </w:rPr>
      </w:pPr>
    </w:p>
    <w:p w14:paraId="7A616C71" w14:textId="77777777" w:rsidR="009D4C8F" w:rsidRPr="00F601E6" w:rsidRDefault="009D4C8F" w:rsidP="009D4C8F"/>
    <w:p w14:paraId="588A7F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4C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A63"/>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DE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883"/>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5F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C8F"/>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E82"/>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07C4D"/>
    <w:rsid w:val="00D10058"/>
    <w:rsid w:val="00D11978"/>
    <w:rsid w:val="00D15E30"/>
    <w:rsid w:val="00D16129"/>
    <w:rsid w:val="00D255D3"/>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DFA"/>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ABC82"/>
  <w14:defaultImageDpi w14:val="300"/>
  <w15:docId w15:val="{12975332-B222-8245-836C-4789CBFFE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4E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4E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4E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C04E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C04E82"/>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C04E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4E82"/>
  </w:style>
  <w:style w:type="character" w:customStyle="1" w:styleId="Heading1Char">
    <w:name w:val="Heading 1 Char"/>
    <w:aliases w:val="Pocket Char"/>
    <w:basedOn w:val="DefaultParagraphFont"/>
    <w:link w:val="Heading1"/>
    <w:uiPriority w:val="9"/>
    <w:rsid w:val="00C04E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4E8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04E8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C04E82"/>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4E8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04E82"/>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C04E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4E8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04E82"/>
    <w:rPr>
      <w:color w:val="auto"/>
      <w:u w:val="none"/>
    </w:rPr>
  </w:style>
  <w:style w:type="paragraph" w:styleId="DocumentMap">
    <w:name w:val="Document Map"/>
    <w:basedOn w:val="Normal"/>
    <w:link w:val="DocumentMapChar"/>
    <w:uiPriority w:val="99"/>
    <w:semiHidden/>
    <w:unhideWhenUsed/>
    <w:rsid w:val="00C04E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4E82"/>
    <w:rPr>
      <w:rFonts w:ascii="Lucida Grande" w:hAnsi="Lucida Grande" w:cs="Lucida Grande"/>
    </w:rPr>
  </w:style>
  <w:style w:type="paragraph" w:customStyle="1" w:styleId="textbold">
    <w:name w:val="text bold"/>
    <w:basedOn w:val="Normal"/>
    <w:link w:val="Emphasis"/>
    <w:uiPriority w:val="20"/>
    <w:qFormat/>
    <w:rsid w:val="009D4C8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9D4C8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ag2">
    <w:name w:val="Tag2"/>
    <w:basedOn w:val="Normal"/>
    <w:qFormat/>
    <w:rsid w:val="00D07C4D"/>
    <w:rPr>
      <w:b/>
    </w:rPr>
  </w:style>
  <w:style w:type="paragraph" w:styleId="Revision">
    <w:name w:val="Revision"/>
    <w:hidden/>
    <w:uiPriority w:val="99"/>
    <w:semiHidden/>
    <w:rsid w:val="00E66DFA"/>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s://www.jagranjosh.com/general-knowledge/world-trade-organization-wto-all-you-need-to-know-1627564483-1" TargetMode="External"/><Relationship Id="rId10" Type="http://schemas.openxmlformats.org/officeDocument/2006/relationships/hyperlink" Target="https://thediplomat.com/2021/08/chinas-vaccine-diplomacy-in-latin-america/"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www.ipwatchdog.com/2021/07/21/third-option-limited-ip-waiver-solve-pandemic-vaccine-problems/id=1357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26</Pages>
  <Words>14857</Words>
  <Characters>84688</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9</cp:revision>
  <dcterms:created xsi:type="dcterms:W3CDTF">2021-09-18T18:50:00Z</dcterms:created>
  <dcterms:modified xsi:type="dcterms:W3CDTF">2021-09-18T22:07:00Z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