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6A83D" w14:textId="0CDC11C0" w:rsidR="00E42E4C" w:rsidRDefault="00F06938" w:rsidP="00F06938">
      <w:pPr>
        <w:pStyle w:val="Heading2"/>
      </w:pPr>
      <w:r>
        <w:t>1</w:t>
      </w:r>
    </w:p>
    <w:p w14:paraId="26E6E4EB" w14:textId="77777777" w:rsidR="00F06938" w:rsidRDefault="00F06938" w:rsidP="00F06938">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02E8C4B2" w14:textId="77777777" w:rsidR="00F06938" w:rsidRPr="003E493C" w:rsidRDefault="00F06938" w:rsidP="00F06938">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9" w:history="1">
        <w:r w:rsidRPr="00270F2A">
          <w:rPr>
            <w:rStyle w:val="Hyperlink"/>
          </w:rPr>
          <w:t>https://www.cnbc.com/2021/10/21/stock-market-futures-open-to-close-news.html</w:t>
        </w:r>
      </w:hyperlink>
      <w:r>
        <w:t>] Justin</w:t>
      </w:r>
    </w:p>
    <w:p w14:paraId="36CE926B" w14:textId="77777777" w:rsidR="00F06938" w:rsidRPr="00E735B5" w:rsidRDefault="00F06938" w:rsidP="00F06938">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t>
      </w:r>
      <w:r w:rsidRPr="003E493C">
        <w:rPr>
          <w:u w:val="single"/>
        </w:rPr>
        <w:lastRenderedPageBreak/>
        <w:t xml:space="preserve">with </w:t>
      </w:r>
      <w:r w:rsidRPr="00E735B5">
        <w:rPr>
          <w:rStyle w:val="Emphasis"/>
        </w:rPr>
        <w:t>China’s Evergrande reportedly paying a key interest payment that was due to foreign bondholders, staving off a default for the property developer.</w:t>
      </w:r>
    </w:p>
    <w:p w14:paraId="2DD3DDBA" w14:textId="77777777" w:rsidR="00F06938" w:rsidRDefault="00F06938" w:rsidP="00F06938">
      <w:r w:rsidRPr="003E493C">
        <w:rPr>
          <w:noProof/>
        </w:rPr>
        <w:drawing>
          <wp:inline distT="0" distB="0" distL="0" distR="0" wp14:anchorId="603FF3D3" wp14:editId="1079DA65">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0"/>
                    <a:stretch>
                      <a:fillRect/>
                    </a:stretch>
                  </pic:blipFill>
                  <pic:spPr>
                    <a:xfrm>
                      <a:off x="0" y="0"/>
                      <a:ext cx="3565085" cy="2557661"/>
                    </a:xfrm>
                    <a:prstGeom prst="rect">
                      <a:avLst/>
                    </a:prstGeom>
                  </pic:spPr>
                </pic:pic>
              </a:graphicData>
            </a:graphic>
          </wp:inline>
        </w:drawing>
      </w:r>
    </w:p>
    <w:p w14:paraId="33EE04A9" w14:textId="77777777" w:rsidR="00F06938" w:rsidRPr="003E493C" w:rsidRDefault="00F06938" w:rsidP="00F06938"/>
    <w:p w14:paraId="4D3583F0" w14:textId="77777777" w:rsidR="00F06938" w:rsidRDefault="00F06938" w:rsidP="00F06938">
      <w:pPr>
        <w:pStyle w:val="Heading4"/>
      </w:pPr>
      <w:r>
        <w:t xml:space="preserve">Best data proves union strike victories </w:t>
      </w:r>
      <w:r w:rsidRPr="003F1A0E">
        <w:rPr>
          <w:u w:val="single"/>
        </w:rPr>
        <w:t>statistically cause stock market crash</w:t>
      </w:r>
      <w:r>
        <w:t>.</w:t>
      </w:r>
    </w:p>
    <w:p w14:paraId="19135F0A" w14:textId="77777777" w:rsidR="00F06938" w:rsidRPr="003F1A0E" w:rsidRDefault="00F06938" w:rsidP="00F06938">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Justin</w:t>
      </w:r>
    </w:p>
    <w:p w14:paraId="1731B5BD" w14:textId="77777777" w:rsidR="00F06938" w:rsidRPr="009B1F9A" w:rsidRDefault="00F06938" w:rsidP="00F06938">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6915C27D" w14:textId="77777777" w:rsidR="00F06938" w:rsidRPr="009B1F9A" w:rsidRDefault="00F06938" w:rsidP="00F06938">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02D32369" w14:textId="77777777" w:rsidR="00F06938" w:rsidRPr="009B1F9A" w:rsidRDefault="00F06938" w:rsidP="00F06938">
      <w:pPr>
        <w:rPr>
          <w:sz w:val="16"/>
        </w:rPr>
      </w:pPr>
      <w:r w:rsidRPr="009B1F9A">
        <w:rPr>
          <w:sz w:val="16"/>
        </w:rPr>
        <w:t xml:space="preserve">Importantly, we find that the effect takes 15 to 18 months to fully materialize, a somewhat slow market reaction. As we discuss, this short-run mispricing can persist if exploiting the slow reaction is not sufficiently profitable to arbitrageurs. Indeed, our own analysis </w:t>
      </w:r>
      <w:r w:rsidRPr="009B1F9A">
        <w:rPr>
          <w:sz w:val="16"/>
        </w:rPr>
        <w:lastRenderedPageBreak/>
        <w:t>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79021921" w14:textId="77777777" w:rsidR="00F06938" w:rsidRPr="009B1F9A" w:rsidRDefault="00F06938" w:rsidP="00F06938">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608B0AB7" w14:textId="77777777" w:rsidR="00F06938" w:rsidRDefault="00F06938" w:rsidP="00F06938"/>
    <w:p w14:paraId="5126E579" w14:textId="77777777" w:rsidR="00F06938" w:rsidRDefault="00F06938" w:rsidP="00F06938">
      <w:pPr>
        <w:pStyle w:val="Heading4"/>
      </w:pPr>
      <w:r>
        <w:t xml:space="preserve">The next market crash causes economic collapse – conditions are </w:t>
      </w:r>
      <w:r w:rsidRPr="00E735B5">
        <w:rPr>
          <w:u w:val="single"/>
        </w:rPr>
        <w:t>ripe</w:t>
      </w:r>
      <w:r>
        <w:t xml:space="preserve"> for failure.</w:t>
      </w:r>
    </w:p>
    <w:p w14:paraId="5C3E2860" w14:textId="77777777" w:rsidR="00F06938" w:rsidRPr="00E735B5" w:rsidRDefault="00F06938" w:rsidP="00F06938">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2" w:history="1">
        <w:r w:rsidRPr="00270F2A">
          <w:rPr>
            <w:rStyle w:val="Hyperlink"/>
          </w:rPr>
          <w:t>https://www.independent.co.uk/news/world/americas/us-politics/robert-kiyosaki-market-crash-october-b1930754.html</w:t>
        </w:r>
      </w:hyperlink>
      <w:r>
        <w:t>] Justin</w:t>
      </w:r>
    </w:p>
    <w:p w14:paraId="579FC769" w14:textId="77777777" w:rsidR="00F06938" w:rsidRPr="009D4C40" w:rsidRDefault="00F06938" w:rsidP="00F06938">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Kiyosaki said. </w:t>
      </w:r>
      <w:proofErr w:type="spellStart"/>
      <w:r w:rsidRPr="00E735B5">
        <w:rPr>
          <w:sz w:val="16"/>
        </w:rPr>
        <w:t>Mr</w:t>
      </w:r>
      <w:proofErr w:type="spellEnd"/>
      <w:r w:rsidRPr="00E735B5">
        <w:rPr>
          <w:sz w:val="16"/>
        </w:rPr>
        <w:t xml:space="preserve">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xml:space="preserve">. </w:t>
      </w:r>
      <w:proofErr w:type="spellStart"/>
      <w:r w:rsidRPr="00E735B5">
        <w:rPr>
          <w:sz w:val="16"/>
        </w:rPr>
        <w:t>Mr</w:t>
      </w:r>
      <w:proofErr w:type="spellEnd"/>
      <w:r w:rsidRPr="00E735B5">
        <w:rPr>
          <w:sz w:val="16"/>
        </w:rPr>
        <w:t xml:space="preserve">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w:t>
      </w:r>
      <w:proofErr w:type="gramStart"/>
      <w:r w:rsidRPr="00E735B5">
        <w:rPr>
          <w:sz w:val="16"/>
        </w:rPr>
        <w:t>So</w:t>
      </w:r>
      <w:proofErr w:type="gramEnd"/>
      <w:r w:rsidRPr="00E735B5">
        <w:rPr>
          <w:sz w:val="16"/>
        </w:rPr>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w:t>
      </w:r>
      <w:proofErr w:type="gramStart"/>
      <w:r w:rsidRPr="00E735B5">
        <w:rPr>
          <w:sz w:val="16"/>
        </w:rPr>
        <w:t>So</w:t>
      </w:r>
      <w:proofErr w:type="gramEnd"/>
      <w:r w:rsidRPr="00E735B5">
        <w:rPr>
          <w:sz w:val="16"/>
        </w:rPr>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27B1ED80" w14:textId="77777777" w:rsidR="00F06938" w:rsidRPr="00E735B5" w:rsidRDefault="00F06938" w:rsidP="00F06938"/>
    <w:p w14:paraId="6FF0FF9E" w14:textId="77777777" w:rsidR="00F06938" w:rsidRPr="002D4E30" w:rsidRDefault="00F06938" w:rsidP="00F06938">
      <w:pPr>
        <w:pStyle w:val="Heading4"/>
      </w:pPr>
      <w:r>
        <w:t>Extinction.</w:t>
      </w:r>
    </w:p>
    <w:p w14:paraId="0B8B527A" w14:textId="77777777" w:rsidR="00F06938" w:rsidRDefault="00F06938" w:rsidP="00F06938">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3E7CF1">
          <w:rPr>
            <w:rStyle w:val="Hyperlink"/>
          </w:rPr>
          <w:t>https://www.weforum.org/agenda/2018/11/the-next-economic-crisis-could-cause-a-global-conflict-heres-why/</w:t>
        </w:r>
      </w:hyperlink>
      <w:r>
        <w:t>] Justin</w:t>
      </w:r>
    </w:p>
    <w:p w14:paraId="7AE7D261" w14:textId="77777777" w:rsidR="00F06938" w:rsidRPr="006F4CEA" w:rsidRDefault="00F06938" w:rsidP="00F06938">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w:t>
      </w:r>
      <w:r w:rsidRPr="00A010E6">
        <w:rPr>
          <w:rStyle w:val="StyleUnderline"/>
        </w:rPr>
        <w:lastRenderedPageBreak/>
        <w:t xml:space="preserve">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2A7EDF0E" w14:textId="77777777" w:rsidR="00F06938" w:rsidRPr="0038167F" w:rsidRDefault="00F06938" w:rsidP="00F06938">
      <w:pPr>
        <w:rPr>
          <w:sz w:val="16"/>
        </w:rPr>
      </w:pPr>
    </w:p>
    <w:p w14:paraId="71A19B5C" w14:textId="218C6B8E" w:rsidR="00F06938" w:rsidRDefault="00F06938" w:rsidP="00F06938">
      <w:pPr>
        <w:pStyle w:val="Heading2"/>
      </w:pPr>
      <w:r>
        <w:lastRenderedPageBreak/>
        <w:t>2</w:t>
      </w:r>
    </w:p>
    <w:p w14:paraId="50021058" w14:textId="77777777" w:rsidR="00F06938" w:rsidRPr="00D728BE" w:rsidRDefault="00F06938" w:rsidP="00F06938">
      <w:pPr>
        <w:pStyle w:val="Heading4"/>
      </w:pPr>
      <w:r>
        <w:t xml:space="preserve">Bill passes now- negotiations are holding with Manchin and </w:t>
      </w:r>
      <w:proofErr w:type="spellStart"/>
      <w:r>
        <w:t>Sinema</w:t>
      </w:r>
      <w:proofErr w:type="spellEnd"/>
      <w:r>
        <w:t xml:space="preserve">-but UN meeting and state elections make it so that there is </w:t>
      </w:r>
      <w:r w:rsidRPr="00D728BE">
        <w:rPr>
          <w:u w:val="single"/>
        </w:rPr>
        <w:t>no margin for error</w:t>
      </w:r>
    </w:p>
    <w:p w14:paraId="7A39EDF6" w14:textId="77777777" w:rsidR="00F06938" w:rsidRPr="004012BA" w:rsidRDefault="00F06938" w:rsidP="00F06938">
      <w:r w:rsidRPr="004012BA">
        <w:rPr>
          <w:rStyle w:val="Style13ptBold"/>
        </w:rPr>
        <w:t>Edmonson and Cochrane 10-24</w:t>
      </w:r>
      <w:r>
        <w:t xml:space="preserve"> </w:t>
      </w:r>
      <w:r w:rsidRPr="004012BA">
        <w:t xml:space="preserve">Catie Edmondson and Emily Cochrane, 10-24-2021, "Biden Meets </w:t>
      </w:r>
      <w:proofErr w:type="gramStart"/>
      <w:r w:rsidRPr="004012BA">
        <w:t>With</w:t>
      </w:r>
      <w:proofErr w:type="gramEnd"/>
      <w:r w:rsidRPr="004012BA">
        <w:t xml:space="preserve"> Manchin and Schumer as Democrats Race to Finish Social Policy Bill," </w:t>
      </w:r>
      <w:r>
        <w:t>New York Times</w:t>
      </w:r>
      <w:r w:rsidRPr="004012BA">
        <w:t>, https://www.nytimes.com/2021/10/24/us/politics/biden-manchin-schumer-spending-bill.html</w:t>
      </w:r>
      <w:r>
        <w:t>/SJKS</w:t>
      </w:r>
    </w:p>
    <w:p w14:paraId="1B6AE916" w14:textId="77777777" w:rsidR="00F06938" w:rsidRPr="00D728BE" w:rsidRDefault="00F06938" w:rsidP="00F06938">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14"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5" w:history="1">
        <w:r w:rsidRPr="00C74B19">
          <w:rPr>
            <w:rStyle w:val="Hyperlink"/>
            <w:sz w:val="16"/>
          </w:rPr>
          <w:t>domestic policy plan</w:t>
        </w:r>
      </w:hyperlink>
      <w:r w:rsidRPr="00C74B19">
        <w:rPr>
          <w:sz w:val="16"/>
        </w:rPr>
        <w:t xml:space="preserve"> have delayed an agreement on how to trim the initial $3.5 trillion blueprint Democrats passed this year. </w:t>
      </w:r>
      <w:proofErr w:type="gramStart"/>
      <w:r w:rsidRPr="00C74B19">
        <w:rPr>
          <w:sz w:val="16"/>
        </w:rPr>
        <w:t>In order to</w:t>
      </w:r>
      <w:proofErr w:type="gramEnd"/>
      <w:r w:rsidRPr="00C74B19">
        <w:rPr>
          <w:sz w:val="16"/>
        </w:rPr>
        <w:t xml:space="preserve">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w:t>
      </w:r>
      <w:proofErr w:type="spellStart"/>
      <w:r w:rsidRPr="000A2CE9">
        <w:rPr>
          <w:rStyle w:val="Emphasis"/>
        </w:rPr>
        <w:t>Kyrsten</w:t>
      </w:r>
      <w:proofErr w:type="spellEnd"/>
      <w:r w:rsidRPr="000A2CE9">
        <w:rPr>
          <w:rStyle w:val="Emphasis"/>
        </w:rPr>
        <w:t xml:space="preserve"> </w:t>
      </w:r>
      <w:proofErr w:type="spellStart"/>
      <w:r w:rsidRPr="00D728BE">
        <w:rPr>
          <w:rStyle w:val="Emphasis"/>
          <w:highlight w:val="green"/>
        </w:rPr>
        <w:t>Sinema</w:t>
      </w:r>
      <w:proofErr w:type="spellEnd"/>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w:t>
      </w:r>
      <w:proofErr w:type="gramStart"/>
      <w:r w:rsidRPr="00C74B19">
        <w:rPr>
          <w:sz w:val="16"/>
        </w:rPr>
        <w:t>education</w:t>
      </w:r>
      <w:proofErr w:type="gramEnd"/>
      <w:r w:rsidRPr="00C74B19">
        <w:rPr>
          <w:sz w:val="16"/>
        </w:rPr>
        <w:t xml:space="preserve">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6"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The president looked us in the eye, and 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w:t>
      </w:r>
      <w:proofErr w:type="gramStart"/>
      <w:r w:rsidRPr="00C74B19">
        <w:rPr>
          <w:sz w:val="16"/>
        </w:rPr>
        <w:t>a number of</w:t>
      </w:r>
      <w:proofErr w:type="gramEnd"/>
      <w:r w:rsidRPr="00C74B19">
        <w:rPr>
          <w:sz w:val="16"/>
        </w:rPr>
        <w:t xml:space="preserve">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 xml:space="preserve">were still haggling over </w:t>
      </w:r>
      <w:proofErr w:type="gramStart"/>
      <w:r w:rsidRPr="00D728BE">
        <w:rPr>
          <w:rStyle w:val="Emphasis"/>
          <w:highlight w:val="green"/>
        </w:rPr>
        <w:t>a number of</w:t>
      </w:r>
      <w:proofErr w:type="gramEnd"/>
      <w:r w:rsidRPr="00D728BE">
        <w:rPr>
          <w:rStyle w:val="Emphasis"/>
          <w:highlight w:val="green"/>
        </w:rPr>
        <w:t xml:space="preserve">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xml:space="preserve">, Democratic officials are urging for him to accept more spending </w:t>
      </w:r>
      <w:proofErr w:type="gramStart"/>
      <w:r w:rsidRPr="00D728BE">
        <w:rPr>
          <w:sz w:val="16"/>
        </w:rPr>
        <w:t>in order to</w:t>
      </w:r>
      <w:proofErr w:type="gramEnd"/>
      <w:r w:rsidRPr="00D728BE">
        <w:rPr>
          <w:sz w:val="16"/>
        </w:rPr>
        <w:t xml:space="preserve"> avoid dropping other programs.</w:t>
      </w:r>
    </w:p>
    <w:p w14:paraId="6F7CA810" w14:textId="77777777" w:rsidR="00F06938" w:rsidRDefault="00F06938" w:rsidP="00F06938"/>
    <w:p w14:paraId="1C485B0F" w14:textId="77777777" w:rsidR="00F06938" w:rsidRDefault="00F06938" w:rsidP="00F06938">
      <w:pPr>
        <w:pStyle w:val="Heading4"/>
      </w:pPr>
      <w:r>
        <w:t xml:space="preserve">Labor reform saps PC – empirically prove with Obama, corporate opposition, and Democratic resistance </w:t>
      </w:r>
    </w:p>
    <w:p w14:paraId="1EDA21FF" w14:textId="77777777" w:rsidR="00F06938" w:rsidRPr="00D57A2E" w:rsidRDefault="00F06938" w:rsidP="00F06938">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3156FB6B" w14:textId="77777777" w:rsidR="00F06938" w:rsidRPr="002010BA" w:rsidRDefault="00F06938" w:rsidP="00F06938">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7" w:history="1">
        <w:r w:rsidRPr="002010BA">
          <w:rPr>
            <w:rStyle w:val="Hyperlink"/>
            <w:sz w:val="16"/>
          </w:rPr>
          <w:t>coalesced</w:t>
        </w:r>
      </w:hyperlink>
      <w:r w:rsidRPr="002010BA">
        <w:rPr>
          <w:sz w:val="16"/>
        </w:rPr>
        <w:t xml:space="preserve"> around Biden, a self-professed “</w:t>
      </w:r>
      <w:hyperlink r:id="rId18" w:history="1">
        <w:r w:rsidRPr="002010BA">
          <w:rPr>
            <w:rStyle w:val="Hyperlink"/>
            <w:sz w:val="16"/>
          </w:rPr>
          <w:t>union guy</w:t>
        </w:r>
      </w:hyperlink>
      <w:r w:rsidRPr="002010BA">
        <w:rPr>
          <w:sz w:val="16"/>
        </w:rPr>
        <w:t xml:space="preserve">,” after the primaries and </w:t>
      </w:r>
      <w:hyperlink r:id="rId19" w:history="1">
        <w:r w:rsidRPr="002010BA">
          <w:rPr>
            <w:rStyle w:val="Hyperlink"/>
            <w:sz w:val="16"/>
          </w:rPr>
          <w:t>helped deliver</w:t>
        </w:r>
      </w:hyperlink>
      <w:r w:rsidRPr="002010BA">
        <w:rPr>
          <w:sz w:val="16"/>
        </w:rPr>
        <w:t xml:space="preserve"> him to the White House in the hope that doing so would lead to </w:t>
      </w:r>
      <w:hyperlink r:id="rId20"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21"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22"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23" w:history="1">
        <w:r w:rsidRPr="002010BA">
          <w:rPr>
            <w:rStyle w:val="Hyperlink"/>
            <w:sz w:val="16"/>
          </w:rPr>
          <w:t>left with Biden’s wallet</w:t>
        </w:r>
      </w:hyperlink>
      <w:r w:rsidRPr="002010BA">
        <w:rPr>
          <w:sz w:val="16"/>
        </w:rPr>
        <w:t xml:space="preserve">,” dryly </w:t>
      </w:r>
      <w:hyperlink r:id="rId24"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5"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70F81228" w14:textId="77777777" w:rsidR="00F06938" w:rsidRDefault="00F06938" w:rsidP="00F06938">
      <w:pPr>
        <w:pStyle w:val="Heading4"/>
      </w:pPr>
      <w:r>
        <w:lastRenderedPageBreak/>
        <w:t xml:space="preserve">Infrastructure secures the grid against </w:t>
      </w:r>
      <w:r w:rsidRPr="00DF7150">
        <w:rPr>
          <w:u w:val="single"/>
        </w:rPr>
        <w:t>worsening</w:t>
      </w:r>
      <w:r>
        <w:t xml:space="preserve"> and </w:t>
      </w:r>
      <w:r w:rsidRPr="00DF7150">
        <w:rPr>
          <w:u w:val="single"/>
        </w:rPr>
        <w:t>increasing</w:t>
      </w:r>
      <w:r>
        <w:t xml:space="preserve"> cyberattacks.</w:t>
      </w:r>
    </w:p>
    <w:p w14:paraId="77DD8403" w14:textId="77777777" w:rsidR="00F06938" w:rsidRPr="00DF7150" w:rsidRDefault="00F06938" w:rsidP="00F06938">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26" w:history="1">
        <w:r w:rsidRPr="00F623D7">
          <w:rPr>
            <w:rStyle w:val="Hyperlink"/>
          </w:rPr>
          <w:t>https://www.jdsupra.com/legalnews/the-us-senate-infrastructure-bill-4989100/</w:t>
        </w:r>
      </w:hyperlink>
      <w:r>
        <w:t>] Justin</w:t>
      </w:r>
    </w:p>
    <w:p w14:paraId="081E4E1F" w14:textId="77777777" w:rsidR="00F06938" w:rsidRDefault="00F06938" w:rsidP="00F06938">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0DA7A573" w14:textId="77777777" w:rsidR="00F06938" w:rsidRDefault="00F06938" w:rsidP="00F06938"/>
    <w:p w14:paraId="7382EA5E" w14:textId="77777777" w:rsidR="00F06938" w:rsidRDefault="00F06938" w:rsidP="00F06938">
      <w:pPr>
        <w:pStyle w:val="Heading4"/>
        <w:rPr>
          <w:u w:val="single"/>
        </w:rPr>
      </w:pPr>
      <w:r>
        <w:t>Cyberattacks on the grid spiral to all-out nuclear conflict.</w:t>
      </w:r>
    </w:p>
    <w:p w14:paraId="0065FDD5" w14:textId="77777777" w:rsidR="00F06938" w:rsidRDefault="00F06938" w:rsidP="00F06938">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7" w:history="1">
        <w:r w:rsidRPr="00D26E47">
          <w:rPr>
            <w:rStyle w:val="Hyperlink"/>
          </w:rPr>
          <w:t>https://www.armscontrol.org/act/2019-11/features/cyber-battles-nuclear-outcomes-dangerous-new-pathways-escalation</w:t>
        </w:r>
      </w:hyperlink>
      <w:r>
        <w:rPr>
          <w:rStyle w:val="Hyperlink"/>
        </w:rPr>
        <w:t>] Justin</w:t>
      </w:r>
    </w:p>
    <w:p w14:paraId="63C77439" w14:textId="77777777" w:rsidR="00F06938" w:rsidRDefault="00F06938" w:rsidP="00F06938">
      <w:pPr>
        <w:rPr>
          <w:rStyle w:val="StyleUnderline"/>
        </w:rPr>
      </w:pPr>
      <w:r w:rsidRPr="00B7045F">
        <w:rPr>
          <w:sz w:val="16"/>
        </w:rPr>
        <w:lastRenderedPageBreak/>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2306E1DB" w14:textId="441F95DB" w:rsidR="00F06938" w:rsidRDefault="00F06938" w:rsidP="00F06938">
      <w:pPr>
        <w:pStyle w:val="Heading2"/>
      </w:pPr>
      <w:r>
        <w:lastRenderedPageBreak/>
        <w:t>3</w:t>
      </w:r>
    </w:p>
    <w:p w14:paraId="7FE253B6" w14:textId="77777777" w:rsidR="00F06938" w:rsidRDefault="00F06938" w:rsidP="00F06938">
      <w:pPr>
        <w:pStyle w:val="Heading4"/>
      </w:pPr>
      <w:r>
        <w:t xml:space="preserve">Tech can solve infrastructure concerns but needs to be </w:t>
      </w:r>
      <w:r w:rsidRPr="00E97EA7">
        <w:rPr>
          <w:u w:val="single"/>
        </w:rPr>
        <w:t>integrated</w:t>
      </w:r>
      <w:r>
        <w:t xml:space="preserve"> – operators are </w:t>
      </w:r>
      <w:r w:rsidRPr="00E97EA7">
        <w:rPr>
          <w:u w:val="single"/>
        </w:rPr>
        <w:t>key</w:t>
      </w:r>
      <w:r>
        <w:t>.</w:t>
      </w:r>
    </w:p>
    <w:p w14:paraId="28B27B68" w14:textId="77777777" w:rsidR="00F06938" w:rsidRPr="00E97EA7" w:rsidRDefault="00F06938" w:rsidP="00F06938">
      <w:r w:rsidRPr="00E97EA7">
        <w:rPr>
          <w:rStyle w:val="Style13ptBold"/>
        </w:rPr>
        <w:t>Jacobs 5/31</w:t>
      </w:r>
      <w:r>
        <w:t xml:space="preserve"> [Lionel; </w:t>
      </w:r>
      <w:r w:rsidRPr="00E97EA7">
        <w:t xml:space="preserve">Senior Security Architect in the Palo Alto Networks ICS and SCADA solutions team. Coming from the asset-owner </w:t>
      </w:r>
      <w:proofErr w:type="gramStart"/>
      <w:r w:rsidRPr="00E97EA7">
        <w:t>side ,</w:t>
      </w:r>
      <w:proofErr w:type="gramEnd"/>
      <w:r w:rsidRPr="00E97EA7">
        <w:t xml:space="preserve">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w:t>
      </w:r>
      <w:proofErr w:type="gramStart"/>
      <w:r w:rsidRPr="00E97EA7">
        <w:t>large scale</w:t>
      </w:r>
      <w:proofErr w:type="gramEnd"/>
      <w:r w:rsidRPr="00E97EA7">
        <w:t xml:space="preserv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w:t>
      </w:r>
      <w:r>
        <w:t>; “</w:t>
      </w:r>
      <w:r w:rsidRPr="00E97EA7">
        <w:t>Critical Infrastructure Protection: Physical and Cyber Security Both Matter</w:t>
      </w:r>
      <w:r>
        <w:t xml:space="preserve">,” </w:t>
      </w:r>
      <w:proofErr w:type="spellStart"/>
      <w:r>
        <w:t>eSecurity</w:t>
      </w:r>
      <w:proofErr w:type="spellEnd"/>
      <w:r>
        <w:t xml:space="preserve"> Planet; 5/31/21; </w:t>
      </w:r>
      <w:hyperlink r:id="rId28" w:history="1">
        <w:r w:rsidRPr="00540FF3">
          <w:rPr>
            <w:rStyle w:val="Hyperlink"/>
          </w:rPr>
          <w:t>https://www.esecurityplanet.com/networks/critical-infrastructure-protection-physical-cybersecurity/</w:t>
        </w:r>
      </w:hyperlink>
      <w:r>
        <w:t>] Justin</w:t>
      </w:r>
    </w:p>
    <w:p w14:paraId="62351C39" w14:textId="77777777" w:rsidR="00F06938" w:rsidRPr="00E97EA7" w:rsidRDefault="00F06938" w:rsidP="00F06938">
      <w:pPr>
        <w:rPr>
          <w:sz w:val="16"/>
        </w:rPr>
      </w:pPr>
      <w:r w:rsidRPr="00E97EA7">
        <w:rPr>
          <w:sz w:val="16"/>
        </w:rPr>
        <w:t>Segmentation based on business criteria</w:t>
      </w:r>
    </w:p>
    <w:p w14:paraId="2A888F93" w14:textId="77777777" w:rsidR="00F06938" w:rsidRPr="00E97EA7" w:rsidRDefault="00F06938" w:rsidP="00F06938">
      <w:pPr>
        <w:rPr>
          <w:u w:val="single"/>
        </w:rPr>
      </w:pP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p>
    <w:p w14:paraId="53F8BE36" w14:textId="77777777" w:rsidR="00F06938" w:rsidRPr="00E97EA7" w:rsidRDefault="00F06938" w:rsidP="00F06938">
      <w:pPr>
        <w:rPr>
          <w:sz w:val="16"/>
        </w:rPr>
      </w:pPr>
      <w:r w:rsidRPr="00E97EA7">
        <w:rPr>
          <w:sz w:val="16"/>
        </w:rPr>
        <w:t>IoT/</w:t>
      </w:r>
      <w:proofErr w:type="spellStart"/>
      <w:r w:rsidRPr="00E97EA7">
        <w:rPr>
          <w:sz w:val="16"/>
        </w:rPr>
        <w:t>IIoT</w:t>
      </w:r>
      <w:proofErr w:type="spellEnd"/>
      <w:r w:rsidRPr="00E97EA7">
        <w:rPr>
          <w:sz w:val="16"/>
        </w:rPr>
        <w:t xml:space="preserve">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w:t>
      </w:r>
      <w:proofErr w:type="gramStart"/>
      <w:r w:rsidRPr="00E97EA7">
        <w:rPr>
          <w:sz w:val="16"/>
        </w:rPr>
        <w:t>So</w:t>
      </w:r>
      <w:proofErr w:type="gramEnd"/>
      <w:r w:rsidRPr="00E97EA7">
        <w:rPr>
          <w:sz w:val="16"/>
        </w:rPr>
        <w:t xml:space="preserve"> O&amp;G needs to have a definite plan on how they will address this growing trend, and a zero trust-based strategy offers the best means of doing this integration in a safe, secure, and, most important, reversible manner.</w:t>
      </w:r>
    </w:p>
    <w:p w14:paraId="08A60639" w14:textId="77777777" w:rsidR="00F06938" w:rsidRPr="00E97EA7" w:rsidRDefault="00F06938" w:rsidP="00F06938">
      <w:pPr>
        <w:rPr>
          <w:sz w:val="16"/>
        </w:rPr>
      </w:pPr>
      <w:r w:rsidRPr="00E97EA7">
        <w:rPr>
          <w:sz w:val="16"/>
        </w:rPr>
        <w:t>Camera and sensor security</w:t>
      </w:r>
    </w:p>
    <w:p w14:paraId="64495BB2" w14:textId="77777777" w:rsidR="00F06938" w:rsidRPr="00E97EA7" w:rsidRDefault="00F06938" w:rsidP="00F06938">
      <w:pPr>
        <w:rPr>
          <w:u w:val="single"/>
        </w:rPr>
      </w:pP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p>
    <w:p w14:paraId="6D4FB532" w14:textId="77777777" w:rsidR="00F06938" w:rsidRPr="00E97EA7" w:rsidRDefault="00F06938" w:rsidP="00F06938">
      <w:pPr>
        <w:rPr>
          <w:sz w:val="16"/>
        </w:rPr>
      </w:pP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p>
    <w:p w14:paraId="25E730D5" w14:textId="77777777" w:rsidR="00F06938" w:rsidRPr="00E97EA7" w:rsidRDefault="00F06938" w:rsidP="00F06938">
      <w:pPr>
        <w:rPr>
          <w:sz w:val="16"/>
        </w:rPr>
      </w:pPr>
      <w:r w:rsidRPr="00E97EA7">
        <w:rPr>
          <w:sz w:val="16"/>
        </w:rPr>
        <w:t>Zoning limits damage</w:t>
      </w:r>
    </w:p>
    <w:p w14:paraId="314923FC" w14:textId="77777777" w:rsidR="00F06938" w:rsidRPr="00E97EA7" w:rsidRDefault="00F06938" w:rsidP="00F06938">
      <w:pPr>
        <w:rPr>
          <w:u w:val="single"/>
        </w:rPr>
      </w:pPr>
      <w:proofErr w:type="gramStart"/>
      <w:r w:rsidRPr="00E97EA7">
        <w:rPr>
          <w:sz w:val="16"/>
        </w:rPr>
        <w:t>So</w:t>
      </w:r>
      <w:proofErr w:type="gramEnd"/>
      <w:r w:rsidRPr="00E97EA7">
        <w:rPr>
          <w:sz w:val="16"/>
        </w:rPr>
        <w:t xml:space="preserve">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p>
    <w:p w14:paraId="5DF654C2" w14:textId="77777777" w:rsidR="00F06938" w:rsidRPr="00E97EA7" w:rsidRDefault="00F06938" w:rsidP="00F06938">
      <w:pPr>
        <w:rPr>
          <w:sz w:val="16"/>
        </w:rPr>
      </w:pPr>
      <w:r w:rsidRPr="00E97EA7">
        <w:rPr>
          <w:sz w:val="16"/>
        </w:rPr>
        <w:lastRenderedPageBreak/>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4E1E8AFD" w14:textId="77777777" w:rsidR="00F06938" w:rsidRPr="00E97EA7" w:rsidRDefault="00F06938" w:rsidP="00F06938">
      <w:pPr>
        <w:rPr>
          <w:sz w:val="16"/>
        </w:rPr>
      </w:pPr>
      <w:r w:rsidRPr="00E97EA7">
        <w:rPr>
          <w:sz w:val="16"/>
        </w:rPr>
        <w:t xml:space="preserve">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w:t>
      </w:r>
      <w:proofErr w:type="spellStart"/>
      <w:r w:rsidRPr="00E97EA7">
        <w:rPr>
          <w:sz w:val="16"/>
        </w:rPr>
        <w:t>transversing</w:t>
      </w:r>
      <w:proofErr w:type="spellEnd"/>
      <w:r w:rsidRPr="00E97EA7">
        <w:rPr>
          <w:sz w:val="16"/>
        </w:rPr>
        <w:t xml:space="preserve"> the network is free of a potential threat.</w:t>
      </w:r>
    </w:p>
    <w:p w14:paraId="04C6F710" w14:textId="77777777" w:rsidR="00F06938" w:rsidRPr="00C87BD7" w:rsidRDefault="00F06938" w:rsidP="00F06938"/>
    <w:p w14:paraId="6000CA8C" w14:textId="77777777" w:rsidR="00F06938" w:rsidRDefault="00F06938" w:rsidP="00F06938">
      <w:pPr>
        <w:pStyle w:val="Heading4"/>
      </w:pPr>
      <w:r>
        <w:t xml:space="preserve">Increased strikes send a </w:t>
      </w:r>
      <w:r w:rsidRPr="004C7F9B">
        <w:rPr>
          <w:u w:val="single"/>
        </w:rPr>
        <w:t>clear signal to terrorists</w:t>
      </w:r>
      <w:r>
        <w:t xml:space="preserve"> that critical US infrastructure is </w:t>
      </w:r>
      <w:r w:rsidRPr="004C7F9B">
        <w:rPr>
          <w:u w:val="single"/>
        </w:rPr>
        <w:t>vulnerable</w:t>
      </w:r>
      <w:r>
        <w:t xml:space="preserve"> by </w:t>
      </w:r>
      <w:r w:rsidRPr="00E97EA7">
        <w:rPr>
          <w:u w:val="single"/>
        </w:rPr>
        <w:t>weakening organizations</w:t>
      </w:r>
      <w:r>
        <w:t>.</w:t>
      </w:r>
    </w:p>
    <w:p w14:paraId="19673D5F" w14:textId="77777777" w:rsidR="00F06938" w:rsidRPr="004C7F9B" w:rsidRDefault="00F06938" w:rsidP="00F06938">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hyperlink r:id="rId29" w:history="1">
        <w:r w:rsidRPr="00540FF3">
          <w:rPr>
            <w:rStyle w:val="Hyperlink"/>
          </w:rPr>
          <w:t>https://papers.ssrn.com/sol3/papers.cfm?abstract_id=896185</w:t>
        </w:r>
      </w:hyperlink>
      <w:r>
        <w:t>] Justin</w:t>
      </w:r>
    </w:p>
    <w:p w14:paraId="28AA1731" w14:textId="77777777" w:rsidR="00F06938" w:rsidRPr="004C7F9B" w:rsidRDefault="00F06938" w:rsidP="00F06938">
      <w:pPr>
        <w:rPr>
          <w:sz w:val="16"/>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p>
    <w:p w14:paraId="204876B0" w14:textId="77777777" w:rsidR="00F06938" w:rsidRPr="004C7F9B" w:rsidRDefault="00F06938" w:rsidP="00F06938">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14:paraId="16FE0725" w14:textId="77777777" w:rsidR="00F06938" w:rsidRDefault="00F06938" w:rsidP="00F06938">
      <w:pPr>
        <w:rPr>
          <w:u w:val="single"/>
        </w:rPr>
      </w:pP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w:t>
      </w:r>
      <w:r w:rsidRPr="004C7F9B">
        <w:rPr>
          <w:sz w:val="16"/>
        </w:rPr>
        <w:lastRenderedPageBreak/>
        <w:t xml:space="preserve">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14:paraId="68D1A384" w14:textId="6237A53C" w:rsidR="00F06938" w:rsidRPr="00F06938" w:rsidRDefault="00F06938" w:rsidP="00F06938"/>
    <w:p w14:paraId="7A4C4F64" w14:textId="77777777" w:rsidR="00F06938" w:rsidRDefault="00F06938" w:rsidP="00F06938">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14:paraId="5C8E9D79" w14:textId="77777777" w:rsidR="00F06938" w:rsidRPr="00EC2C94" w:rsidRDefault="00F06938" w:rsidP="00F06938">
      <w:r w:rsidRPr="00EC2C94">
        <w:rPr>
          <w:rStyle w:val="Style13ptBold"/>
        </w:rPr>
        <w:t>FAS 6</w:t>
      </w:r>
      <w:r>
        <w:t xml:space="preserve"> [DCSINT </w:t>
      </w:r>
      <w:proofErr w:type="gramStart"/>
      <w:r>
        <w:t>Handbook  No.</w:t>
      </w:r>
      <w:proofErr w:type="gramEnd"/>
      <w:r>
        <w:t xml:space="preserve"> 1.02; Info directly from US army and </w:t>
      </w:r>
      <w:r w:rsidRPr="00EC2C94">
        <w:t>Deputy Chief of Staff for Intelligence</w:t>
      </w:r>
      <w:r>
        <w:t>; “</w:t>
      </w:r>
      <w:r w:rsidRPr="00EC2C94">
        <w:t>Critical Infrastructure Threats and Terrorism</w:t>
      </w:r>
      <w:r>
        <w:t>,” DCSINT/FAS; 8/10/6;</w:t>
      </w:r>
      <w:r w:rsidRPr="00EC2C94">
        <w:t xml:space="preserve"> </w:t>
      </w:r>
      <w:hyperlink r:id="rId30" w:history="1">
        <w:r w:rsidRPr="00540FF3">
          <w:rPr>
            <w:rStyle w:val="Hyperlink"/>
          </w:rPr>
          <w:t>https://fas.org/irp/threat/terrorism/sup2.pdf</w:t>
        </w:r>
      </w:hyperlink>
      <w:r>
        <w:t>] Justin</w:t>
      </w:r>
    </w:p>
    <w:p w14:paraId="663C0565" w14:textId="77777777" w:rsidR="00F06938" w:rsidRPr="00EC2C94" w:rsidRDefault="00F06938" w:rsidP="00F06938">
      <w:pPr>
        <w:rPr>
          <w:u w:val="single"/>
        </w:rPr>
      </w:pPr>
      <w:r w:rsidRPr="00A237E5">
        <w:rPr>
          <w:rStyle w:val="Emphasis"/>
        </w:rPr>
        <w:t>Agriculture</w:t>
      </w:r>
      <w:r w:rsidRPr="00EC2C94">
        <w:rPr>
          <w:u w:val="single"/>
        </w:rPr>
        <w:t xml:space="preserve"> </w:t>
      </w:r>
    </w:p>
    <w:p w14:paraId="27A7D6C0" w14:textId="77777777" w:rsidR="00F06938" w:rsidRPr="00EC2C94" w:rsidRDefault="00F06938" w:rsidP="00F06938">
      <w:pPr>
        <w:rPr>
          <w:sz w:val="16"/>
        </w:rPr>
      </w:pP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xml:space="preserve">. Damage to livestock could be very swift, the USDA calculated that foot-and mouth disease could spread to 25 states in 5 days.25 CDC is presently tracking and developing scenarios for the arrival of Avian Flu. </w:t>
      </w:r>
    </w:p>
    <w:p w14:paraId="6CE63C2B" w14:textId="77777777" w:rsidR="00F06938" w:rsidRPr="00A237E5" w:rsidRDefault="00F06938" w:rsidP="00F06938">
      <w:pPr>
        <w:rPr>
          <w:rStyle w:val="Emphasis"/>
        </w:rPr>
      </w:pPr>
      <w:r w:rsidRPr="00A237E5">
        <w:rPr>
          <w:rStyle w:val="Emphasis"/>
        </w:rPr>
        <w:t xml:space="preserve">Banking </w:t>
      </w:r>
    </w:p>
    <w:p w14:paraId="579F3535" w14:textId="77777777" w:rsidR="00F06938" w:rsidRPr="00EC2C94" w:rsidRDefault="00F06938" w:rsidP="00F06938">
      <w:pPr>
        <w:rPr>
          <w:sz w:val="16"/>
        </w:rPr>
      </w:pP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March 2005 </w:t>
      </w:r>
      <w:r w:rsidRPr="00EC2C94">
        <w:rPr>
          <w:u w:val="single"/>
        </w:rPr>
        <w:t xml:space="preserve">three British </w:t>
      </w:r>
      <w:r w:rsidRPr="00EC2C94">
        <w:rPr>
          <w:highlight w:val="green"/>
          <w:u w:val="single"/>
        </w:rPr>
        <w:t>al-</w:t>
      </w:r>
      <w:proofErr w:type="spellStart"/>
      <w:r w:rsidRPr="00EC2C94">
        <w:rPr>
          <w:highlight w:val="green"/>
          <w:u w:val="single"/>
        </w:rPr>
        <w:t>Qa’ida</w:t>
      </w:r>
      <w:proofErr w:type="spellEnd"/>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w:t>
      </w:r>
      <w:proofErr w:type="spellStart"/>
      <w:r w:rsidRPr="00EC2C94">
        <w:rPr>
          <w:u w:val="single"/>
        </w:rPr>
        <w:t>video taping</w:t>
      </w:r>
      <w:proofErr w:type="spellEnd"/>
      <w:r w:rsidRPr="00EC2C94">
        <w:rPr>
          <w:u w:val="single"/>
        </w:rPr>
        <w:t xml:space="preserve">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p>
    <w:p w14:paraId="11C90833" w14:textId="77777777" w:rsidR="00F06938" w:rsidRPr="00EC2C94" w:rsidRDefault="00F06938" w:rsidP="00F06938">
      <w:pPr>
        <w:rPr>
          <w:sz w:val="16"/>
        </w:rPr>
      </w:pP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w:t>
      </w:r>
      <w:proofErr w:type="spellStart"/>
      <w:r w:rsidRPr="00EC2C94">
        <w:rPr>
          <w:u w:val="single"/>
        </w:rPr>
        <w:t>CitiBank</w:t>
      </w:r>
      <w:proofErr w:type="spellEnd"/>
      <w:r w:rsidRPr="00EC2C94">
        <w:rPr>
          <w:u w:val="single"/>
        </w:rPr>
        <w:t xml:space="preserve">, and Chase Manhattan Bank have both been victim </w:t>
      </w:r>
      <w:r w:rsidRPr="00EC2C94">
        <w:rPr>
          <w:sz w:val="16"/>
        </w:rPr>
        <w:t>during 2005 and 2006 to phishing schemes misrepresenting their services to their clients.</w:t>
      </w:r>
    </w:p>
    <w:p w14:paraId="684C4D1D" w14:textId="77777777" w:rsidR="00F06938" w:rsidRPr="00EC2C94" w:rsidRDefault="00F06938" w:rsidP="00F06938">
      <w:pPr>
        <w:rPr>
          <w:sz w:val="16"/>
        </w:rPr>
      </w:pPr>
      <w:r w:rsidRPr="00A237E5">
        <w:rPr>
          <w:rStyle w:val="Emphasis"/>
        </w:rPr>
        <w:t>Energy</w:t>
      </w:r>
    </w:p>
    <w:p w14:paraId="52374167" w14:textId="77777777" w:rsidR="00F06938" w:rsidRPr="00EC2C94" w:rsidRDefault="00F06938" w:rsidP="00F06938">
      <w:pPr>
        <w:rPr>
          <w:sz w:val="16"/>
        </w:rPr>
      </w:pP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lastRenderedPageBreak/>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xml:space="preserve">; on October 6, </w:t>
      </w:r>
      <w:proofErr w:type="gramStart"/>
      <w:r w:rsidRPr="00EC2C94">
        <w:rPr>
          <w:sz w:val="16"/>
        </w:rPr>
        <w:t>2002</w:t>
      </w:r>
      <w:proofErr w:type="gramEnd"/>
      <w:r w:rsidRPr="00EC2C94">
        <w:rPr>
          <w:sz w:val="16"/>
        </w:rPr>
        <w:t xml:space="preserve"> a French tanker carrying 397,000 barrels of crude oil from Iran to Malaysia was rammed by an explosive laden boat off of the port of Ash </w:t>
      </w:r>
      <w:proofErr w:type="spellStart"/>
      <w:r w:rsidRPr="00EC2C94">
        <w:rPr>
          <w:sz w:val="16"/>
        </w:rPr>
        <w:t>Shihr</w:t>
      </w:r>
      <w:proofErr w:type="spellEnd"/>
      <w:r w:rsidRPr="00EC2C94">
        <w:rPr>
          <w:sz w:val="16"/>
        </w:rPr>
        <w:t>,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2CD4ED87" w14:textId="77777777" w:rsidR="00F06938" w:rsidRPr="00EC2C94" w:rsidRDefault="00F06938" w:rsidP="00F06938">
      <w:pPr>
        <w:rPr>
          <w:sz w:val="16"/>
        </w:rPr>
      </w:pPr>
      <w:r w:rsidRPr="00A237E5">
        <w:rPr>
          <w:rStyle w:val="Emphasis"/>
        </w:rPr>
        <w:t>Economy</w:t>
      </w:r>
    </w:p>
    <w:p w14:paraId="7FA9171A" w14:textId="77777777" w:rsidR="00F06938" w:rsidRPr="00A237E5" w:rsidRDefault="00F06938" w:rsidP="00F06938">
      <w:pPr>
        <w:rPr>
          <w:rStyle w:val="Emphasis"/>
        </w:rPr>
      </w:pP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w:t>
      </w:r>
      <w:proofErr w:type="spellStart"/>
      <w:proofErr w:type="gramStart"/>
      <w:r w:rsidRPr="00EC2C94">
        <w:rPr>
          <w:u w:val="single"/>
        </w:rPr>
        <w:t>it’s</w:t>
      </w:r>
      <w:proofErr w:type="spellEnd"/>
      <w:proofErr w:type="gramEnd"/>
      <w:r w:rsidRPr="00EC2C94">
        <w:rPr>
          <w:u w:val="single"/>
        </w:rPr>
        <w:t xml:space="preserve">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w:t>
      </w:r>
      <w:proofErr w:type="gramStart"/>
      <w:r w:rsidRPr="00EC2C94">
        <w:rPr>
          <w:u w:val="single"/>
        </w:rPr>
        <w:t>in an effort to</w:t>
      </w:r>
      <w:proofErr w:type="gramEnd"/>
      <w:r w:rsidRPr="00EC2C94">
        <w:rPr>
          <w:u w:val="single"/>
        </w:rPr>
        <w:t xml:space="preserve">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proofErr w:type="spellStart"/>
      <w:r w:rsidRPr="00EC2C94">
        <w:rPr>
          <w:u w:val="single"/>
        </w:rPr>
        <w:t>Cyber attacks</w:t>
      </w:r>
      <w:proofErr w:type="spellEnd"/>
      <w:r w:rsidRPr="00EC2C94">
        <w:rPr>
          <w:u w:val="single"/>
        </w:rPr>
        <w:t xml:space="preserve"> on Banking and Finance are another effort to indirectly impact the economy. The </w:t>
      </w:r>
      <w:proofErr w:type="gramStart"/>
      <w:r w:rsidRPr="00EC2C94">
        <w:rPr>
          <w:u w:val="single"/>
        </w:rPr>
        <w:t>short term</w:t>
      </w:r>
      <w:proofErr w:type="gramEnd"/>
      <w:r w:rsidRPr="00EC2C94">
        <w:rPr>
          <w:u w:val="single"/>
        </w:rPr>
        <w:t xml:space="preserve">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w:t>
      </w:r>
      <w:proofErr w:type="gramStart"/>
      <w:r w:rsidRPr="00EC2C94">
        <w:rPr>
          <w:sz w:val="16"/>
        </w:rPr>
        <w:t>medium and long term</w:t>
      </w:r>
      <w:proofErr w:type="gramEnd"/>
      <w:r w:rsidRPr="00EC2C94">
        <w:rPr>
          <w:sz w:val="16"/>
        </w:rPr>
        <w:t xml:space="preserve">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p>
    <w:p w14:paraId="14E83017" w14:textId="77777777" w:rsidR="00F06938" w:rsidRPr="00EC2C94" w:rsidRDefault="00F06938" w:rsidP="00F06938">
      <w:pPr>
        <w:rPr>
          <w:u w:val="single"/>
        </w:rPr>
      </w:pPr>
      <w:r w:rsidRPr="00A237E5">
        <w:rPr>
          <w:rStyle w:val="Emphasis"/>
        </w:rPr>
        <w:t>Transportation</w:t>
      </w:r>
    </w:p>
    <w:p w14:paraId="2A89AEB6" w14:textId="77777777" w:rsidR="00F06938" w:rsidRPr="00EC2C94" w:rsidRDefault="00F06938" w:rsidP="00F06938">
      <w:pPr>
        <w:rPr>
          <w:sz w:val="16"/>
        </w:rPr>
      </w:pPr>
      <w:r w:rsidRPr="00EC2C94">
        <w:rPr>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7F00331C" w14:textId="77777777" w:rsidR="00F06938" w:rsidRPr="00EC2C94" w:rsidRDefault="00F06938" w:rsidP="00F06938">
      <w:pPr>
        <w:rPr>
          <w:sz w:val="16"/>
        </w:rPr>
      </w:pPr>
      <w:r w:rsidRPr="00EC2C94">
        <w:rPr>
          <w:sz w:val="16"/>
        </w:rPr>
        <w:t xml:space="preserve">MST caters to large volumes of people, crammed into narrow confined spaces </w:t>
      </w:r>
    </w:p>
    <w:p w14:paraId="45B5C5D0" w14:textId="77777777" w:rsidR="00F06938" w:rsidRPr="00EC2C94" w:rsidRDefault="00F06938" w:rsidP="00F06938">
      <w:pPr>
        <w:rPr>
          <w:sz w:val="16"/>
        </w:rPr>
      </w:pPr>
      <w:r w:rsidRPr="00EC2C94">
        <w:rPr>
          <w:sz w:val="16"/>
        </w:rPr>
        <w:t>MST is designed to move large numbers of people quickly and efficiently, which is often counter to protective measure</w:t>
      </w:r>
    </w:p>
    <w:p w14:paraId="69729427" w14:textId="77777777" w:rsidR="00F06938" w:rsidRPr="00EC2C94" w:rsidRDefault="00F06938" w:rsidP="00F06938">
      <w:pPr>
        <w:rPr>
          <w:sz w:val="16"/>
        </w:rPr>
      </w:pPr>
      <w:r w:rsidRPr="00EC2C94">
        <w:rPr>
          <w:sz w:val="16"/>
        </w:rPr>
        <w:t xml:space="preserve">MST assets are enclosed, serving to amplify explosions </w:t>
      </w:r>
    </w:p>
    <w:p w14:paraId="6BAA82F8" w14:textId="77777777" w:rsidR="00F06938" w:rsidRPr="00EC2C94" w:rsidRDefault="00F06938" w:rsidP="00F06938">
      <w:pPr>
        <w:rPr>
          <w:sz w:val="16"/>
        </w:rPr>
      </w:pPr>
      <w:r w:rsidRPr="00EC2C94">
        <w:rPr>
          <w:sz w:val="16"/>
        </w:rPr>
        <w:t>MST attacks can result in “cascading effects” because communications and power conduits are usually collocated in proximity to their routes</w:t>
      </w:r>
    </w:p>
    <w:p w14:paraId="076F4607" w14:textId="77777777" w:rsidR="00F06938" w:rsidRPr="00EC2C94" w:rsidRDefault="00F06938" w:rsidP="00F06938">
      <w:pPr>
        <w:rPr>
          <w:sz w:val="16"/>
        </w:rPr>
      </w:pPr>
      <w:r w:rsidRPr="00EC2C94">
        <w:rPr>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w:t>
      </w:r>
      <w:r w:rsidRPr="00EC2C94">
        <w:rPr>
          <w:sz w:val="16"/>
        </w:rPr>
        <w:lastRenderedPageBreak/>
        <w:t xml:space="preserve">from the stations. In June of 2003 the FBI arrested </w:t>
      </w:r>
      <w:proofErr w:type="spellStart"/>
      <w:r w:rsidRPr="00EC2C94">
        <w:rPr>
          <w:sz w:val="16"/>
        </w:rPr>
        <w:t>Iyman</w:t>
      </w:r>
      <w:proofErr w:type="spellEnd"/>
      <w:r w:rsidRPr="00EC2C94">
        <w:rPr>
          <w:sz w:val="16"/>
        </w:rPr>
        <w:t xml:space="preserve"> Faris, a </w:t>
      </w:r>
      <w:proofErr w:type="gramStart"/>
      <w:r w:rsidRPr="00EC2C94">
        <w:rPr>
          <w:sz w:val="16"/>
        </w:rPr>
        <w:t>34 year old</w:t>
      </w:r>
      <w:proofErr w:type="gramEnd"/>
      <w:r w:rsidRPr="00EC2C94">
        <w:rPr>
          <w:sz w:val="16"/>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C2C94">
        <w:rPr>
          <w:u w:val="single"/>
        </w:rPr>
        <w:t xml:space="preserve">An attack on the </w:t>
      </w:r>
      <w:r w:rsidRPr="00A237E5">
        <w:rPr>
          <w:rStyle w:val="Emphasis"/>
        </w:rPr>
        <w:t>bridge</w:t>
      </w:r>
      <w:r w:rsidRPr="00EC2C94">
        <w:rPr>
          <w:u w:val="single"/>
        </w:rPr>
        <w:t xml:space="preserve"> would have not only damaged the </w:t>
      </w:r>
      <w:r w:rsidRPr="00A237E5">
        <w:rPr>
          <w:rStyle w:val="Emphasis"/>
        </w:rPr>
        <w:t>transportation infrastructure</w:t>
      </w:r>
      <w:r w:rsidRPr="00EC2C94">
        <w:rPr>
          <w:u w:val="single"/>
        </w:rPr>
        <w:t xml:space="preserve">, but also a known </w:t>
      </w:r>
      <w:r w:rsidRPr="00A237E5">
        <w:rPr>
          <w:rStyle w:val="Emphasis"/>
        </w:rPr>
        <w:t>American landmark</w:t>
      </w:r>
      <w:r w:rsidRPr="00EC2C94">
        <w:rPr>
          <w:sz w:val="16"/>
        </w:rPr>
        <w:t>. On 24 May 2006, a Pakistani immigrant was convicted on charges of plotting to blow up one of Manhattan’s busiest subway stations in retaliation for the U.S. actions at the Abu Ghraib prison.36</w:t>
      </w:r>
    </w:p>
    <w:p w14:paraId="52DE3D9A" w14:textId="77777777" w:rsidR="00F06938" w:rsidRDefault="00F06938" w:rsidP="00F06938">
      <w:pPr>
        <w:rPr>
          <w:sz w:val="16"/>
        </w:rPr>
      </w:pPr>
      <w:r w:rsidRPr="00A237E5">
        <w:rPr>
          <w:rStyle w:val="Emphasis"/>
          <w:highlight w:val="green"/>
        </w:rPr>
        <w:t>Terrorist threats to</w:t>
      </w:r>
      <w:r w:rsidRPr="00A237E5">
        <w:rPr>
          <w:rStyle w:val="Emphasis"/>
        </w:rPr>
        <w:t xml:space="preserve"> the </w:t>
      </w:r>
      <w:r w:rsidRPr="00A237E5">
        <w:rPr>
          <w:rStyle w:val="Emphasis"/>
          <w:highlight w:val="green"/>
        </w:rPr>
        <w:t>transportation</w:t>
      </w:r>
      <w:r w:rsidRPr="00A237E5">
        <w:rPr>
          <w:rStyle w:val="Emphasis"/>
        </w:rPr>
        <w:t xml:space="preserve"> infrastructure</w:t>
      </w:r>
      <w:r w:rsidRPr="00EC2C94">
        <w:rPr>
          <w:u w:val="single"/>
        </w:rPr>
        <w:t xml:space="preserve"> </w:t>
      </w:r>
      <w:r w:rsidRPr="00EC2C94">
        <w:rPr>
          <w:highlight w:val="green"/>
          <w:u w:val="single"/>
        </w:rPr>
        <w:t xml:space="preserve">extend </w:t>
      </w:r>
      <w:r w:rsidRPr="00A237E5">
        <w:rPr>
          <w:rStyle w:val="Emphasis"/>
          <w:highlight w:val="green"/>
        </w:rPr>
        <w:t>beyond land to</w:t>
      </w:r>
      <w:r w:rsidRPr="00A237E5">
        <w:rPr>
          <w:rStyle w:val="Emphasis"/>
        </w:rPr>
        <w:t xml:space="preserve"> the </w:t>
      </w:r>
      <w:r w:rsidRPr="00A237E5">
        <w:rPr>
          <w:rStyle w:val="Emphasis"/>
          <w:highlight w:val="green"/>
        </w:rPr>
        <w:t>sea</w:t>
      </w:r>
      <w:r w:rsidRPr="00EC2C94">
        <w:rPr>
          <w:sz w:val="16"/>
        </w:rPr>
        <w:t xml:space="preserve">. Vice Admiral Jonathan </w:t>
      </w:r>
      <w:proofErr w:type="spellStart"/>
      <w:r w:rsidRPr="00EC2C94">
        <w:rPr>
          <w:sz w:val="16"/>
        </w:rPr>
        <w:t>Greenert</w:t>
      </w:r>
      <w:proofErr w:type="spellEnd"/>
      <w:r w:rsidRPr="00EC2C94">
        <w:rPr>
          <w:sz w:val="16"/>
        </w:rPr>
        <w:t xml:space="preserve">, commander of the U.S. Seventh Fleet, said “one of my nightmares would be a maritime terrorism attack in the Strait of Malacca”.37 “There is a strain of al-Qaida in Southeast Asia, called Jemaah </w:t>
      </w:r>
      <w:proofErr w:type="spellStart"/>
      <w:r w:rsidRPr="00EC2C94">
        <w:rPr>
          <w:sz w:val="16"/>
        </w:rPr>
        <w:t>Islamiya</w:t>
      </w:r>
      <w:proofErr w:type="spellEnd"/>
      <w:r w:rsidRPr="00EC2C94">
        <w:rPr>
          <w:sz w:val="16"/>
        </w:rPr>
        <w:t xml:space="preserve">. They are actively pursuing a maritime terrorism capability that includes diving and mining training.”38 </w:t>
      </w:r>
      <w:r w:rsidRPr="00EC2C94">
        <w:rPr>
          <w:u w:val="single"/>
        </w:rPr>
        <w:t xml:space="preserve">As how this </w:t>
      </w:r>
      <w:r w:rsidRPr="00A237E5">
        <w:rPr>
          <w:rStyle w:val="Emphasis"/>
        </w:rPr>
        <w:t>might</w:t>
      </w:r>
      <w:r w:rsidRPr="00EC2C94">
        <w:rPr>
          <w:u w:val="single"/>
        </w:rPr>
        <w:t xml:space="preserve"> impact on the economy</w:t>
      </w:r>
      <w:r w:rsidRPr="00A237E5">
        <w:rPr>
          <w:rStyle w:val="Emphasis"/>
        </w:rPr>
        <w:t xml:space="preserve">, </w:t>
      </w:r>
      <w:r w:rsidRPr="00A237E5">
        <w:rPr>
          <w:rStyle w:val="Emphasis"/>
          <w:highlight w:val="green"/>
        </w:rPr>
        <w:t>$220 billion in trade comes through</w:t>
      </w:r>
      <w:r w:rsidRPr="00A237E5">
        <w:rPr>
          <w:rStyle w:val="Emphasis"/>
        </w:rPr>
        <w:t xml:space="preserve"> the </w:t>
      </w:r>
      <w:r w:rsidRPr="00A237E5">
        <w:rPr>
          <w:rStyle w:val="Emphasis"/>
          <w:highlight w:val="green"/>
        </w:rPr>
        <w:t>Seventh Fleet area of responsibility</w:t>
      </w:r>
      <w:r w:rsidRPr="00EC2C94">
        <w:rPr>
          <w:u w:val="single"/>
        </w:rPr>
        <w:t xml:space="preserve"> and </w:t>
      </w:r>
      <w:r w:rsidRPr="00A237E5">
        <w:rPr>
          <w:rStyle w:val="Emphasis"/>
          <w:highlight w:val="green"/>
        </w:rPr>
        <w:t>98% of the commerce is moved by sea</w:t>
      </w:r>
      <w:r w:rsidRPr="00EC2C94">
        <w:rPr>
          <w:u w:val="single"/>
        </w:rPr>
        <w:t xml:space="preserve">. Just as ports can be viewed a SPOF within the maritime transport system, there are </w:t>
      </w:r>
      <w:r w:rsidRPr="00A237E5">
        <w:rPr>
          <w:rStyle w:val="Emphasis"/>
        </w:rPr>
        <w:t>certain waterway</w:t>
      </w:r>
      <w:r w:rsidRPr="00EC2C94">
        <w:rPr>
          <w:u w:val="single"/>
        </w:rPr>
        <w:t xml:space="preserve"> </w:t>
      </w:r>
      <w:r w:rsidRPr="00A237E5">
        <w:rPr>
          <w:rStyle w:val="Emphasis"/>
        </w:rPr>
        <w:t>chokepoints</w:t>
      </w:r>
      <w:r w:rsidRPr="00EC2C94">
        <w:rPr>
          <w:u w:val="single"/>
        </w:rPr>
        <w:t xml:space="preserve"> or </w:t>
      </w:r>
      <w:r w:rsidRPr="00A237E5">
        <w:rPr>
          <w:rStyle w:val="Emphasis"/>
        </w:rPr>
        <w:t>heavily trafficked areas</w:t>
      </w:r>
      <w:r w:rsidRPr="00EC2C94">
        <w:rPr>
          <w:sz w:val="16"/>
        </w:rPr>
        <w:t xml:space="preserve"> that can be viewed as a high payoff target to a terrorist or result in catastrophic damage from a natural disaster.</w:t>
      </w:r>
    </w:p>
    <w:p w14:paraId="32EE2C97" w14:textId="77777777" w:rsidR="00F06938" w:rsidRDefault="00F06938" w:rsidP="00F06938"/>
    <w:p w14:paraId="4B881702" w14:textId="77777777" w:rsidR="00F06938" w:rsidRPr="00F06938" w:rsidRDefault="00F06938" w:rsidP="00F06938"/>
    <w:sectPr w:rsidR="00F06938" w:rsidRPr="00F069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69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516"/>
    <w:rsid w:val="000D26A6"/>
    <w:rsid w:val="000D2B90"/>
    <w:rsid w:val="000D6ED8"/>
    <w:rsid w:val="000D717B"/>
    <w:rsid w:val="000D7E7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A7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368B6"/>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3CD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00B"/>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6C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93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F21E0"/>
  <w14:defaultImageDpi w14:val="300"/>
  <w15:docId w15:val="{05F74E2F-600B-774A-B551-7DF9A43FC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69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69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69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69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069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69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938"/>
  </w:style>
  <w:style w:type="character" w:customStyle="1" w:styleId="Heading1Char">
    <w:name w:val="Heading 1 Char"/>
    <w:aliases w:val="Pocket Char"/>
    <w:basedOn w:val="DefaultParagraphFont"/>
    <w:link w:val="Heading1"/>
    <w:uiPriority w:val="9"/>
    <w:rsid w:val="00F069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69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693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069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693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0693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s"/>
    <w:basedOn w:val="DefaultParagraphFont"/>
    <w:link w:val="Emphasis1"/>
    <w:uiPriority w:val="20"/>
    <w:qFormat/>
    <w:rsid w:val="00F0693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0693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F06938"/>
    <w:rPr>
      <w:color w:val="auto"/>
      <w:u w:val="none"/>
    </w:rPr>
  </w:style>
  <w:style w:type="paragraph" w:styleId="DocumentMap">
    <w:name w:val="Document Map"/>
    <w:basedOn w:val="Normal"/>
    <w:link w:val="DocumentMapChar"/>
    <w:uiPriority w:val="99"/>
    <w:semiHidden/>
    <w:unhideWhenUsed/>
    <w:rsid w:val="00F069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6938"/>
    <w:rPr>
      <w:rFonts w:ascii="Lucida Grande" w:hAnsi="Lucida Grande" w:cs="Lucida Grande"/>
    </w:rPr>
  </w:style>
  <w:style w:type="paragraph" w:customStyle="1" w:styleId="Emphasis1">
    <w:name w:val="Emphasis1"/>
    <w:basedOn w:val="Normal"/>
    <w:link w:val="Emphasis"/>
    <w:autoRedefine/>
    <w:uiPriority w:val="20"/>
    <w:qFormat/>
    <w:rsid w:val="00F06938"/>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F0693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06938"/>
    <w:pPr>
      <w:ind w:left="720"/>
      <w:jc w:val="both"/>
    </w:pPr>
    <w:rPr>
      <w:b/>
      <w:iCs/>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hyperlink" Target="https://www.cnbc.com/2020/11/16/biden-holds-joint-meeting-with-union-leaders-and-retail-auto-tech-ceos.html" TargetMode="External"/><Relationship Id="rId26" Type="http://schemas.openxmlformats.org/officeDocument/2006/relationships/hyperlink" Target="https://www.jdsupra.com/legalnews/the-us-senate-infrastructure-bill-4989100/" TargetMode="External"/><Relationship Id="rId3" Type="http://schemas.openxmlformats.org/officeDocument/2006/relationships/customXml" Target="../customXml/item3.xml"/><Relationship Id="rId21" Type="http://schemas.openxmlformats.org/officeDocument/2006/relationships/hyperlink" Target="https://aflcio.org/press/releases/afl-cio-looks-forward-working-president-elect-joe-biden-0" TargetMode="External"/><Relationship Id="rId7" Type="http://schemas.openxmlformats.org/officeDocument/2006/relationships/settings" Target="settings.xml"/><Relationship Id="rId12" Type="http://schemas.openxmlformats.org/officeDocument/2006/relationships/hyperlink" Target="https://www.independent.co.uk/news/world/americas/us-politics/robert-kiyosaki-market-crash-october-b1930754.html" TargetMode="External"/><Relationship Id="rId17" Type="http://schemas.openxmlformats.org/officeDocument/2006/relationships/hyperlink" Target="https://progressive.org/dispatches/power-behind-win-feliz-leon-201123/" TargetMode="External"/><Relationship Id="rId25" Type="http://schemas.openxmlformats.org/officeDocument/2006/relationships/hyperlink" Target="https://www.atr.org/ab5" TargetMode="External"/><Relationship Id="rId2" Type="http://schemas.openxmlformats.org/officeDocument/2006/relationships/customXml" Target="../customXml/item2.xml"/><Relationship Id="rId16" Type="http://schemas.openxmlformats.org/officeDocument/2006/relationships/hyperlink" Target="https://www.nytimes.com/2021/10/15/climate/biden-clean-energy-manchin.html" TargetMode="External"/><Relationship Id="rId20" Type="http://schemas.openxmlformats.org/officeDocument/2006/relationships/hyperlink" Target="https://indypendent.org/2020/12/immigrants-rights-advocates-descend-on-delaware/" TargetMode="External"/><Relationship Id="rId29" Type="http://schemas.openxmlformats.org/officeDocument/2006/relationships/hyperlink" Target="https://papers.ssrn.com/sol3/papers.cfm?abstract_id=89618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24" Type="http://schemas.openxmlformats.org/officeDocument/2006/relationships/hyperlink" Target="https://theintercept.com/2020/12/28/mcconnell-trump-election/"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ytimes.com/live/2021/10/26/us/biden-spending-bill-deal" TargetMode="External"/><Relationship Id="rId23" Type="http://schemas.openxmlformats.org/officeDocument/2006/relationships/hyperlink" Target="https://theintercept.com/2019/06/24/joe-biden-tax-cuts-mitch-mconnell/" TargetMode="External"/><Relationship Id="rId28" Type="http://schemas.openxmlformats.org/officeDocument/2006/relationships/hyperlink" Target="https://www.esecurityplanet.com/networks/critical-infrastructure-protection-physical-cybersecurity/" TargetMode="External"/><Relationship Id="rId10" Type="http://schemas.openxmlformats.org/officeDocument/2006/relationships/image" Target="media/image1.png"/><Relationship Id="rId19" Type="http://schemas.openxmlformats.org/officeDocument/2006/relationships/hyperlink" Target="https://progressive.org/dispatches/bargaining-rights-with-that-feliz-leon-201229/"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nbc.com/2021/10/21/stock-market-futures-open-to-close-news.html" TargetMode="External"/><Relationship Id="rId14" Type="http://schemas.openxmlformats.org/officeDocument/2006/relationships/hyperlink" Target="https://www.nytimes.com/2021/10/26/us/politics/democrats-billionaires-tax.html" TargetMode="External"/><Relationship Id="rId22" Type="http://schemas.openxmlformats.org/officeDocument/2006/relationships/hyperlink" Target="https://www.postandcourier.com/politics/scs-rep-joe-cunningham-to-vote-against-pro-union-bill-in-break-with-democrats/article_426b38e2-4862-11ea-a0d9-77a96531c47e.html" TargetMode="External"/><Relationship Id="rId27" Type="http://schemas.openxmlformats.org/officeDocument/2006/relationships/hyperlink" Target="https://www.armscontrol.org/act/2019-11/features/cyber-battles-nuclear-outcomes-dangerous-new-pathways-escalation" TargetMode="External"/><Relationship Id="rId30" Type="http://schemas.openxmlformats.org/officeDocument/2006/relationships/hyperlink" Target="https://fas.org/irp/threat/terrorism/sup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13</Pages>
  <Words>7611</Words>
  <Characters>43384</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2021-10-30T20:09:00Z</dcterms:created>
  <dcterms:modified xsi:type="dcterms:W3CDTF">2021-10-30T21:33:00Z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