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6FF11" w14:textId="77777777" w:rsidR="00403187" w:rsidRPr="002677ED" w:rsidRDefault="00403187" w:rsidP="00403187">
      <w:pPr>
        <w:pStyle w:val="Heading4"/>
        <w:rPr>
          <w:i/>
          <w:iCs/>
        </w:rPr>
      </w:pPr>
      <w:r w:rsidRPr="002677ED">
        <w:rPr>
          <w:i/>
        </w:rPr>
        <w:t>Ethics must begin a priori</w:t>
      </w:r>
    </w:p>
    <w:p w14:paraId="52F3E31A" w14:textId="77777777" w:rsidR="00403187" w:rsidRPr="003E4733" w:rsidRDefault="00403187" w:rsidP="00403187">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715C3190" w14:textId="77777777" w:rsidR="00403187" w:rsidRDefault="00403187" w:rsidP="00403187">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78E64856" w14:textId="77777777" w:rsidR="00403187" w:rsidRPr="004535D0" w:rsidRDefault="00403187" w:rsidP="00403187">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35720228" w14:textId="77777777" w:rsidR="00403187" w:rsidRDefault="00403187" w:rsidP="00403187">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71C97632" w14:textId="77777777" w:rsidR="00403187" w:rsidRDefault="00403187" w:rsidP="00403187">
      <w:pPr>
        <w:pStyle w:val="Heading4"/>
      </w:pPr>
      <w:r>
        <w:t>Additionally</w:t>
      </w:r>
      <w:r w:rsidRPr="0088077D">
        <w:t>:</w:t>
      </w:r>
    </w:p>
    <w:p w14:paraId="58C848CF" w14:textId="77777777" w:rsidR="00403187" w:rsidRDefault="00403187" w:rsidP="00403187">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10133C28" w14:textId="77777777" w:rsidR="00403187" w:rsidRPr="00305C79" w:rsidRDefault="00403187" w:rsidP="00403187">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4CF79216" w14:textId="77777777" w:rsidR="00403187" w:rsidRPr="00305C79" w:rsidRDefault="00403187" w:rsidP="00403187">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50AC41BD" w14:textId="77777777" w:rsidR="00403187" w:rsidRPr="00305C79" w:rsidRDefault="00403187" w:rsidP="00403187">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w:t>
      </w:r>
      <w:r w:rsidRPr="00305C79">
        <w:rPr>
          <w:sz w:val="16"/>
        </w:rPr>
        <w:lastRenderedPageBreak/>
        <w:t xml:space="preserve">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7B62D123" w14:textId="77777777" w:rsidR="00403187" w:rsidRPr="00753A4F" w:rsidRDefault="00403187" w:rsidP="00403187">
      <w:pPr>
        <w:rPr>
          <w:rFonts w:asciiTheme="majorHAnsi" w:hAnsiTheme="majorHAnsi" w:cstheme="majorHAnsi"/>
          <w:b/>
          <w:u w:val="single"/>
        </w:rPr>
      </w:pPr>
    </w:p>
    <w:p w14:paraId="18FE37FC" w14:textId="77777777" w:rsidR="00403187" w:rsidRPr="00E80998" w:rsidRDefault="00403187" w:rsidP="00403187">
      <w:pPr>
        <w:pStyle w:val="Heading4"/>
      </w:pPr>
      <w:r w:rsidRPr="00E80998">
        <w:t xml:space="preserve">Thus, the standard is consistency with the categorical imperative. </w:t>
      </w:r>
    </w:p>
    <w:p w14:paraId="6BB67338" w14:textId="77777777" w:rsidR="00403187" w:rsidRDefault="00403187" w:rsidP="00403187">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516F1FC8" w14:textId="77777777" w:rsidR="00403187" w:rsidRDefault="00403187" w:rsidP="00403187">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718EE8B3" w14:textId="77777777" w:rsidR="00403187" w:rsidRPr="00305C79" w:rsidRDefault="00403187" w:rsidP="00403187">
      <w:pPr>
        <w:spacing w:after="0" w:line="240" w:lineRule="auto"/>
        <w:rPr>
          <w:b/>
          <w:bCs/>
          <w:sz w:val="26"/>
          <w:szCs w:val="26"/>
        </w:rPr>
      </w:pPr>
      <w:r w:rsidRPr="00305C79">
        <w:rPr>
          <w:rStyle w:val="Heading4Char"/>
          <w:rFonts w:cs="Calibri"/>
        </w:rPr>
        <w:t xml:space="preserve">Thus, the plan – </w:t>
      </w:r>
      <w:r w:rsidRPr="00305C79">
        <w:rPr>
          <w:rStyle w:val="Heading4Char"/>
          <w:rFonts w:cs="Calibri"/>
          <w:lang w:eastAsia="zh-CN"/>
        </w:rPr>
        <w:t>Resolved: The member nations of the World Trade Organization ought to reduce intellectual property protections for medicines.</w:t>
      </w:r>
      <w:r w:rsidRPr="00305C79">
        <w:rPr>
          <w:rStyle w:val="Heading4Char"/>
          <w:rFonts w:cs="Calibri"/>
        </w:rPr>
        <w:t xml:space="preserve"> CP</w:t>
      </w:r>
      <w:r w:rsidRPr="00305C79">
        <w:rPr>
          <w:b/>
          <w:bCs/>
          <w:color w:val="000000" w:themeColor="text1"/>
          <w:sz w:val="26"/>
          <w:szCs w:val="26"/>
        </w:rPr>
        <w:t xml:space="preserve"> and PICs affirm because they do not disprove my general thesis</w:t>
      </w:r>
      <w:r w:rsidRPr="00305C79">
        <w:rPr>
          <w:b/>
          <w:bCs/>
          <w:sz w:val="26"/>
          <w:szCs w:val="26"/>
        </w:rPr>
        <w:t>.</w:t>
      </w:r>
    </w:p>
    <w:p w14:paraId="02583283" w14:textId="77777777" w:rsidR="00403187" w:rsidRPr="005D2149" w:rsidRDefault="00403187" w:rsidP="00403187">
      <w:pPr>
        <w:pStyle w:val="Heading4"/>
        <w:rPr>
          <w:rFonts w:cs="Calibri"/>
        </w:rPr>
      </w:pPr>
      <w:r w:rsidRPr="005D2149">
        <w:rPr>
          <w:rFonts w:cs="Calibri"/>
        </w:rPr>
        <w:lastRenderedPageBreak/>
        <w:t xml:space="preserve">Enforcement through </w:t>
      </w:r>
      <w:r w:rsidRPr="005D2149">
        <w:rPr>
          <w:rFonts w:cs="Calibri"/>
          <w:u w:val="single"/>
        </w:rPr>
        <w:t>eliminating product patents solve</w:t>
      </w:r>
      <w:r w:rsidRPr="005D2149">
        <w:rPr>
          <w:rFonts w:cs="Calibri"/>
        </w:rPr>
        <w:t xml:space="preserve">- empirically proven through India to </w:t>
      </w:r>
      <w:r w:rsidRPr="005D2149">
        <w:rPr>
          <w:rFonts w:cs="Calibri"/>
          <w:u w:val="single"/>
        </w:rPr>
        <w:t>lower prices</w:t>
      </w:r>
      <w:r w:rsidRPr="005D2149">
        <w:rPr>
          <w:rFonts w:cs="Calibri"/>
        </w:rPr>
        <w:t xml:space="preserve">, create </w:t>
      </w:r>
      <w:r w:rsidRPr="005D2149">
        <w:rPr>
          <w:rFonts w:cs="Calibri"/>
          <w:u w:val="single"/>
        </w:rPr>
        <w:t>generics</w:t>
      </w:r>
      <w:r w:rsidRPr="005D2149">
        <w:rPr>
          <w:rFonts w:cs="Calibri"/>
        </w:rPr>
        <w:t xml:space="preserve">, and foster </w:t>
      </w:r>
      <w:r w:rsidRPr="005D2149">
        <w:rPr>
          <w:rFonts w:cs="Calibri"/>
          <w:u w:val="single"/>
        </w:rPr>
        <w:t>innovation</w:t>
      </w:r>
    </w:p>
    <w:p w14:paraId="0C966F2F" w14:textId="77777777" w:rsidR="00403187" w:rsidRPr="005D2149" w:rsidRDefault="00403187" w:rsidP="00403187">
      <w:r w:rsidRPr="005D2149">
        <w:rPr>
          <w:rStyle w:val="Style13ptBold"/>
        </w:rPr>
        <w:t>He 2019</w:t>
      </w:r>
      <w:r w:rsidRPr="005D2149">
        <w:t xml:space="preserve"> He, Juan (Graduate Student Graduate School at Shenzhen Tsinghua University</w:t>
      </w:r>
      <w:proofErr w:type="gramStart"/>
      <w:r w:rsidRPr="005D2149">
        <w:t>) .</w:t>
      </w:r>
      <w:proofErr w:type="gramEnd"/>
      <w:r w:rsidRPr="005D2149">
        <w:t xml:space="preserve"> "Indian Patent Law and Its Impact on the Pharmaceutical Industry: What Can China Learn from </w:t>
      </w:r>
      <w:proofErr w:type="gramStart"/>
      <w:r w:rsidRPr="005D2149">
        <w:t>India?.</w:t>
      </w:r>
      <w:proofErr w:type="gramEnd"/>
      <w:r w:rsidRPr="005D2149">
        <w:t>" Innovation, Economic Development, and Intellectual Property in India and China. Springer, Singapore, 2019. 251-</w:t>
      </w:r>
      <w:proofErr w:type="gramStart"/>
      <w:r w:rsidRPr="005D2149">
        <w:t>269./</w:t>
      </w:r>
      <w:proofErr w:type="gramEnd"/>
      <w:r w:rsidRPr="005D2149">
        <w:t>SJKS</w:t>
      </w:r>
    </w:p>
    <w:p w14:paraId="02341C45" w14:textId="77777777" w:rsidR="00403187" w:rsidRPr="005D2149" w:rsidRDefault="00403187" w:rsidP="00403187">
      <w:pPr>
        <w:rPr>
          <w:sz w:val="16"/>
        </w:rPr>
      </w:pPr>
      <w:r w:rsidRPr="005D2149">
        <w:rPr>
          <w:sz w:val="16"/>
        </w:rPr>
        <w:t xml:space="preserve">The </w:t>
      </w:r>
      <w:r w:rsidRPr="005D2149">
        <w:rPr>
          <w:i/>
          <w:iCs/>
          <w:sz w:val="16"/>
        </w:rPr>
        <w:t>Report on the Revision of the Patent Law</w:t>
      </w:r>
      <w:r w:rsidRPr="005D2149">
        <w:rPr>
          <w:sz w:val="16"/>
        </w:rPr>
        <w:t xml:space="preserve"> submitted by the Patent Law Amendment Commission in 1959,</w:t>
      </w:r>
      <w:hyperlink r:id="rId9" w:anchor="Fn34" w:history="1">
        <w:r w:rsidRPr="005D2149">
          <w:rPr>
            <w:rStyle w:val="Hyperlink"/>
            <w:sz w:val="16"/>
            <w:vertAlign w:val="superscript"/>
          </w:rPr>
          <w:t>34</w:t>
        </w:r>
      </w:hyperlink>
      <w:r w:rsidRPr="005D2149">
        <w:rPr>
          <w:sz w:val="16"/>
        </w:rPr>
        <w:t xml:space="preserve"> which was led by Shri Justice N. </w:t>
      </w:r>
      <w:proofErr w:type="spellStart"/>
      <w:r w:rsidRPr="005D2149">
        <w:rPr>
          <w:sz w:val="16"/>
        </w:rPr>
        <w:t>Rajagopala</w:t>
      </w:r>
      <w:proofErr w:type="spellEnd"/>
      <w:r w:rsidRPr="005D2149">
        <w:rPr>
          <w:sz w:val="16"/>
        </w:rPr>
        <w:t xml:space="preserve"> </w:t>
      </w:r>
      <w:proofErr w:type="spellStart"/>
      <w:r w:rsidRPr="005D2149">
        <w:rPr>
          <w:sz w:val="16"/>
        </w:rPr>
        <w:t>Ayyangar</w:t>
      </w:r>
      <w:proofErr w:type="spellEnd"/>
      <w:r w:rsidRPr="005D2149">
        <w:rPr>
          <w:sz w:val="16"/>
        </w:rPr>
        <w:t xml:space="preserve">, pointed out that at that time foreigners held 80% to 90% of India’s patents, of which 90% of the patented products were not manufactured in the Indian territory. </w:t>
      </w:r>
      <w:r w:rsidRPr="005D2149">
        <w:rPr>
          <w:rStyle w:val="Emphasis"/>
        </w:rPr>
        <w:t>Foreign companies could block the production of their patented drugs in India, causing the stagnation of the Indian domestic pharmaceutical industry. Thus, the Commission believed that the patent system had been used by multinational corporations to monopolize the market, especially in the food, pharmaceutical, and chemical industries</w:t>
      </w:r>
      <w:r w:rsidRPr="005D2149">
        <w:rPr>
          <w:sz w:val="16"/>
        </w:rPr>
        <w:t xml:space="preserve">. Market monopolies also led to high product prices. Therefore, the Commission recommended that only methods or processes in the abovementioned fields be patentable, as opposed to the Indian Patents and Designs Act of 1911, which granted patent to both product and process inventions in the pharmaceutical sector. This suggestion was adopted by the Patents Act of 1970, which has laid the foundation for the boom in India’s generic drug industry. </w:t>
      </w:r>
      <w:r w:rsidRPr="005D2149">
        <w:rPr>
          <w:rStyle w:val="Emphasis"/>
        </w:rPr>
        <w:t xml:space="preserve">According to the Patents Act of 1970, </w:t>
      </w:r>
      <w:r w:rsidRPr="005D2149">
        <w:rPr>
          <w:rStyle w:val="Emphasis"/>
          <w:highlight w:val="green"/>
        </w:rPr>
        <w:t>no patent shall be granted</w:t>
      </w:r>
      <w:r w:rsidRPr="005D2149">
        <w:rPr>
          <w:rStyle w:val="Emphasis"/>
        </w:rPr>
        <w:t xml:space="preserve"> in respect of claims for substances intended </w:t>
      </w:r>
      <w:r w:rsidRPr="005D2149">
        <w:rPr>
          <w:rStyle w:val="Emphasis"/>
          <w:highlight w:val="green"/>
        </w:rPr>
        <w:t>for use</w:t>
      </w:r>
      <w:r w:rsidRPr="005D2149">
        <w:rPr>
          <w:rStyle w:val="Emphasis"/>
        </w:rPr>
        <w:t xml:space="preserve"> or capable of being used </w:t>
      </w:r>
      <w:r w:rsidRPr="005D2149">
        <w:rPr>
          <w:rStyle w:val="Emphasis"/>
          <w:highlight w:val="green"/>
        </w:rPr>
        <w:t>as medicine or drug</w:t>
      </w:r>
      <w:r w:rsidRPr="005D2149">
        <w:rPr>
          <w:rStyle w:val="Emphasis"/>
        </w:rPr>
        <w:t xml:space="preserve"> or relating to substances prepared or produced by chemical processes. The reason that the Patents </w:t>
      </w:r>
      <w:r w:rsidRPr="005D2149">
        <w:rPr>
          <w:rStyle w:val="Emphasis"/>
          <w:highlight w:val="green"/>
        </w:rPr>
        <w:t>Act</w:t>
      </w:r>
      <w:r w:rsidRPr="005D2149">
        <w:rPr>
          <w:rStyle w:val="Emphasis"/>
        </w:rPr>
        <w:t xml:space="preserve"> of 1970 </w:t>
      </w:r>
      <w:r w:rsidRPr="005D2149">
        <w:rPr>
          <w:rStyle w:val="Emphasis"/>
          <w:highlight w:val="green"/>
        </w:rPr>
        <w:t>only grants method patents</w:t>
      </w:r>
      <w:r w:rsidRPr="005D2149">
        <w:rPr>
          <w:rStyle w:val="Emphasis"/>
        </w:rPr>
        <w:t xml:space="preserve"> in the fields of pharmaceuticals and chemicals is because </w:t>
      </w:r>
      <w:r w:rsidRPr="005D2149">
        <w:rPr>
          <w:rStyle w:val="Emphasis"/>
          <w:highlight w:val="green"/>
        </w:rPr>
        <w:t>product patents</w:t>
      </w:r>
      <w:r w:rsidRPr="005D2149">
        <w:rPr>
          <w:rStyle w:val="Emphasis"/>
        </w:rPr>
        <w:t xml:space="preserve"> have an inhibitory effect on other related research, as they can </w:t>
      </w:r>
      <w:r w:rsidRPr="005D2149">
        <w:rPr>
          <w:rStyle w:val="Emphasis"/>
          <w:highlight w:val="green"/>
        </w:rPr>
        <w:t>prevent others from obtaining the same products through different methods</w:t>
      </w:r>
      <w:r w:rsidRPr="005D2149">
        <w:rPr>
          <w:rStyle w:val="Emphasis"/>
        </w:rPr>
        <w:t xml:space="preserve">. </w:t>
      </w:r>
      <w:r w:rsidRPr="005D2149">
        <w:rPr>
          <w:rStyle w:val="Emphasis"/>
          <w:highlight w:val="green"/>
        </w:rPr>
        <w:t>Once</w:t>
      </w:r>
      <w:r w:rsidRPr="005D2149">
        <w:rPr>
          <w:rStyle w:val="Emphasis"/>
        </w:rPr>
        <w:t xml:space="preserve"> product patents are </w:t>
      </w:r>
      <w:r w:rsidRPr="005D2149">
        <w:rPr>
          <w:rStyle w:val="Emphasis"/>
          <w:highlight w:val="green"/>
        </w:rPr>
        <w:t>granted</w:t>
      </w:r>
      <w:r w:rsidRPr="005D2149">
        <w:rPr>
          <w:rStyle w:val="Emphasis"/>
        </w:rPr>
        <w:t xml:space="preserve"> to drugs, </w:t>
      </w:r>
      <w:r w:rsidRPr="005D2149">
        <w:rPr>
          <w:rStyle w:val="Emphasis"/>
          <w:highlight w:val="green"/>
        </w:rPr>
        <w:t>patentees</w:t>
      </w:r>
      <w:r w:rsidRPr="005D2149">
        <w:rPr>
          <w:rStyle w:val="Emphasis"/>
        </w:rPr>
        <w:t xml:space="preserve"> can control the production of patented drugs and thereby </w:t>
      </w:r>
      <w:r w:rsidRPr="005D2149">
        <w:rPr>
          <w:rStyle w:val="Emphasis"/>
          <w:highlight w:val="green"/>
        </w:rPr>
        <w:t>unreasonably raise the prices of essential medicines</w:t>
      </w:r>
      <w:r w:rsidRPr="005D2149">
        <w:rPr>
          <w:rStyle w:val="Emphasis"/>
        </w:rPr>
        <w:t>.</w:t>
      </w:r>
      <w:hyperlink r:id="rId10" w:anchor="Fn35" w:history="1">
        <w:r w:rsidRPr="005D2149">
          <w:rPr>
            <w:rStyle w:val="Emphasis"/>
          </w:rPr>
          <w:t>35</w:t>
        </w:r>
      </w:hyperlink>
      <w:r w:rsidRPr="005D2149">
        <w:rPr>
          <w:rStyle w:val="Emphasis"/>
        </w:rPr>
        <w:t xml:space="preserve"> Thus, the </w:t>
      </w:r>
      <w:r w:rsidRPr="005D2149">
        <w:rPr>
          <w:rStyle w:val="Emphasis"/>
          <w:highlight w:val="green"/>
        </w:rPr>
        <w:t>rejection of</w:t>
      </w:r>
      <w:r w:rsidRPr="005D2149">
        <w:rPr>
          <w:rStyle w:val="Emphasis"/>
        </w:rPr>
        <w:t xml:space="preserve"> the drug </w:t>
      </w:r>
      <w:r w:rsidRPr="005D2149">
        <w:rPr>
          <w:rStyle w:val="Emphasis"/>
          <w:highlight w:val="green"/>
        </w:rPr>
        <w:t>product patents guaranteed</w:t>
      </w:r>
      <w:r w:rsidRPr="005D2149">
        <w:rPr>
          <w:rStyle w:val="Emphasis"/>
        </w:rPr>
        <w:t xml:space="preserve"> that </w:t>
      </w:r>
      <w:r w:rsidRPr="005D2149">
        <w:rPr>
          <w:rStyle w:val="Emphasis"/>
          <w:highlight w:val="green"/>
        </w:rPr>
        <w:t>India’s generic companies could produce drugs</w:t>
      </w:r>
      <w:r w:rsidRPr="005D2149">
        <w:rPr>
          <w:rStyle w:val="Emphasis"/>
        </w:rPr>
        <w:t xml:space="preserve"> with the same or similar composition through reverse engineering and avoid being accused of infringement. </w:t>
      </w:r>
      <w:r w:rsidRPr="005D2149">
        <w:rPr>
          <w:rStyle w:val="Emphasis"/>
          <w:highlight w:val="green"/>
        </w:rPr>
        <w:t>India denied product patents</w:t>
      </w:r>
      <w:r w:rsidRPr="005D2149">
        <w:rPr>
          <w:rStyle w:val="Emphasis"/>
        </w:rPr>
        <w:t xml:space="preserve"> in the pharmaceutical sector </w:t>
      </w:r>
      <w:r w:rsidRPr="005D2149">
        <w:rPr>
          <w:rStyle w:val="Emphasis"/>
          <w:highlight w:val="green"/>
        </w:rPr>
        <w:t>until</w:t>
      </w:r>
      <w:r w:rsidRPr="005D2149">
        <w:rPr>
          <w:rStyle w:val="Emphasis"/>
        </w:rPr>
        <w:t xml:space="preserve"> the expiration of the transition period of the TRIPS Agreement on January 1, </w:t>
      </w:r>
      <w:r w:rsidRPr="005D2149">
        <w:rPr>
          <w:rStyle w:val="Emphasis"/>
          <w:highlight w:val="green"/>
        </w:rPr>
        <w:t>2005</w:t>
      </w:r>
      <w:r w:rsidRPr="005D2149">
        <w:rPr>
          <w:sz w:val="16"/>
        </w:rPr>
        <w:t>. The rejection of product patents in the pharmaceutical sector for more than 30 years has created an opportunity for the development of the generic drug industry in India. After comparing drug prices among India, the United Kingdom, Malaysia, and Nigeria, before and after the Indian Patents Act of 1970, R.B. Saxena, consultant at the Indian Council for Research on International Economic Relations, found</w:t>
      </w:r>
      <w:hyperlink r:id="rId11" w:anchor="Fn36" w:history="1">
        <w:r w:rsidRPr="005D2149">
          <w:rPr>
            <w:rStyle w:val="Hyperlink"/>
            <w:sz w:val="16"/>
            <w:vertAlign w:val="superscript"/>
          </w:rPr>
          <w:t>36</w:t>
        </w:r>
      </w:hyperlink>
      <w:r w:rsidRPr="005D2149">
        <w:rPr>
          <w:sz w:val="16"/>
        </w:rPr>
        <w:t xml:space="preserve"> that the prices of pharmaceutical products in India were highest before the enactment of the Patents Act of 1970 and that in 1987 the prices in India for commonly used drugs, such as </w:t>
      </w:r>
      <w:proofErr w:type="spellStart"/>
      <w:r w:rsidRPr="005D2149">
        <w:rPr>
          <w:sz w:val="16"/>
        </w:rPr>
        <w:t>analgin</w:t>
      </w:r>
      <w:proofErr w:type="spellEnd"/>
      <w:r w:rsidRPr="005D2149">
        <w:rPr>
          <w:sz w:val="16"/>
        </w:rPr>
        <w:t xml:space="preserve"> tablets, doxycycline capsules, diazepam tablets, and metronidazole tablets, were low compared to those of other countries. The research also found that some of the important new drugs could be introduced into India with a time lag ranging between only 4 and 6 years. </w:t>
      </w:r>
      <w:r w:rsidRPr="005D2149">
        <w:rPr>
          <w:rStyle w:val="Emphasis"/>
        </w:rPr>
        <w:t xml:space="preserve">Thus, Saxena pointed out that the changes relating to process patenting incorporated in the Indian </w:t>
      </w:r>
      <w:r w:rsidRPr="005D2149">
        <w:rPr>
          <w:rStyle w:val="Emphasis"/>
          <w:highlight w:val="green"/>
        </w:rPr>
        <w:t>Patents Act of 1970</w:t>
      </w:r>
      <w:r w:rsidRPr="005D2149">
        <w:rPr>
          <w:rStyle w:val="Emphasis"/>
        </w:rPr>
        <w:t xml:space="preserve"> had </w:t>
      </w:r>
      <w:r w:rsidRPr="005D2149">
        <w:rPr>
          <w:rStyle w:val="Emphasis"/>
          <w:highlight w:val="green"/>
        </w:rPr>
        <w:t>benefited</w:t>
      </w:r>
      <w:r w:rsidRPr="005D2149">
        <w:rPr>
          <w:rStyle w:val="Emphasis"/>
        </w:rPr>
        <w:t xml:space="preserve"> Indian consumers in terms of </w:t>
      </w:r>
      <w:r w:rsidRPr="005D2149">
        <w:rPr>
          <w:rStyle w:val="Emphasis"/>
          <w:highlight w:val="green"/>
        </w:rPr>
        <w:t>prices</w:t>
      </w:r>
      <w:r w:rsidRPr="005D2149">
        <w:rPr>
          <w:rStyle w:val="Emphasis"/>
        </w:rPr>
        <w:t xml:space="preserve"> paid for drugs and medicines </w:t>
      </w:r>
      <w:r w:rsidRPr="005D2149">
        <w:rPr>
          <w:rStyle w:val="Emphasis"/>
          <w:highlight w:val="green"/>
        </w:rPr>
        <w:t>and</w:t>
      </w:r>
      <w:r w:rsidRPr="005D2149">
        <w:rPr>
          <w:rStyle w:val="Emphasis"/>
        </w:rPr>
        <w:t xml:space="preserve">, meanwhile, it also </w:t>
      </w:r>
      <w:r w:rsidRPr="005D2149">
        <w:rPr>
          <w:rStyle w:val="Emphasis"/>
          <w:highlight w:val="green"/>
        </w:rPr>
        <w:t>became possible to produce</w:t>
      </w:r>
      <w:r w:rsidRPr="005D2149">
        <w:rPr>
          <w:rStyle w:val="Emphasis"/>
        </w:rPr>
        <w:t xml:space="preserve"> many new pharmaceutical </w:t>
      </w:r>
      <w:r w:rsidRPr="005D2149">
        <w:rPr>
          <w:rStyle w:val="Emphasis"/>
          <w:highlight w:val="green"/>
        </w:rPr>
        <w:t>products</w:t>
      </w:r>
      <w:r w:rsidRPr="005D2149">
        <w:rPr>
          <w:rStyle w:val="Emphasis"/>
        </w:rPr>
        <w:t xml:space="preserve"> in India much </w:t>
      </w:r>
      <w:r w:rsidRPr="005D2149">
        <w:rPr>
          <w:rStyle w:val="Emphasis"/>
          <w:highlight w:val="green"/>
        </w:rPr>
        <w:t>faster</w:t>
      </w:r>
      <w:r w:rsidRPr="005D2149">
        <w:rPr>
          <w:rStyle w:val="Emphasis"/>
        </w:rPr>
        <w:t xml:space="preserve"> than what could have been otherwise.</w:t>
      </w:r>
      <w:r w:rsidRPr="005D2149">
        <w:rPr>
          <w:sz w:val="16"/>
        </w:rPr>
        <w:t xml:space="preserve"> </w:t>
      </w:r>
    </w:p>
    <w:p w14:paraId="79ABE469" w14:textId="77777777" w:rsidR="00403187" w:rsidRPr="00305C79" w:rsidRDefault="00403187" w:rsidP="00403187">
      <w:pPr>
        <w:pStyle w:val="Heading4"/>
        <w:rPr>
          <w:rFonts w:cs="Calibri"/>
        </w:rPr>
      </w:pPr>
      <w:r>
        <w:rPr>
          <w:rFonts w:cs="Calibri"/>
        </w:rPr>
        <w:lastRenderedPageBreak/>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52668AF4" w14:textId="77777777" w:rsidR="00403187" w:rsidRPr="00305C79" w:rsidRDefault="00403187" w:rsidP="00403187">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42ED8164" w14:textId="77777777" w:rsidR="00403187" w:rsidRPr="00305C79" w:rsidRDefault="00403187" w:rsidP="00403187">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12"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3"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w:t>
      </w:r>
      <w:r w:rsidRPr="00305C79">
        <w:lastRenderedPageBreak/>
        <w:t xml:space="preserve">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4"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5"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6"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7" w:tgtFrame="_top" w:history="1">
        <w:r w:rsidRPr="00305C79">
          <w:rPr>
            <w:rStyle w:val="Hyperlink"/>
          </w:rPr>
          <w:t>237-238</w:t>
        </w:r>
      </w:hyperlink>
      <w:r w:rsidRPr="00305C79">
        <w:t xml:space="preserve">) </w:t>
      </w:r>
      <w:hyperlink r:id="rId18"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9"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20"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w:t>
      </w:r>
      <w:r w:rsidRPr="00305C79">
        <w:rPr>
          <w:rStyle w:val="Emphasis"/>
        </w:rPr>
        <w:lastRenderedPageBreak/>
        <w:t xml:space="preserve">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2C89AF7F" w14:textId="77777777" w:rsidR="00403187" w:rsidRPr="00305C79" w:rsidRDefault="00403187" w:rsidP="00403187"/>
    <w:p w14:paraId="21ECA8BA" w14:textId="1AF42B2A" w:rsidR="00403187" w:rsidRPr="00305C79" w:rsidRDefault="00403187" w:rsidP="00403187">
      <w:pPr>
        <w:pStyle w:val="Heading4"/>
        <w:rPr>
          <w:rFonts w:cs="Calibri"/>
        </w:rPr>
      </w:pPr>
      <w:r>
        <w:rPr>
          <w:rFonts w:cs="Calibri"/>
        </w:rPr>
        <w:t xml:space="preserve">2]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0F119967" w14:textId="77777777" w:rsidR="00403187" w:rsidRPr="00305C79" w:rsidRDefault="00403187" w:rsidP="00403187">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3136AFE1" w14:textId="77777777" w:rsidR="00403187" w:rsidRPr="00305C79" w:rsidRDefault="00403187" w:rsidP="00403187">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w:t>
      </w:r>
      <w:proofErr w:type="gramStart"/>
      <w:r w:rsidRPr="00305C79">
        <w:t>have to</w:t>
      </w:r>
      <w:proofErr w:type="gramEnd"/>
      <w:r w:rsidRPr="00305C79">
        <w:t xml:space="preserve"> write an essay on Kant’s categorical imperative. Because Y does not have the book, let’s assume that he decides, whether </w:t>
      </w:r>
      <w:proofErr w:type="gramStart"/>
      <w:r w:rsidRPr="00305C79">
        <w:t>by the use of</w:t>
      </w:r>
      <w:proofErr w:type="gramEnd"/>
      <w:r w:rsidRPr="00305C79">
        <w:t xml:space="preserve">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w:t>
      </w:r>
      <w:proofErr w:type="gramStart"/>
      <w:r w:rsidRPr="00305C79">
        <w:rPr>
          <w:rStyle w:val="Emphasis"/>
        </w:rPr>
        <w:t xml:space="preserve">Actually, </w:t>
      </w:r>
      <w:r w:rsidRPr="00305C79">
        <w:rPr>
          <w:rStyle w:val="Emphasis"/>
          <w:highlight w:val="green"/>
        </w:rPr>
        <w:t>the</w:t>
      </w:r>
      <w:proofErr w:type="gramEnd"/>
      <w:r w:rsidRPr="00305C79">
        <w:rPr>
          <w:rStyle w:val="Emphasis"/>
          <w:highlight w:val="green"/>
        </w:rPr>
        <w:t xml:space="preserv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4EBF6E46" w14:textId="77777777" w:rsidR="00403187" w:rsidRDefault="00403187" w:rsidP="00403187">
      <w:pPr>
        <w:pStyle w:val="Heading2"/>
      </w:pPr>
    </w:p>
    <w:p w14:paraId="08D3695C" w14:textId="342A1DA1" w:rsidR="00403187" w:rsidRDefault="00403187" w:rsidP="00403187">
      <w:pPr>
        <w:pStyle w:val="Heading2"/>
      </w:pPr>
      <w:r>
        <w:lastRenderedPageBreak/>
        <w:t>UV</w:t>
      </w:r>
    </w:p>
    <w:p w14:paraId="312614F8" w14:textId="1CFF4A55" w:rsidR="00403187" w:rsidRPr="00021491" w:rsidRDefault="00403187" w:rsidP="00403187">
      <w:pPr>
        <w:pStyle w:val="Heading5"/>
      </w:pPr>
      <w:r w:rsidRPr="00CE11B7">
        <w:rPr>
          <w:rFonts w:cstheme="majorHAnsi"/>
        </w:rPr>
        <w:t xml:space="preserve">[1] </w:t>
      </w:r>
      <w:proofErr w:type="spellStart"/>
      <w:r w:rsidRPr="00CE11B7">
        <w:rPr>
          <w:rFonts w:cstheme="majorHAnsi"/>
        </w:rPr>
        <w:t>Aff</w:t>
      </w:r>
      <w:proofErr w:type="spellEnd"/>
      <w:r w:rsidRPr="00CE11B7">
        <w:rPr>
          <w:rFonts w:cstheme="majorHAnsi"/>
        </w:rPr>
        <w:t xml:space="preserve"> gets 1AR theory since the neg can be infinitely abusive and I can’t check back. </w:t>
      </w:r>
      <w:proofErr w:type="spellStart"/>
      <w:r w:rsidRPr="00CE11B7">
        <w:rPr>
          <w:rFonts w:cstheme="majorHAnsi"/>
        </w:rPr>
        <w:t>Aff</w:t>
      </w:r>
      <w:proofErr w:type="spellEnd"/>
      <w:r w:rsidRPr="00CE11B7">
        <w:rPr>
          <w:rFonts w:cstheme="majorHAnsi"/>
        </w:rPr>
        <w:t xml:space="preserve"> theory is drop the debater, competing </w:t>
      </w:r>
      <w:proofErr w:type="spellStart"/>
      <w:r w:rsidRPr="00CE11B7">
        <w:rPr>
          <w:rFonts w:cstheme="majorHAnsi"/>
        </w:rPr>
        <w:t>interps</w:t>
      </w:r>
      <w:proofErr w:type="spellEnd"/>
      <w:r w:rsidRPr="00CE11B7">
        <w:rPr>
          <w:rFonts w:cstheme="majorHAnsi"/>
        </w:rPr>
        <w:t>, and the highest layer since the 1ar is too short to win both theory and substance and reasonability bites intervention since it’s up to the judge to determine. No 2NR RVI, paradigm issues, theory</w:t>
      </w:r>
      <w:r>
        <w:rPr>
          <w:rFonts w:cstheme="majorHAnsi"/>
        </w:rPr>
        <w:t>, evidence</w:t>
      </w:r>
      <w:r w:rsidRPr="00CE11B7">
        <w:rPr>
          <w:rFonts w:cstheme="majorHAnsi"/>
        </w:rPr>
        <w:t>, or new responses to AC arguments since they’d dump on it for 6 minutes and my 3-minute 2AR is spread too thin.</w:t>
      </w:r>
      <w:r>
        <w:rPr>
          <w:rFonts w:cstheme="majorHAnsi"/>
        </w:rPr>
        <w:t xml:space="preserve"> </w:t>
      </w:r>
      <w:r>
        <w:t xml:space="preserve">No RVIs on AC arguments – incentivizes a </w:t>
      </w:r>
      <w:proofErr w:type="gramStart"/>
      <w:r>
        <w:t>7 minute</w:t>
      </w:r>
      <w:proofErr w:type="gramEnd"/>
      <w:r>
        <w:t xml:space="preserve"> collapse that decks 1AR strategy.</w:t>
      </w:r>
    </w:p>
    <w:p w14:paraId="63B2D889" w14:textId="77777777" w:rsidR="00403187" w:rsidRPr="00976E44" w:rsidRDefault="00403187" w:rsidP="00403187">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5F29DB1B" w14:textId="77777777" w:rsidR="00403187" w:rsidRPr="00976E44" w:rsidRDefault="00403187" w:rsidP="00403187">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1" w:history="1">
        <w:r w:rsidRPr="00976E44">
          <w:rPr>
            <w:rStyle w:val="Hyperlink"/>
          </w:rPr>
          <w:t>https://idsa.in/issuebrief/wto-trips-waiver-covid-vaccine-rkumar-120721</w:t>
        </w:r>
      </w:hyperlink>
      <w:r w:rsidRPr="00976E44">
        <w:t>] Justin</w:t>
      </w:r>
    </w:p>
    <w:p w14:paraId="63C784C1" w14:textId="77777777" w:rsidR="00403187" w:rsidRPr="00976E44" w:rsidRDefault="00403187" w:rsidP="00403187">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783CDA2B" w14:textId="77777777" w:rsidR="00403187" w:rsidRPr="00976E44" w:rsidRDefault="00403187" w:rsidP="00403187">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w:t>
      </w:r>
      <w:r w:rsidRPr="00976E44">
        <w:rPr>
          <w:sz w:val="16"/>
        </w:rPr>
        <w:lastRenderedPageBreak/>
        <w:t xml:space="preserve">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518A9FB4" w14:textId="77777777" w:rsidR="00403187" w:rsidRPr="00976E44" w:rsidRDefault="00403187" w:rsidP="00403187">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4E1D8E70" w14:textId="77777777" w:rsidR="00403187" w:rsidRPr="00976E44" w:rsidRDefault="00403187" w:rsidP="00403187">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5EEE348E" w14:textId="77777777" w:rsidR="00403187" w:rsidRPr="00976E44" w:rsidRDefault="00403187" w:rsidP="00403187">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73630B91" w14:textId="77777777" w:rsidR="00403187" w:rsidRPr="00976E44" w:rsidRDefault="00403187" w:rsidP="00403187">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39BFADAA" w14:textId="77777777" w:rsidR="00403187" w:rsidRPr="00976E44" w:rsidRDefault="00403187" w:rsidP="00403187">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976337E" w14:textId="77777777" w:rsidR="00403187" w:rsidRPr="00976E44" w:rsidRDefault="00403187" w:rsidP="00403187">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16A22F5C" w14:textId="77777777" w:rsidR="00403187" w:rsidRPr="00976E44" w:rsidRDefault="00403187" w:rsidP="00403187">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w:t>
      </w:r>
      <w:r w:rsidRPr="00976E44">
        <w:rPr>
          <w:sz w:val="16"/>
        </w:rPr>
        <w:lastRenderedPageBreak/>
        <w:t>support of substantial public financing, hence there is a public right to the scientific achievements. Moreover, private companies reaped billions in profits from COVID-19 vaccines.</w:t>
      </w:r>
    </w:p>
    <w:p w14:paraId="66FF93F1" w14:textId="77777777" w:rsidR="00403187" w:rsidRPr="00976E44" w:rsidRDefault="00403187" w:rsidP="00403187">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75DB753D" w14:textId="77777777" w:rsidR="00403187" w:rsidRPr="00976E44" w:rsidRDefault="00403187" w:rsidP="00403187">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7F2DAC8D" w14:textId="77777777" w:rsidR="00403187" w:rsidRPr="00976E44" w:rsidRDefault="00403187" w:rsidP="00403187">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1641A61F" w14:textId="77777777" w:rsidR="00403187" w:rsidRPr="00976E44" w:rsidRDefault="00403187" w:rsidP="00403187">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6F8EA157" w14:textId="77777777" w:rsidR="00403187" w:rsidRPr="00976E44" w:rsidRDefault="00403187" w:rsidP="00403187">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lastRenderedPageBreak/>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4DD07BA5" w14:textId="5A4C6971" w:rsidR="00403187" w:rsidRDefault="00403187" w:rsidP="00403187">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0B0289A9" w14:textId="77777777" w:rsidR="00D701A9" w:rsidRPr="00976E44" w:rsidRDefault="00D701A9" w:rsidP="00D701A9">
      <w:pPr>
        <w:pStyle w:val="Heading4"/>
        <w:rPr>
          <w:rFonts w:cs="Calibri"/>
        </w:rPr>
      </w:pPr>
      <w:r w:rsidRPr="00976E44">
        <w:rPr>
          <w:rFonts w:cs="Calibri"/>
        </w:rPr>
        <w:t xml:space="preserve">Uneven development causes </w:t>
      </w:r>
      <w:r w:rsidRPr="00976E44">
        <w:rPr>
          <w:rFonts w:cs="Calibri"/>
          <w:u w:val="single"/>
        </w:rPr>
        <w:t>extinction</w:t>
      </w:r>
      <w:r w:rsidRPr="00976E44">
        <w:rPr>
          <w:rFonts w:cs="Calibri"/>
        </w:rPr>
        <w:t xml:space="preserve"> and </w:t>
      </w:r>
      <w:r w:rsidRPr="00976E44">
        <w:rPr>
          <w:rFonts w:cs="Calibri"/>
          <w:u w:val="single"/>
        </w:rPr>
        <w:t>turns every impact</w:t>
      </w:r>
      <w:r w:rsidRPr="00976E44">
        <w:rPr>
          <w:rFonts w:cs="Calibri"/>
        </w:rPr>
        <w:t>.</w:t>
      </w:r>
    </w:p>
    <w:p w14:paraId="7B67E1D2" w14:textId="77777777" w:rsidR="00D701A9" w:rsidRPr="00976E44" w:rsidRDefault="00D701A9" w:rsidP="00D701A9">
      <w:r w:rsidRPr="00976E44">
        <w:t xml:space="preserve">Hanna Samir </w:t>
      </w:r>
      <w:proofErr w:type="spellStart"/>
      <w:r w:rsidRPr="00976E44">
        <w:rPr>
          <w:b/>
          <w:bCs/>
          <w:sz w:val="26"/>
        </w:rPr>
        <w:t>Kassab</w:t>
      </w:r>
      <w:proofErr w:type="spellEnd"/>
      <w:r w:rsidRPr="00976E44">
        <w:rPr>
          <w:b/>
          <w:bCs/>
          <w:sz w:val="26"/>
        </w:rPr>
        <w:t xml:space="preserve"> 17</w:t>
      </w:r>
      <w:r w:rsidRPr="00976E44">
        <w:t xml:space="preserve">. Visiting Assistant Professor of Political Science at Northern Michigan University, Prioritization Theory and Defensive Foreign Policy. Springer International Publishing, 2017. </w:t>
      </w:r>
      <w:proofErr w:type="spellStart"/>
      <w:r w:rsidRPr="00976E44">
        <w:t>CrossRef</w:t>
      </w:r>
      <w:proofErr w:type="spellEnd"/>
      <w:r w:rsidRPr="00976E44">
        <w:t>, doi:10.1007/978-3-319-48018-3. // Re-Cut Justin</w:t>
      </w:r>
    </w:p>
    <w:p w14:paraId="5B4F35CA" w14:textId="77777777" w:rsidR="00D701A9" w:rsidRPr="00976E44" w:rsidRDefault="00D701A9" w:rsidP="00D701A9">
      <w:pPr>
        <w:rPr>
          <w:sz w:val="16"/>
        </w:rPr>
      </w:pPr>
      <w:r w:rsidRPr="00976E44">
        <w:rPr>
          <w:rStyle w:val="StyleUnderline"/>
        </w:rPr>
        <w:t xml:space="preserve">Great powers, with all their resources, </w:t>
      </w:r>
      <w:proofErr w:type="gramStart"/>
      <w:r w:rsidRPr="00976E44">
        <w:rPr>
          <w:rStyle w:val="StyleUnderline"/>
        </w:rPr>
        <w:t>power</w:t>
      </w:r>
      <w:proofErr w:type="gramEnd"/>
      <w:r w:rsidRPr="00976E44">
        <w:rPr>
          <w:rStyle w:val="StyleUnderline"/>
        </w:rPr>
        <w:t xml:space="preserve"> and influence, have inherent </w:t>
      </w:r>
      <w:r w:rsidRPr="00976E44">
        <w:rPr>
          <w:rStyle w:val="Emphasis"/>
        </w:rPr>
        <w:t>weaknesses</w:t>
      </w:r>
      <w:r w:rsidRPr="00976E44">
        <w:rPr>
          <w:sz w:val="16"/>
        </w:rPr>
        <w:t xml:space="preserve">. </w:t>
      </w:r>
      <w:r w:rsidRPr="00976E44">
        <w:rPr>
          <w:rStyle w:val="StyleUnderline"/>
        </w:rPr>
        <w:t>These</w:t>
      </w:r>
      <w:r w:rsidRPr="00976E44">
        <w:rPr>
          <w:sz w:val="16"/>
        </w:rPr>
        <w:t xml:space="preserve"> weaknesses are all part of today’s international system as defined by complex interdependence, but they also </w:t>
      </w:r>
      <w:r w:rsidRPr="00976E44">
        <w:rPr>
          <w:rStyle w:val="StyleUnderline"/>
        </w:rPr>
        <w:t xml:space="preserve">emanate from </w:t>
      </w:r>
      <w:r w:rsidRPr="00976E44">
        <w:rPr>
          <w:rStyle w:val="Emphasis"/>
        </w:rPr>
        <w:t>weak states</w:t>
      </w:r>
      <w:r w:rsidRPr="00976E44">
        <w:rPr>
          <w:sz w:val="16"/>
        </w:rPr>
        <w:t xml:space="preserve">. </w:t>
      </w:r>
      <w:r w:rsidRPr="00976E44">
        <w:rPr>
          <w:rStyle w:val="StyleUnderline"/>
        </w:rPr>
        <w:t xml:space="preserve">Because </w:t>
      </w:r>
      <w:r w:rsidRPr="00976E44">
        <w:rPr>
          <w:rStyle w:val="StyleUnderline"/>
          <w:highlight w:val="green"/>
        </w:rPr>
        <w:t>weak states are</w:t>
      </w:r>
      <w:r w:rsidRPr="00976E44">
        <w:rPr>
          <w:sz w:val="16"/>
        </w:rPr>
        <w:t xml:space="preserve"> so </w:t>
      </w:r>
      <w:r w:rsidRPr="00976E44">
        <w:rPr>
          <w:rStyle w:val="Emphasis"/>
          <w:highlight w:val="green"/>
        </w:rPr>
        <w:t>exposed to shock</w:t>
      </w:r>
      <w:r w:rsidRPr="00976E44">
        <w:rPr>
          <w:sz w:val="16"/>
        </w:rPr>
        <w:t xml:space="preserve">, </w:t>
      </w:r>
      <w:r w:rsidRPr="00976E44">
        <w:rPr>
          <w:rStyle w:val="StyleUnderline"/>
          <w:highlight w:val="green"/>
        </w:rPr>
        <w:t>vulnerabilities</w:t>
      </w:r>
      <w:r w:rsidRPr="00976E44">
        <w:rPr>
          <w:rStyle w:val="StyleUnderline"/>
        </w:rPr>
        <w:t xml:space="preserve"> have time to</w:t>
      </w:r>
      <w:r w:rsidRPr="00976E44">
        <w:rPr>
          <w:sz w:val="16"/>
        </w:rPr>
        <w:t xml:space="preserve"> ripen and </w:t>
      </w:r>
      <w:r w:rsidRPr="00976E44">
        <w:rPr>
          <w:rStyle w:val="StyleUnderline"/>
        </w:rPr>
        <w:t xml:space="preserve">become </w:t>
      </w:r>
      <w:r w:rsidRPr="00976E44">
        <w:rPr>
          <w:rStyle w:val="StyleUnderline"/>
          <w:highlight w:val="green"/>
        </w:rPr>
        <w:t xml:space="preserve">part of the </w:t>
      </w:r>
      <w:r w:rsidRPr="00976E44">
        <w:rPr>
          <w:rStyle w:val="Emphasis"/>
          <w:highlight w:val="green"/>
        </w:rPr>
        <w:t>international structure</w:t>
      </w:r>
      <w:r w:rsidRPr="00976E44">
        <w:rPr>
          <w:sz w:val="16"/>
        </w:rPr>
        <w:t xml:space="preserve">, thereby </w:t>
      </w:r>
      <w:r w:rsidRPr="00976E44">
        <w:rPr>
          <w:rStyle w:val="StyleUnderline"/>
        </w:rPr>
        <w:t>having</w:t>
      </w:r>
      <w:r w:rsidRPr="00976E44">
        <w:rPr>
          <w:sz w:val="16"/>
        </w:rPr>
        <w:t xml:space="preserve"> what I call </w:t>
      </w:r>
      <w:r w:rsidRPr="00976E44">
        <w:rPr>
          <w:rStyle w:val="StyleUnderline"/>
        </w:rPr>
        <w:t>systemic reach</w:t>
      </w:r>
      <w:r w:rsidRPr="00976E44">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76E44">
        <w:rPr>
          <w:rStyle w:val="StyleUnderline"/>
        </w:rPr>
        <w:t xml:space="preserve">threats </w:t>
      </w:r>
      <w:r w:rsidRPr="00976E44">
        <w:rPr>
          <w:rStyle w:val="Emphasis"/>
        </w:rPr>
        <w:t>force</w:t>
      </w:r>
      <w:r w:rsidRPr="00976E44">
        <w:rPr>
          <w:sz w:val="16"/>
        </w:rPr>
        <w:t xml:space="preserve">s </w:t>
      </w:r>
      <w:r w:rsidRPr="00976E44">
        <w:rPr>
          <w:rStyle w:val="StyleUnderline"/>
        </w:rPr>
        <w:t>states to act to bolster their chances of survival</w:t>
      </w:r>
      <w:r w:rsidRPr="00976E44">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76E44">
        <w:rPr>
          <w:rStyle w:val="Emphasis"/>
        </w:rPr>
        <w:t xml:space="preserve">positive, long-term, </w:t>
      </w:r>
      <w:r w:rsidRPr="00976E44">
        <w:rPr>
          <w:rStyle w:val="Emphasis"/>
          <w:highlight w:val="green"/>
        </w:rPr>
        <w:t>sustainable</w:t>
      </w:r>
      <w:r w:rsidRPr="00976E44">
        <w:rPr>
          <w:rStyle w:val="Emphasis"/>
        </w:rPr>
        <w:t xml:space="preserve"> economic </w:t>
      </w:r>
      <w:r w:rsidRPr="00976E44">
        <w:rPr>
          <w:rStyle w:val="Emphasis"/>
          <w:highlight w:val="green"/>
        </w:rPr>
        <w:t>development</w:t>
      </w:r>
      <w:r w:rsidRPr="00976E44">
        <w:rPr>
          <w:sz w:val="16"/>
        </w:rPr>
        <w:t xml:space="preserve"> for all states </w:t>
      </w:r>
      <w:r w:rsidRPr="00976E44">
        <w:rPr>
          <w:rStyle w:val="StyleUnderline"/>
        </w:rPr>
        <w:t xml:space="preserve">as [is] the </w:t>
      </w:r>
      <w:r w:rsidRPr="00976E44">
        <w:rPr>
          <w:rStyle w:val="Emphasis"/>
        </w:rPr>
        <w:t>only way</w:t>
      </w:r>
      <w:r w:rsidRPr="00976E44">
        <w:rPr>
          <w:rStyle w:val="StyleUnderline"/>
        </w:rPr>
        <w:t xml:space="preserve"> to correct vulnerabilities. Creating a</w:t>
      </w:r>
      <w:r w:rsidRPr="00976E44">
        <w:rPr>
          <w:sz w:val="16"/>
        </w:rPr>
        <w:t xml:space="preserve"> pragmatic, </w:t>
      </w:r>
      <w:r w:rsidRPr="00976E44">
        <w:rPr>
          <w:rStyle w:val="Emphasis"/>
        </w:rPr>
        <w:t>stable</w:t>
      </w:r>
      <w:r w:rsidRPr="00976E44">
        <w:rPr>
          <w:sz w:val="16"/>
        </w:rPr>
        <w:t xml:space="preserve"> and sound </w:t>
      </w:r>
      <w:r w:rsidRPr="00976E44">
        <w:rPr>
          <w:rStyle w:val="Emphasis"/>
        </w:rPr>
        <w:t>economic policy</w:t>
      </w:r>
      <w:r w:rsidRPr="00976E44">
        <w:rPr>
          <w:sz w:val="16"/>
        </w:rPr>
        <w:t xml:space="preserve"> for all states who are voluntarily open to the system (barring rogue states and peoples who prefer traditional living), </w:t>
      </w:r>
      <w:r w:rsidRPr="00976E44">
        <w:rPr>
          <w:rStyle w:val="StyleUnderline"/>
        </w:rPr>
        <w:t xml:space="preserve">is at the </w:t>
      </w:r>
      <w:r w:rsidRPr="00976E44">
        <w:rPr>
          <w:rStyle w:val="Emphasis"/>
          <w:highlight w:val="green"/>
        </w:rPr>
        <w:t>backbone</w:t>
      </w:r>
      <w:r w:rsidRPr="00976E44">
        <w:rPr>
          <w:rStyle w:val="StyleUnderline"/>
          <w:highlight w:val="green"/>
        </w:rPr>
        <w:t xml:space="preserve"> of neutralizing</w:t>
      </w:r>
      <w:r w:rsidRPr="00976E44">
        <w:rPr>
          <w:rStyle w:val="StyleUnderline"/>
        </w:rPr>
        <w:t xml:space="preserve"> vulnerability</w:t>
      </w:r>
      <w:r w:rsidRPr="00976E44">
        <w:rPr>
          <w:sz w:val="16"/>
        </w:rPr>
        <w:t xml:space="preserve">. </w:t>
      </w:r>
      <w:r w:rsidRPr="00976E44">
        <w:rPr>
          <w:rStyle w:val="StyleUnderline"/>
        </w:rPr>
        <w:t xml:space="preserve">An economically developed nation is more prepared to </w:t>
      </w:r>
      <w:r w:rsidRPr="00976E44">
        <w:rPr>
          <w:rStyle w:val="Emphasis"/>
        </w:rPr>
        <w:t xml:space="preserve">deal with </w:t>
      </w:r>
      <w:r w:rsidRPr="00976E44">
        <w:rPr>
          <w:rStyle w:val="Emphasis"/>
          <w:highlight w:val="green"/>
        </w:rPr>
        <w:t>systemic shock</w:t>
      </w:r>
      <w:r w:rsidRPr="00976E44">
        <w:rPr>
          <w:sz w:val="16"/>
        </w:rPr>
        <w:t xml:space="preserve"> than others </w:t>
      </w:r>
      <w:r w:rsidRPr="00976E44">
        <w:rPr>
          <w:rStyle w:val="StyleUnderline"/>
        </w:rPr>
        <w:t>because it has</w:t>
      </w:r>
      <w:r w:rsidRPr="00976E44">
        <w:rPr>
          <w:sz w:val="16"/>
        </w:rPr>
        <w:t xml:space="preserve"> the </w:t>
      </w:r>
      <w:r w:rsidRPr="00976E44">
        <w:rPr>
          <w:rStyle w:val="Emphasis"/>
        </w:rPr>
        <w:t>resources</w:t>
      </w:r>
      <w:r w:rsidRPr="00976E44">
        <w:rPr>
          <w:sz w:val="16"/>
        </w:rPr>
        <w:t xml:space="preserve"> to do </w:t>
      </w:r>
      <w:r w:rsidRPr="00976E44">
        <w:rPr>
          <w:sz w:val="16"/>
        </w:rPr>
        <w:lastRenderedPageBreak/>
        <w:t xml:space="preserve">so. </w:t>
      </w:r>
      <w:r w:rsidRPr="00976E44">
        <w:rPr>
          <w:rStyle w:val="StyleUnderline"/>
        </w:rPr>
        <w:t>Developed countries are more prepared</w:t>
      </w:r>
      <w:r w:rsidRPr="00976E44">
        <w:rPr>
          <w:sz w:val="16"/>
        </w:rPr>
        <w:t xml:space="preserve"> than others </w:t>
      </w:r>
      <w:r w:rsidRPr="00976E44">
        <w:rPr>
          <w:rStyle w:val="StyleUnderline"/>
        </w:rPr>
        <w:t xml:space="preserve">to </w:t>
      </w:r>
      <w:r w:rsidRPr="00976E44">
        <w:rPr>
          <w:rStyle w:val="StyleUnderline"/>
          <w:highlight w:val="green"/>
        </w:rPr>
        <w:t>deal with</w:t>
      </w:r>
      <w:r w:rsidRPr="00976E44">
        <w:rPr>
          <w:sz w:val="16"/>
        </w:rPr>
        <w:t xml:space="preserve"> outbreaks of </w:t>
      </w:r>
      <w:r w:rsidRPr="00976E44">
        <w:rPr>
          <w:rStyle w:val="Emphasis"/>
          <w:highlight w:val="green"/>
        </w:rPr>
        <w:t>disease</w:t>
      </w:r>
      <w:r w:rsidRPr="00976E44">
        <w:rPr>
          <w:sz w:val="16"/>
          <w:highlight w:val="green"/>
        </w:rPr>
        <w:t xml:space="preserve">, </w:t>
      </w:r>
      <w:r w:rsidRPr="00976E44">
        <w:rPr>
          <w:rStyle w:val="Emphasis"/>
          <w:highlight w:val="green"/>
        </w:rPr>
        <w:t>financial crises</w:t>
      </w:r>
      <w:r w:rsidRPr="00976E44">
        <w:rPr>
          <w:sz w:val="16"/>
        </w:rPr>
        <w:t xml:space="preserve">, </w:t>
      </w:r>
      <w:r w:rsidRPr="00976E44">
        <w:rPr>
          <w:rStyle w:val="StyleUnderline"/>
        </w:rPr>
        <w:t>sudden</w:t>
      </w:r>
      <w:r w:rsidRPr="00976E44">
        <w:rPr>
          <w:sz w:val="16"/>
        </w:rPr>
        <w:t xml:space="preserve"> </w:t>
      </w:r>
      <w:r w:rsidRPr="00976E44">
        <w:rPr>
          <w:rStyle w:val="Emphasis"/>
          <w:highlight w:val="green"/>
        </w:rPr>
        <w:t>environmental disaster</w:t>
      </w:r>
      <w:r w:rsidRPr="00976E44">
        <w:rPr>
          <w:sz w:val="16"/>
          <w:highlight w:val="green"/>
        </w:rPr>
        <w:t xml:space="preserve">, </w:t>
      </w:r>
      <w:proofErr w:type="gramStart"/>
      <w:r w:rsidRPr="00976E44">
        <w:rPr>
          <w:rStyle w:val="Emphasis"/>
          <w:highlight w:val="green"/>
        </w:rPr>
        <w:t>terrorism</w:t>
      </w:r>
      <w:proofErr w:type="gramEnd"/>
      <w:r w:rsidRPr="00976E44">
        <w:rPr>
          <w:sz w:val="16"/>
          <w:highlight w:val="green"/>
        </w:rPr>
        <w:t xml:space="preserve"> </w:t>
      </w:r>
      <w:r w:rsidRPr="00976E44">
        <w:rPr>
          <w:rStyle w:val="StyleUnderline"/>
          <w:highlight w:val="green"/>
        </w:rPr>
        <w:t>and</w:t>
      </w:r>
      <w:r w:rsidRPr="00976E44">
        <w:rPr>
          <w:sz w:val="16"/>
          <w:highlight w:val="green"/>
        </w:rPr>
        <w:t xml:space="preserve"> </w:t>
      </w:r>
      <w:r w:rsidRPr="00976E44">
        <w:rPr>
          <w:rStyle w:val="Emphasis"/>
          <w:highlight w:val="green"/>
        </w:rPr>
        <w:t>drug trafficking</w:t>
      </w:r>
      <w:r w:rsidRPr="00976E44">
        <w:rPr>
          <w:sz w:val="16"/>
        </w:rPr>
        <w:t xml:space="preserve"> and so on than weaker states because they have the resources to do so. </w:t>
      </w:r>
      <w:r w:rsidRPr="00976E44">
        <w:rPr>
          <w:rStyle w:val="StyleUnderline"/>
        </w:rPr>
        <w:t>Weaker</w:t>
      </w:r>
      <w:r w:rsidRPr="00976E44">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76E44">
        <w:rPr>
          <w:rStyle w:val="StyleUnderline"/>
        </w:rPr>
        <w:t xml:space="preserve">we are </w:t>
      </w:r>
      <w:r w:rsidRPr="00976E44">
        <w:rPr>
          <w:rStyle w:val="Emphasis"/>
        </w:rPr>
        <w:t>all in this together</w:t>
      </w:r>
      <w:r w:rsidRPr="00976E44">
        <w:rPr>
          <w:sz w:val="16"/>
        </w:rPr>
        <w:t xml:space="preserve">. </w:t>
      </w:r>
      <w:r w:rsidRPr="00976E44">
        <w:rPr>
          <w:rStyle w:val="StyleUnderline"/>
        </w:rPr>
        <w:t>While states tend to pursue interests selfishly</w:t>
      </w:r>
      <w:r w:rsidRPr="00976E44">
        <w:rPr>
          <w:sz w:val="16"/>
        </w:rPr>
        <w:t xml:space="preserve">, the fact remains that </w:t>
      </w:r>
      <w:r w:rsidRPr="00976E44">
        <w:rPr>
          <w:rStyle w:val="StyleUnderline"/>
          <w:highlight w:val="green"/>
        </w:rPr>
        <w:t xml:space="preserve">one state’s trouble can </w:t>
      </w:r>
      <w:r w:rsidRPr="00976E44">
        <w:rPr>
          <w:rStyle w:val="Emphasis"/>
          <w:highlight w:val="green"/>
        </w:rPr>
        <w:t xml:space="preserve">spread </w:t>
      </w:r>
      <w:r w:rsidRPr="00976E44">
        <w:rPr>
          <w:rStyle w:val="Emphasis"/>
        </w:rPr>
        <w:t>throughout the globe</w:t>
      </w:r>
      <w:r w:rsidRPr="00976E44">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sidRPr="00976E44">
        <w:rPr>
          <w:sz w:val="16"/>
        </w:rPr>
        <w:t>taking into account</w:t>
      </w:r>
      <w:proofErr w:type="gramEnd"/>
      <w:r w:rsidRPr="00976E44">
        <w:rPr>
          <w:sz w:val="16"/>
        </w:rPr>
        <w:t xml:space="preserve"> changes in our world. The realists that stubbornly defend their theories (</w:t>
      </w:r>
      <w:proofErr w:type="spellStart"/>
      <w:r w:rsidRPr="00976E44">
        <w:rPr>
          <w:sz w:val="16"/>
        </w:rPr>
        <w:t>Kassab</w:t>
      </w:r>
      <w:proofErr w:type="spellEnd"/>
      <w:r w:rsidRPr="00976E44">
        <w:rPr>
          <w:sz w:val="16"/>
        </w:rPr>
        <w:t xml:space="preserve"> and Wu 2014) must take these matters seriously.</w:t>
      </w:r>
    </w:p>
    <w:p w14:paraId="08CF7402" w14:textId="77777777" w:rsidR="00D701A9" w:rsidRPr="00976E44" w:rsidRDefault="00D701A9" w:rsidP="00D701A9"/>
    <w:p w14:paraId="4076074A" w14:textId="77777777" w:rsidR="00D701A9" w:rsidRPr="00976E44" w:rsidRDefault="00D701A9" w:rsidP="00403187">
      <w:pPr>
        <w:rPr>
          <w:sz w:val="16"/>
          <w:szCs w:val="16"/>
        </w:rPr>
      </w:pPr>
    </w:p>
    <w:p w14:paraId="5224384A" w14:textId="77777777" w:rsidR="00403187" w:rsidRPr="00976E44" w:rsidRDefault="00403187" w:rsidP="00403187">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5290566F" w14:textId="77777777" w:rsidR="00403187" w:rsidRPr="00976E44" w:rsidRDefault="00403187" w:rsidP="00403187">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2" w:history="1">
        <w:r w:rsidRPr="00976E44">
          <w:rPr>
            <w:rStyle w:val="Hyperlink"/>
          </w:rPr>
          <w:t>https://www.statnews.com/2021/05/19/beyond-a-symbolic-gesture-whats-needed-to-turn-the-ip-waiver-into-covid-19-vaccines/</w:t>
        </w:r>
      </w:hyperlink>
      <w:r w:rsidRPr="00976E44">
        <w:t>] Justin</w:t>
      </w:r>
    </w:p>
    <w:p w14:paraId="0650BB37" w14:textId="77777777" w:rsidR="00403187" w:rsidRPr="00976E44" w:rsidRDefault="00403187" w:rsidP="00403187">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622AED1E" w14:textId="77777777" w:rsidR="00403187" w:rsidRPr="00976E44" w:rsidRDefault="00403187" w:rsidP="00403187">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23D78452" w14:textId="77777777" w:rsidR="00403187" w:rsidRPr="00976E44" w:rsidRDefault="00403187" w:rsidP="00403187">
      <w:pPr>
        <w:rPr>
          <w:rStyle w:val="Emphasis"/>
        </w:rPr>
      </w:pPr>
      <w:r w:rsidRPr="00976E44">
        <w:rPr>
          <w:u w:val="single"/>
        </w:rPr>
        <w:t xml:space="preserve">Both truths suggest that we </w:t>
      </w:r>
      <w:r w:rsidRPr="00976E44">
        <w:rPr>
          <w:rStyle w:val="Emphasis"/>
        </w:rPr>
        <w:t>pass the blueprint and build the kitchen.</w:t>
      </w:r>
    </w:p>
    <w:p w14:paraId="1DFC1143" w14:textId="77777777" w:rsidR="00403187" w:rsidRPr="00976E44" w:rsidRDefault="00403187" w:rsidP="00403187">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6A2EF827" w14:textId="77777777" w:rsidR="00403187" w:rsidRPr="00976E44" w:rsidRDefault="00403187" w:rsidP="00403187"/>
    <w:p w14:paraId="26F2CE94" w14:textId="77777777" w:rsidR="00403187" w:rsidRPr="00976E44" w:rsidRDefault="00403187" w:rsidP="00403187">
      <w:pPr>
        <w:pStyle w:val="Heading4"/>
        <w:jc w:val="both"/>
        <w:rPr>
          <w:rFonts w:cs="Calibri"/>
        </w:rPr>
      </w:pPr>
      <w:r w:rsidRPr="00976E44">
        <w:rPr>
          <w:rFonts w:cs="Calibri"/>
        </w:rPr>
        <w:lastRenderedPageBreak/>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4BEBD882" w14:textId="77777777" w:rsidR="00403187" w:rsidRPr="00976E44" w:rsidRDefault="00403187" w:rsidP="00403187">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23" w:anchor="Sec4" w:history="1">
        <w:r w:rsidRPr="00976E44">
          <w:rPr>
            <w:rStyle w:val="Hyperlink"/>
          </w:rPr>
          <w:t>https://link.springer.com/article/10.1007/s40319-020-00985-0#Sec4</w:t>
        </w:r>
      </w:hyperlink>
      <w:r w:rsidRPr="00976E44">
        <w:t>] Justin</w:t>
      </w:r>
    </w:p>
    <w:p w14:paraId="31DDDDC7" w14:textId="77777777" w:rsidR="00403187" w:rsidRPr="00976E44" w:rsidRDefault="00403187" w:rsidP="00403187">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2791DA03" w14:textId="77777777" w:rsidR="00403187" w:rsidRPr="00976E44" w:rsidRDefault="00403187" w:rsidP="00403187">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w:t>
      </w:r>
      <w:r w:rsidRPr="00976E44">
        <w:rPr>
          <w:sz w:val="16"/>
        </w:rPr>
        <w:lastRenderedPageBreak/>
        <w:t xml:space="preserve">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216559D7" w14:textId="77777777" w:rsidR="00403187" w:rsidRPr="00976E44" w:rsidRDefault="00403187" w:rsidP="00403187">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48346226" w14:textId="77777777" w:rsidR="00403187" w:rsidRPr="00976E44" w:rsidRDefault="00403187" w:rsidP="00403187">
      <w:pPr>
        <w:rPr>
          <w:sz w:val="16"/>
        </w:rPr>
      </w:pPr>
      <w:r w:rsidRPr="00976E44">
        <w:rPr>
          <w:sz w:val="16"/>
        </w:rPr>
        <w:t>Pharmaceutical Innovation and Generic Competition in the Pharmaceutical Industry</w:t>
      </w:r>
    </w:p>
    <w:p w14:paraId="1CA62BDE" w14:textId="77777777" w:rsidR="00403187" w:rsidRPr="00976E44" w:rsidRDefault="00403187" w:rsidP="00403187">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2DED91E1" w14:textId="77777777" w:rsidR="00403187" w:rsidRPr="00976E44" w:rsidRDefault="00403187" w:rsidP="00403187">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0E02415A" w14:textId="77777777" w:rsidR="00403187" w:rsidRPr="00976E44" w:rsidRDefault="00403187" w:rsidP="00403187">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0791E0A8" w14:textId="77777777" w:rsidR="00403187" w:rsidRPr="00976E44" w:rsidRDefault="00403187" w:rsidP="00403187">
      <w:pPr>
        <w:rPr>
          <w:sz w:val="16"/>
        </w:rPr>
      </w:pPr>
      <w:r w:rsidRPr="00976E44">
        <w:rPr>
          <w:sz w:val="16"/>
        </w:rPr>
        <w:t>Patenting Practices by Pharmaceutical Companies</w:t>
      </w:r>
    </w:p>
    <w:p w14:paraId="02644109" w14:textId="77777777" w:rsidR="00403187" w:rsidRPr="00976E44" w:rsidRDefault="00403187" w:rsidP="00403187">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lastRenderedPageBreak/>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5B1FABFE" w14:textId="77777777" w:rsidR="00403187" w:rsidRPr="00976E44" w:rsidRDefault="00403187" w:rsidP="00403187">
      <w:pPr>
        <w:rPr>
          <w:sz w:val="16"/>
        </w:rPr>
      </w:pPr>
      <w:r w:rsidRPr="00976E44">
        <w:rPr>
          <w:sz w:val="16"/>
        </w:rPr>
        <w:t>Defining Strategic Patenting</w:t>
      </w:r>
    </w:p>
    <w:p w14:paraId="6916122E" w14:textId="77777777" w:rsidR="00403187" w:rsidRPr="00976E44" w:rsidRDefault="00403187" w:rsidP="00403187">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0EC45691" w14:textId="77777777" w:rsidR="00403187" w:rsidRPr="00976E44" w:rsidRDefault="00403187" w:rsidP="00403187">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1D39A2B7" w14:textId="77777777" w:rsidR="00403187" w:rsidRPr="00976E44" w:rsidRDefault="00403187" w:rsidP="00403187">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 xml:space="preserve">Each of such patents would typically have a later expiration date, which </w:t>
      </w:r>
      <w:r w:rsidRPr="00976E44">
        <w:rPr>
          <w:u w:val="single"/>
        </w:rPr>
        <w:lastRenderedPageBreak/>
        <w:t>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4723F622" w14:textId="77777777" w:rsidR="00403187" w:rsidRPr="00976E44" w:rsidRDefault="00403187" w:rsidP="00403187">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49A66445" w14:textId="77777777" w:rsidR="00403187" w:rsidRPr="00976E44" w:rsidRDefault="00403187" w:rsidP="00403187">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0F6196D1" w14:textId="77777777" w:rsidR="00403187" w:rsidRPr="00976E44" w:rsidRDefault="00403187" w:rsidP="00403187">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2DE38B0C" w14:textId="77777777" w:rsidR="00403187" w:rsidRPr="00976E44" w:rsidRDefault="00403187" w:rsidP="00403187">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0D5A0AE7" w14:textId="77777777" w:rsidR="00403187" w:rsidRPr="00976E44" w:rsidRDefault="00403187" w:rsidP="00403187">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5260F497" w14:textId="77777777" w:rsidR="00403187" w:rsidRPr="00976E44" w:rsidRDefault="00403187" w:rsidP="00403187">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6C94394B" w14:textId="77777777" w:rsidR="00403187" w:rsidRPr="00976E44" w:rsidRDefault="00403187" w:rsidP="00403187">
      <w:pPr>
        <w:rPr>
          <w:sz w:val="16"/>
        </w:rPr>
      </w:pPr>
      <w:r w:rsidRPr="00976E44">
        <w:rPr>
          <w:sz w:val="16"/>
        </w:rPr>
        <w:lastRenderedPageBreak/>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0D66D66E" w14:textId="77777777" w:rsidR="00403187" w:rsidRPr="00976E44" w:rsidRDefault="00403187" w:rsidP="00403187">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3D3CE7E4" w14:textId="77777777" w:rsidR="00403187" w:rsidRPr="00976E44" w:rsidRDefault="00403187" w:rsidP="00403187">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6498FCED" w14:textId="77777777" w:rsidR="00403187" w:rsidRPr="00976E44" w:rsidRDefault="00403187" w:rsidP="00403187">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w:t>
      </w:r>
      <w:proofErr w:type="gramStart"/>
      <w:r w:rsidRPr="00976E44">
        <w:rPr>
          <w:u w:val="single"/>
        </w:rPr>
        <w:t>in order to</w:t>
      </w:r>
      <w:proofErr w:type="gramEnd"/>
      <w:r w:rsidRPr="00976E44">
        <w:rPr>
          <w:u w:val="single"/>
        </w:rPr>
        <w:t xml:space="preserve">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5C2C0DE7" w14:textId="77777777" w:rsidR="00403187" w:rsidRPr="00976E44" w:rsidRDefault="00403187" w:rsidP="00403187">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211E2FC9" w14:textId="77777777" w:rsidR="00403187" w:rsidRPr="00976E44" w:rsidRDefault="00403187" w:rsidP="00403187">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1E1BF5D5" w14:textId="77777777" w:rsidR="00403187" w:rsidRPr="00976E44" w:rsidRDefault="00403187" w:rsidP="00403187">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31B2AE9E" w14:textId="77777777" w:rsidR="00403187" w:rsidRPr="00976E44" w:rsidRDefault="00403187" w:rsidP="00403187">
      <w:pPr>
        <w:rPr>
          <w:sz w:val="16"/>
        </w:rPr>
      </w:pPr>
      <w:r w:rsidRPr="00976E44">
        <w:rPr>
          <w:sz w:val="16"/>
        </w:rPr>
        <w:lastRenderedPageBreak/>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2EE1ACC1" w14:textId="77777777" w:rsidR="00403187" w:rsidRPr="00976E44" w:rsidRDefault="00403187" w:rsidP="00403187">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22AD3B49" w14:textId="77777777" w:rsidR="00403187" w:rsidRPr="00976E44" w:rsidRDefault="00403187" w:rsidP="00403187">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6AC82AD2" w14:textId="77777777" w:rsidR="00403187" w:rsidRPr="00976E44" w:rsidRDefault="00403187" w:rsidP="00403187">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1C1FA92F" w14:textId="77777777" w:rsidR="00403187" w:rsidRPr="00976E44" w:rsidRDefault="00403187" w:rsidP="00403187">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05AA4353" w14:textId="77777777" w:rsidR="00403187" w:rsidRPr="00976E44" w:rsidRDefault="00403187" w:rsidP="00403187">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6FE5730F" w14:textId="77777777" w:rsidR="00403187" w:rsidRPr="00976E44" w:rsidRDefault="00403187" w:rsidP="00403187">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507BF139" w14:textId="77777777" w:rsidR="00403187" w:rsidRPr="00976E44" w:rsidRDefault="00403187" w:rsidP="00403187">
      <w:pPr>
        <w:rPr>
          <w:sz w:val="16"/>
        </w:rPr>
      </w:pPr>
      <w:r w:rsidRPr="00976E44">
        <w:rPr>
          <w:sz w:val="16"/>
        </w:rPr>
        <w:lastRenderedPageBreak/>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3DE1EB67" w14:textId="77777777" w:rsidR="00403187" w:rsidRPr="00976E44" w:rsidRDefault="00403187" w:rsidP="00403187">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1F10A423" w14:textId="77777777" w:rsidR="00403187" w:rsidRPr="00976E44" w:rsidRDefault="00403187" w:rsidP="00403187"/>
    <w:p w14:paraId="18D3EAB0" w14:textId="77777777" w:rsidR="00FE4777" w:rsidRPr="00976E44" w:rsidRDefault="00FE4777" w:rsidP="00FE4777">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14DF2AB2" w14:textId="77777777" w:rsidR="00FE4777" w:rsidRPr="00976E44" w:rsidRDefault="00FE4777" w:rsidP="00FE4777">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4" w:history="1">
        <w:r w:rsidRPr="00976E44">
          <w:rPr>
            <w:rStyle w:val="Hyperlink"/>
          </w:rPr>
          <w:t>https://www.tandfonline.com/doi/full/10.1080/25751654.2021.1890867</w:t>
        </w:r>
      </w:hyperlink>
      <w:r w:rsidRPr="00976E44">
        <w:t>] Justin</w:t>
      </w:r>
    </w:p>
    <w:p w14:paraId="5075B073" w14:textId="77777777" w:rsidR="00FE4777" w:rsidRPr="00976E44" w:rsidRDefault="00FE4777" w:rsidP="00FE4777">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4DFF180C" w14:textId="77777777" w:rsidR="00FE4777" w:rsidRPr="00976E44" w:rsidRDefault="00FE4777" w:rsidP="00FE4777">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4E4A7041" w14:textId="77777777" w:rsidR="00FE4777" w:rsidRPr="00976E44" w:rsidRDefault="00FE4777" w:rsidP="00FE4777">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18C15D09" w14:textId="77777777" w:rsidR="00FE4777" w:rsidRPr="00976E44" w:rsidRDefault="00FE4777" w:rsidP="00FE4777">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w:t>
      </w:r>
      <w:r w:rsidRPr="00976E44">
        <w:rPr>
          <w:sz w:val="16"/>
        </w:rPr>
        <w:lastRenderedPageBreak/>
        <w:t xml:space="preserve">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4D1AD991" w14:textId="77777777" w:rsidR="00FE4777" w:rsidRPr="00976E44" w:rsidRDefault="00FE4777" w:rsidP="00FE4777">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1A196B77" w14:textId="77777777" w:rsidR="00FE4777" w:rsidRPr="00976E44" w:rsidRDefault="00FE4777" w:rsidP="00FE4777">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5C3C7B43" w14:textId="77777777" w:rsidR="00FE4777" w:rsidRPr="00976E44" w:rsidRDefault="00FE4777" w:rsidP="00FE4777">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17519AAD" w14:textId="77777777" w:rsidR="00FE4777" w:rsidRPr="00976E44" w:rsidRDefault="00FE4777" w:rsidP="00FE4777">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30A79074" w14:textId="77777777" w:rsidR="00FE4777" w:rsidRPr="00976E44" w:rsidRDefault="00FE4777" w:rsidP="00FE4777">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w:t>
      </w:r>
      <w:r w:rsidRPr="00976E44">
        <w:rPr>
          <w:rStyle w:val="Emphasis"/>
        </w:rPr>
        <w:lastRenderedPageBreak/>
        <w:t>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55099E7E" w14:textId="7B1220BF" w:rsidR="00E42E4C" w:rsidRPr="00F601E6" w:rsidRDefault="00E42E4C" w:rsidP="00FE4777">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31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187"/>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987"/>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769"/>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5B9"/>
    <w:rsid w:val="00D33908"/>
    <w:rsid w:val="00D354F2"/>
    <w:rsid w:val="00D36C30"/>
    <w:rsid w:val="00D37C90"/>
    <w:rsid w:val="00D43A8C"/>
    <w:rsid w:val="00D53072"/>
    <w:rsid w:val="00D61A4E"/>
    <w:rsid w:val="00D634EA"/>
    <w:rsid w:val="00D701A9"/>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4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0A59E6"/>
  <w14:defaultImageDpi w14:val="300"/>
  <w15:docId w15:val="{2C4DDA4F-D3C5-F846-AD38-06B90CD3A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376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937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37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37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9"/>
    <w:unhideWhenUsed/>
    <w:qFormat/>
    <w:rsid w:val="00893769"/>
    <w:pPr>
      <w:keepNext/>
      <w:keepLines/>
      <w:spacing w:before="40" w:after="0"/>
      <w:outlineLvl w:val="3"/>
    </w:pPr>
    <w:rPr>
      <w:rFonts w:eastAsiaTheme="majorEastAsia" w:cstheme="majorBidi"/>
      <w:b/>
      <w:bCs/>
      <w:sz w:val="26"/>
      <w:szCs w:val="26"/>
    </w:rPr>
  </w:style>
  <w:style w:type="paragraph" w:styleId="Heading5">
    <w:name w:val="heading 5"/>
    <w:aliases w:val="A Tagline,A Tag,Heading -1,B Tagline"/>
    <w:basedOn w:val="Normal"/>
    <w:next w:val="Normal"/>
    <w:link w:val="Heading5Char"/>
    <w:uiPriority w:val="9"/>
    <w:unhideWhenUsed/>
    <w:qFormat/>
    <w:rsid w:val="00403187"/>
    <w:pPr>
      <w:keepNext/>
      <w:keepLines/>
      <w:spacing w:before="40" w:after="0"/>
      <w:outlineLvl w:val="4"/>
    </w:pPr>
    <w:rPr>
      <w:rFonts w:asciiTheme="majorHAnsi" w:eastAsiaTheme="majorEastAsia" w:hAnsiTheme="majorHAnsi" w:cstheme="majorBidi"/>
      <w:b/>
      <w:color w:val="000000" w:themeColor="text1"/>
      <w:sz w:val="28"/>
    </w:rPr>
  </w:style>
  <w:style w:type="character" w:default="1" w:styleId="DefaultParagraphFont">
    <w:name w:val="Default Paragraph Font"/>
    <w:uiPriority w:val="1"/>
    <w:semiHidden/>
    <w:unhideWhenUsed/>
    <w:rsid w:val="008937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3769"/>
  </w:style>
  <w:style w:type="character" w:customStyle="1" w:styleId="Heading1Char">
    <w:name w:val="Heading 1 Char"/>
    <w:aliases w:val="Pocket Char"/>
    <w:basedOn w:val="DefaultParagraphFont"/>
    <w:link w:val="Heading1"/>
    <w:uiPriority w:val="9"/>
    <w:rsid w:val="008937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376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9376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89376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93769"/>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893769"/>
    <w:rPr>
      <w:b/>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20"/>
    <w:qFormat/>
    <w:rsid w:val="0089376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93769"/>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893769"/>
    <w:rPr>
      <w:color w:val="auto"/>
      <w:u w:val="none"/>
    </w:rPr>
  </w:style>
  <w:style w:type="paragraph" w:styleId="DocumentMap">
    <w:name w:val="Document Map"/>
    <w:basedOn w:val="Normal"/>
    <w:link w:val="DocumentMapChar"/>
    <w:uiPriority w:val="99"/>
    <w:semiHidden/>
    <w:unhideWhenUsed/>
    <w:rsid w:val="008937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3769"/>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403187"/>
    <w:rPr>
      <w:rFonts w:asciiTheme="majorHAnsi" w:eastAsiaTheme="majorEastAsia" w:hAnsiTheme="majorHAnsi" w:cstheme="majorBidi"/>
      <w:b/>
      <w:color w:val="000000" w:themeColor="text1"/>
      <w:sz w:val="28"/>
    </w:rPr>
  </w:style>
  <w:style w:type="paragraph" w:customStyle="1" w:styleId="textbold">
    <w:name w:val="text bold"/>
    <w:basedOn w:val="Normal"/>
    <w:link w:val="Emphasis"/>
    <w:uiPriority w:val="20"/>
    <w:qFormat/>
    <w:rsid w:val="00403187"/>
    <w:pPr>
      <w:widowControl w:val="0"/>
      <w:ind w:left="720"/>
      <w:jc w:val="both"/>
    </w:pPr>
    <w:rPr>
      <w:b/>
      <w:iCs/>
      <w:u w:val="single"/>
      <w:bdr w:val="single" w:sz="8" w:space="0" w:color="auto"/>
    </w:rPr>
  </w:style>
  <w:style w:type="paragraph" w:styleId="NormalWeb">
    <w:name w:val="Normal (Web)"/>
    <w:basedOn w:val="Normal"/>
    <w:uiPriority w:val="99"/>
    <w:unhideWhenUsed/>
    <w:rsid w:val="00403187"/>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45.html" TargetMode="External"/><Relationship Id="rId18" Type="http://schemas.openxmlformats.org/officeDocument/2006/relationships/hyperlink" Target="http://bfp.sp.unipi.it/chiara/lm/kantpisa1.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idsa.in/issuebrief/wto-trips-waiver-covid-vaccine-rkumar-120721" TargetMode="External"/><Relationship Id="rId7" Type="http://schemas.openxmlformats.org/officeDocument/2006/relationships/settings" Target="settings.xml"/><Relationship Id="rId12" Type="http://schemas.openxmlformats.org/officeDocument/2006/relationships/hyperlink" Target="http://bfp.sp.unipi.it/chiara/lm/kantpisa1.html" TargetMode="External"/><Relationship Id="rId17" Type="http://schemas.openxmlformats.org/officeDocument/2006/relationships/hyperlink" Target="http://virt052.zim.uni-duisburg-essen.de/Kant/aa06/237.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chapter/10.1007/978-981-13-8102-7_11" TargetMode="External"/><Relationship Id="rId24" Type="http://schemas.openxmlformats.org/officeDocument/2006/relationships/hyperlink" Target="https://www.tandfonline.com/doi/full/10.1080/25751654.2021.1890867" TargetMode="External"/><Relationship Id="rId5" Type="http://schemas.openxmlformats.org/officeDocument/2006/relationships/numbering" Target="numbering.xml"/><Relationship Id="rId15" Type="http://schemas.openxmlformats.org/officeDocument/2006/relationships/hyperlink" Target="http://virt052.zim.uni-duisburg-essen.de/Kant/aa06/249.html" TargetMode="External"/><Relationship Id="rId23" Type="http://schemas.openxmlformats.org/officeDocument/2006/relationships/hyperlink" Target="https://link.springer.com/article/10.1007/s40319-020-00985-0" TargetMode="External"/><Relationship Id="rId10" Type="http://schemas.openxmlformats.org/officeDocument/2006/relationships/hyperlink" Target="https://link.springer.com/chapter/10.1007/978-981-13-8102-7_11" TargetMode="Externa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hyperlink" Target="https://link.springer.com/chapter/10.1007/978-981-13-8102-7_11" TargetMode="External"/><Relationship Id="rId14" Type="http://schemas.openxmlformats.org/officeDocument/2006/relationships/hyperlink" Target="http://bfp.sp.unipi.it/chiara/lm/kantpisa1.html" TargetMode="External"/><Relationship Id="rId22" Type="http://schemas.openxmlformats.org/officeDocument/2006/relationships/hyperlink" Target="https://www.statnews.com/2021/05/19/beyond-a-symbolic-gesture-whats-needed-to-turn-the-ip-waiver-into-covid-19-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21</Pages>
  <Words>12353</Words>
  <Characters>70413</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82601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2021-09-12T00:12:00Z</dcterms:created>
  <dcterms:modified xsi:type="dcterms:W3CDTF">2021-09-12T00:25:00Z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