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2037A" w14:textId="44CC0EFA" w:rsidR="009D3FB8" w:rsidRDefault="009D3FB8" w:rsidP="009D3FB8">
      <w:pPr>
        <w:pStyle w:val="Heading2"/>
      </w:pPr>
      <w:r>
        <w:t>1</w:t>
      </w:r>
    </w:p>
    <w:p w14:paraId="0B069BFB" w14:textId="10F44830" w:rsidR="009D3FB8" w:rsidRDefault="009D3FB8" w:rsidP="009D3FB8">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179AAC8D" w14:textId="77777777" w:rsidR="009D3FB8" w:rsidRDefault="009D3FB8" w:rsidP="009D3FB8">
      <w:pPr>
        <w:rPr>
          <w:rFonts w:asciiTheme="majorHAnsi" w:hAnsiTheme="majorHAnsi" w:cstheme="majorHAnsi"/>
        </w:rPr>
      </w:pPr>
      <w:r>
        <w:rPr>
          <w:rStyle w:val="Style13ptBold"/>
          <w:rFonts w:asciiTheme="majorHAnsi" w:hAnsiTheme="majorHAnsi" w:cstheme="majorHAnsi"/>
        </w:rPr>
        <w:t>ICAEW 8-20</w:t>
      </w:r>
      <w:r>
        <w:rPr>
          <w:rFonts w:asciiTheme="majorHAnsi" w:hAnsiTheme="majorHAnsi" w:cstheme="majorHAnsi"/>
        </w:rPr>
        <w:t xml:space="preserve"> 8-20-2021 "Business confidence remains at record high as economy gets sales boost" </w:t>
      </w:r>
      <w:hyperlink r:id="rId9"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23DA51D3" w14:textId="77777777" w:rsidR="009D3FB8" w:rsidRDefault="009D3FB8" w:rsidP="009D3FB8">
      <w:pPr>
        <w:rPr>
          <w:rFonts w:asciiTheme="majorHAnsi" w:hAnsiTheme="majorHAnsi" w:cstheme="majorHAnsi"/>
          <w:u w:val="single"/>
        </w:rPr>
      </w:pPr>
      <w:r>
        <w:rPr>
          <w:rFonts w:asciiTheme="majorHAnsi" w:hAnsiTheme="majorHAnsi" w:cstheme="majorHAnsi"/>
          <w:sz w:val="16"/>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sz w:val="16"/>
          <w:highlight w:val="cyan"/>
        </w:rPr>
        <w:t xml:space="preserve"> </w:t>
      </w:r>
      <w:r>
        <w:rPr>
          <w:rFonts w:asciiTheme="majorHAnsi" w:hAnsiTheme="majorHAnsi" w:cstheme="majorHAnsi"/>
          <w:sz w:val="16"/>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sz w:val="16"/>
          <w:highlight w:val="cyan"/>
        </w:rPr>
        <w:t xml:space="preserve"> </w:t>
      </w:r>
      <w:r>
        <w:rPr>
          <w:rFonts w:asciiTheme="majorHAnsi" w:hAnsiTheme="majorHAnsi" w:cstheme="majorHAnsi"/>
          <w:sz w:val="16"/>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sz w:val="16"/>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sz w:val="16"/>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sz w:val="16"/>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nations and regions</w:t>
      </w:r>
      <w:r>
        <w:rPr>
          <w:rFonts w:asciiTheme="majorHAnsi" w:hAnsiTheme="majorHAnsi" w:cstheme="majorHAnsi"/>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Izza,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sz w:val="16"/>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finances are fragile</w:t>
      </w:r>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0981D2C3" w14:textId="77777777" w:rsidR="009D3FB8" w:rsidRDefault="009D3FB8" w:rsidP="009D3FB8">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547F44C7" w14:textId="77777777" w:rsidR="009D3FB8" w:rsidRDefault="009D3FB8" w:rsidP="009D3FB8">
      <w:pPr>
        <w:rPr>
          <w:rFonts w:asciiTheme="majorHAnsi" w:hAnsiTheme="majorHAnsi" w:cstheme="majorHAnsi"/>
        </w:rPr>
      </w:pPr>
      <w:r>
        <w:rPr>
          <w:rStyle w:val="Style13ptBold"/>
          <w:rFonts w:asciiTheme="majorHAnsi" w:hAnsiTheme="majorHAnsi" w:cstheme="majorHAnsi"/>
        </w:rPr>
        <w:t>Tenza 20</w:t>
      </w:r>
      <w:r>
        <w:rPr>
          <w:rFonts w:asciiTheme="majorHAnsi" w:hAnsiTheme="majorHAnsi" w:cstheme="majorHAnsi"/>
        </w:rPr>
        <w:t xml:space="preserve">, Mlungisi. "The effects of violent strikes on the economy of a developing country: a case of South Africa." Obiter 41.3 (2020): 519-537. (lecturer in the field of Labour Law at the School of Law. He holds a LLM Degree.)//Elmer </w:t>
      </w:r>
    </w:p>
    <w:p w14:paraId="317E5A24" w14:textId="77777777" w:rsidR="009D3FB8" w:rsidRDefault="009D3FB8" w:rsidP="009D3FB8">
      <w:pPr>
        <w:rPr>
          <w:rFonts w:asciiTheme="majorHAnsi" w:hAnsiTheme="majorHAnsi" w:cstheme="majorHAnsi"/>
          <w:sz w:val="16"/>
        </w:rPr>
      </w:pPr>
      <w:r>
        <w:rPr>
          <w:rFonts w:asciiTheme="majorHAnsi" w:hAnsiTheme="majorHAnsi" w:cstheme="majorHAnsi"/>
          <w:sz w:val="16"/>
        </w:rPr>
        <w:t xml:space="preserve">2 BACKGROUND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bedevilled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sz w:val="16"/>
        </w:rPr>
        <w:t xml:space="preserve">.6 The impact of these strikes has been hugely felt by the </w:t>
      </w:r>
      <w:r>
        <w:rPr>
          <w:rFonts w:asciiTheme="majorHAnsi" w:hAnsiTheme="majorHAnsi" w:cstheme="majorHAnsi"/>
          <w:sz w:val="16"/>
        </w:rPr>
        <w:lastRenderedPageBreak/>
        <w:t>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characterised with violence accompanied by damage to property, intimidation, assault and sometimes the killing of people. </w:t>
      </w:r>
      <w:r>
        <w:rPr>
          <w:rFonts w:asciiTheme="majorHAnsi" w:hAnsiTheme="majorHAnsi" w:cstheme="majorHAnsi"/>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Pr>
          <w:rFonts w:asciiTheme="majorHAnsi" w:hAnsiTheme="majorHAnsi" w:cstheme="majorHAnsi"/>
          <w:sz w:val="16"/>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sz w:val="16"/>
          <w:highlight w:val="cyan"/>
        </w:rPr>
        <w:t xml:space="preserve"> </w:t>
      </w:r>
      <w:r>
        <w:rPr>
          <w:rFonts w:asciiTheme="majorHAnsi" w:hAnsiTheme="majorHAnsi" w:cstheme="majorHAnsi"/>
          <w:sz w:val="16"/>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may not materialise</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 xml:space="preserve">labour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unstable labour relations</w:t>
      </w:r>
      <w:r>
        <w:rPr>
          <w:rFonts w:asciiTheme="majorHAnsi" w:hAnsiTheme="majorHAnsi" w:cstheme="majorHAnsi"/>
          <w:u w:val="single"/>
        </w:rPr>
        <w:t>.</w:t>
      </w:r>
      <w:r>
        <w:rPr>
          <w:rFonts w:asciiTheme="majorHAnsi" w:hAnsiTheme="majorHAnsi" w:cstheme="majorHAnsi"/>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sz w:val="16"/>
        </w:rPr>
        <w:t xml:space="preserve">.14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sz w:val="16"/>
        </w:rPr>
        <w:t xml:space="preserve">.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w:t>
      </w:r>
      <w:r>
        <w:rPr>
          <w:rFonts w:asciiTheme="majorHAnsi" w:hAnsiTheme="majorHAnsi" w:cstheme="majorHAnsi"/>
          <w:u w:val="single"/>
        </w:rPr>
        <w:lastRenderedPageBreak/>
        <w:t xml:space="preserve">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sz w:val="16"/>
        </w:rPr>
        <w:t>.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5754D45E" w14:textId="77777777" w:rsidR="009D3FB8" w:rsidRDefault="009D3FB8" w:rsidP="009D3FB8">
      <w:pPr>
        <w:pStyle w:val="Heading4"/>
        <w:rPr>
          <w:rFonts w:asciiTheme="majorHAnsi" w:hAnsiTheme="majorHAnsi" w:cstheme="majorHAnsi"/>
          <w:b w:val="0"/>
        </w:rPr>
      </w:pPr>
      <w:r>
        <w:rPr>
          <w:rFonts w:asciiTheme="majorHAnsi" w:hAnsiTheme="majorHAnsi" w:cstheme="majorHAnsi"/>
        </w:rPr>
        <w:t xml:space="preserve">Corporate optimism, specifically </w:t>
      </w:r>
      <w:r>
        <w:rPr>
          <w:rFonts w:asciiTheme="majorHAnsi" w:hAnsiTheme="majorHAnsi" w:cstheme="majorHAnsi"/>
          <w:u w:val="single"/>
        </w:rPr>
        <w:t>investment</w:t>
      </w:r>
      <w:r>
        <w:rPr>
          <w:rFonts w:asciiTheme="majorHAnsi" w:hAnsiTheme="majorHAnsi" w:cstheme="majorHAnsi"/>
        </w:rPr>
        <w:t xml:space="preserve">, drives </w:t>
      </w:r>
      <w:r>
        <w:rPr>
          <w:rFonts w:asciiTheme="majorHAnsi" w:hAnsiTheme="majorHAnsi" w:cstheme="majorHAnsi"/>
          <w:u w:val="single"/>
        </w:rPr>
        <w:t>self-sustaining</w:t>
      </w:r>
      <w:r>
        <w:rPr>
          <w:rFonts w:asciiTheme="majorHAnsi" w:hAnsiTheme="majorHAnsi" w:cstheme="majorHAnsi"/>
        </w:rPr>
        <w:t xml:space="preserve"> recovery. </w:t>
      </w:r>
    </w:p>
    <w:p w14:paraId="6C640A50" w14:textId="77777777" w:rsidR="009D3FB8" w:rsidRDefault="009D3FB8" w:rsidP="009D3FB8">
      <w:pPr>
        <w:rPr>
          <w:rFonts w:asciiTheme="majorHAnsi" w:hAnsiTheme="majorHAnsi" w:cstheme="majorHAnsi"/>
        </w:rPr>
      </w:pPr>
      <w:r>
        <w:rPr>
          <w:rStyle w:val="Style13ptBold"/>
          <w:rFonts w:asciiTheme="majorHAnsi" w:hAnsiTheme="majorHAnsi" w:cstheme="majorHAnsi"/>
        </w:rPr>
        <w:t>Van der Welle 7-7</w:t>
      </w:r>
      <w:r>
        <w:rPr>
          <w:rFonts w:asciiTheme="majorHAnsi" w:hAnsiTheme="majorHAnsi" w:cstheme="majorHAnsi"/>
        </w:rPr>
        <w:t xml:space="preserve"> Peter Van der Welle 7-7-2021 “How capex holds the key to a self-sustaining economic recovery” </w:t>
      </w:r>
      <w:hyperlink r:id="rId10" w:history="1">
        <w:r>
          <w:rPr>
            <w:rStyle w:val="Hyperlink"/>
            <w:rFonts w:asciiTheme="majorHAnsi" w:hAnsiTheme="majorHAnsi" w:cstheme="majorHAnsi"/>
            <w:color w:val="000000"/>
            <w:u w:val="single"/>
          </w:rPr>
          <w:t>https://www.robeco.com/latam/en/insights/2021/07/how-capex-holds-the-key-to-a-self-sustaining-economic-recovery.html</w:t>
        </w:r>
      </w:hyperlink>
      <w:r>
        <w:rPr>
          <w:rStyle w:val="Hyperlink"/>
          <w:rFonts w:asciiTheme="majorHAnsi" w:hAnsiTheme="majorHAnsi" w:cstheme="majorHAnsi"/>
        </w:rPr>
        <w:t xml:space="preserve"> (</w:t>
      </w:r>
      <w:r>
        <w:rPr>
          <w:rFonts w:asciiTheme="majorHAnsi" w:hAnsiTheme="majorHAnsi" w:cstheme="majorHAnsi"/>
        </w:rPr>
        <w:t xml:space="preserve">Strategist within the Global Macro team, M.A. in Economics from Tilburg University)//Elmer </w:t>
      </w:r>
    </w:p>
    <w:p w14:paraId="54EC9C0B" w14:textId="77777777" w:rsidR="009D3FB8" w:rsidRDefault="009D3FB8" w:rsidP="009D3FB8">
      <w:pPr>
        <w:rPr>
          <w:rFonts w:asciiTheme="majorHAnsi" w:hAnsiTheme="majorHAnsi" w:cstheme="majorHAnsi"/>
          <w:sz w:val="16"/>
        </w:rPr>
      </w:pPr>
      <w:r>
        <w:rPr>
          <w:rFonts w:asciiTheme="majorHAnsi" w:hAnsiTheme="majorHAnsi" w:cstheme="majorHAnsi"/>
          <w:sz w:val="16"/>
        </w:rPr>
        <w:t xml:space="preserve">Title: How capex holds </w:t>
      </w:r>
      <w:r>
        <w:rPr>
          <w:rFonts w:asciiTheme="majorHAnsi" w:hAnsiTheme="majorHAnsi" w:cstheme="majorHAnsi"/>
          <w:b/>
          <w:sz w:val="26"/>
          <w:u w:val="single"/>
          <w:bdr w:val="single" w:sz="18" w:space="0" w:color="auto" w:frame="1"/>
        </w:rPr>
        <w:t xml:space="preserve">the </w:t>
      </w:r>
      <w:r>
        <w:rPr>
          <w:rFonts w:asciiTheme="majorHAnsi" w:hAnsiTheme="majorHAnsi" w:cstheme="majorHAnsi"/>
          <w:b/>
          <w:sz w:val="26"/>
          <w:highlight w:val="cyan"/>
          <w:u w:val="single"/>
          <w:bdr w:val="single" w:sz="18" w:space="0" w:color="auto" w:frame="1"/>
        </w:rPr>
        <w:t xml:space="preserve">key to </w:t>
      </w:r>
      <w:r>
        <w:rPr>
          <w:rFonts w:asciiTheme="majorHAnsi" w:hAnsiTheme="majorHAnsi" w:cstheme="majorHAnsi"/>
          <w:b/>
          <w:sz w:val="26"/>
          <w:u w:val="single"/>
          <w:bdr w:val="single" w:sz="18" w:space="0" w:color="auto" w:frame="1"/>
        </w:rPr>
        <w:t xml:space="preserve">a </w:t>
      </w:r>
      <w:r>
        <w:rPr>
          <w:rFonts w:asciiTheme="majorHAnsi" w:hAnsiTheme="majorHAnsi" w:cstheme="majorHAnsi"/>
          <w:b/>
          <w:sz w:val="26"/>
          <w:highlight w:val="cyan"/>
          <w:u w:val="single"/>
          <w:bdr w:val="single" w:sz="18" w:space="0" w:color="auto" w:frame="1"/>
        </w:rPr>
        <w:t>self-sustaining economic recovery</w:t>
      </w:r>
      <w:r>
        <w:rPr>
          <w:rFonts w:asciiTheme="majorHAnsi" w:hAnsiTheme="majorHAnsi" w:cstheme="majorHAnsi"/>
          <w:u w:val="single"/>
        </w:rPr>
        <w:t xml:space="preserve">. </w:t>
      </w:r>
      <w:r>
        <w:rPr>
          <w:rFonts w:asciiTheme="majorHAnsi" w:hAnsiTheme="majorHAnsi" w:cstheme="majorHAnsi"/>
          <w:b/>
          <w:sz w:val="26"/>
          <w:highlight w:val="cyan"/>
          <w:u w:val="single"/>
        </w:rPr>
        <w:t>Capital expenditure</w:t>
      </w:r>
      <w:r>
        <w:rPr>
          <w:rFonts w:asciiTheme="majorHAnsi" w:hAnsiTheme="majorHAnsi" w:cstheme="majorHAnsi"/>
          <w:highlight w:val="cyan"/>
          <w:u w:val="single"/>
        </w:rPr>
        <w:t xml:space="preserve"> </w:t>
      </w:r>
      <w:r>
        <w:rPr>
          <w:rFonts w:asciiTheme="majorHAnsi" w:hAnsiTheme="majorHAnsi" w:cstheme="majorHAnsi"/>
          <w:u w:val="single"/>
        </w:rPr>
        <w:t xml:space="preserve">to fix supply shortages and meet burgeoning demand is seen figuring strongly in the post-Covid recovery. [Author and summary omitted]. </w:t>
      </w:r>
      <w:r>
        <w:rPr>
          <w:rFonts w:asciiTheme="majorHAnsi" w:hAnsiTheme="majorHAnsi" w:cstheme="majorHAnsi"/>
          <w:b/>
          <w:sz w:val="26"/>
          <w:highlight w:val="cyan"/>
          <w:u w:val="single"/>
        </w:rPr>
        <w:t>Companies</w:t>
      </w:r>
      <w:r>
        <w:rPr>
          <w:rFonts w:asciiTheme="majorHAnsi" w:hAnsiTheme="majorHAnsi" w:cstheme="majorHAnsi"/>
          <w:highlight w:val="cyan"/>
          <w:u w:val="single"/>
        </w:rPr>
        <w:t xml:space="preserve"> </w:t>
      </w:r>
      <w:r>
        <w:rPr>
          <w:rFonts w:asciiTheme="majorHAnsi" w:hAnsiTheme="majorHAnsi" w:cstheme="majorHAnsi"/>
          <w:u w:val="single"/>
        </w:rPr>
        <w:t xml:space="preserve">are </w:t>
      </w:r>
      <w:r>
        <w:rPr>
          <w:rFonts w:asciiTheme="majorHAnsi" w:hAnsiTheme="majorHAnsi" w:cstheme="majorHAnsi"/>
          <w:b/>
          <w:sz w:val="26"/>
          <w:highlight w:val="cyan"/>
          <w:u w:val="single"/>
        </w:rPr>
        <w:t>expected to invest heavily</w:t>
      </w:r>
      <w:r>
        <w:rPr>
          <w:rFonts w:asciiTheme="majorHAnsi" w:hAnsiTheme="majorHAnsi" w:cstheme="majorHAnsi"/>
          <w:highlight w:val="cyan"/>
          <w:u w:val="single"/>
        </w:rPr>
        <w:t xml:space="preserve"> </w:t>
      </w:r>
      <w:r>
        <w:rPr>
          <w:rFonts w:asciiTheme="majorHAnsi" w:hAnsiTheme="majorHAnsi" w:cstheme="majorHAnsi"/>
          <w:u w:val="single"/>
        </w:rPr>
        <w:t xml:space="preserve">in new equipment and capacity as they seek </w:t>
      </w:r>
      <w:r>
        <w:rPr>
          <w:rFonts w:asciiTheme="majorHAnsi" w:hAnsiTheme="majorHAnsi" w:cstheme="majorHAnsi"/>
          <w:b/>
          <w:sz w:val="26"/>
          <w:highlight w:val="cyan"/>
          <w:u w:val="single"/>
        </w:rPr>
        <w:t>to meet</w:t>
      </w:r>
      <w:r>
        <w:rPr>
          <w:rFonts w:asciiTheme="majorHAnsi" w:hAnsiTheme="majorHAnsi" w:cstheme="majorHAnsi"/>
          <w:highlight w:val="cyan"/>
          <w:u w:val="single"/>
        </w:rPr>
        <w:t xml:space="preserve"> </w:t>
      </w:r>
      <w:r>
        <w:rPr>
          <w:rFonts w:asciiTheme="majorHAnsi" w:hAnsiTheme="majorHAnsi" w:cstheme="majorHAnsi"/>
          <w:u w:val="single"/>
        </w:rPr>
        <w:t xml:space="preserve">the pent-up </w:t>
      </w:r>
      <w:r>
        <w:rPr>
          <w:rFonts w:asciiTheme="majorHAnsi" w:hAnsiTheme="majorHAnsi" w:cstheme="majorHAnsi"/>
          <w:b/>
          <w:sz w:val="26"/>
          <w:highlight w:val="cyan"/>
          <w:u w:val="single"/>
        </w:rPr>
        <w:t>demand released from</w:t>
      </w:r>
      <w:r>
        <w:rPr>
          <w:rFonts w:asciiTheme="majorHAnsi" w:hAnsiTheme="majorHAnsi" w:cstheme="majorHAnsi"/>
          <w:highlight w:val="cyan"/>
          <w:u w:val="single"/>
        </w:rPr>
        <w:t xml:space="preserve"> </w:t>
      </w:r>
      <w:r>
        <w:rPr>
          <w:rFonts w:asciiTheme="majorHAnsi" w:hAnsiTheme="majorHAnsi" w:cstheme="majorHAnsi"/>
          <w:u w:val="single"/>
        </w:rPr>
        <w:t xml:space="preserve">economic </w:t>
      </w:r>
      <w:r>
        <w:rPr>
          <w:rFonts w:asciiTheme="majorHAnsi" w:hAnsiTheme="majorHAnsi" w:cstheme="majorHAnsi"/>
          <w:b/>
          <w:sz w:val="26"/>
          <w:highlight w:val="cyan"/>
          <w:u w:val="single"/>
        </w:rPr>
        <w:t>reopening</w:t>
      </w:r>
      <w:r>
        <w:rPr>
          <w:rFonts w:asciiTheme="majorHAnsi" w:hAnsiTheme="majorHAnsi" w:cstheme="majorHAnsi"/>
          <w:sz w:val="16"/>
        </w:rPr>
        <w:t>. “The world is emerging from the pandemic, and much of the focus has been on the release of huge pent-up demand for goods and services that have been inaccessible for much of the past year,” says Peter Van der Welle, strategist with Robeco’s multi-asset team. “</w:t>
      </w:r>
      <w:r>
        <w:rPr>
          <w:rFonts w:asciiTheme="majorHAnsi" w:hAnsiTheme="majorHAnsi" w:cstheme="majorHAnsi"/>
          <w:u w:val="single"/>
        </w:rPr>
        <w:t>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sought after stocks</w:t>
      </w:r>
      <w:r>
        <w:rPr>
          <w:rFonts w:asciiTheme="majorHAnsi" w:hAnsiTheme="majorHAnsi" w:cstheme="majorHAnsi"/>
          <w:sz w:val="16"/>
        </w:rPr>
        <w:t>.” Capex intentions Van der Welle says this trend can already be seen in the US Federal Reserve’s Capex Intentions Index, which shows that steep year-on-year increases in capital expenditures are planned. “</w:t>
      </w:r>
      <w:r>
        <w:rPr>
          <w:rFonts w:asciiTheme="majorHAnsi" w:hAnsiTheme="majorHAnsi" w:cstheme="majorHAnsi"/>
          <w:u w:val="single"/>
        </w:rPr>
        <w:t xml:space="preserve">So, that's </w:t>
      </w:r>
      <w:r>
        <w:rPr>
          <w:rFonts w:asciiTheme="majorHAnsi" w:hAnsiTheme="majorHAnsi" w:cstheme="majorHAnsi"/>
          <w:b/>
          <w:sz w:val="26"/>
          <w:highlight w:val="cyan"/>
          <w:u w:val="single"/>
        </w:rPr>
        <w:t xml:space="preserve">promising for </w:t>
      </w:r>
      <w:r>
        <w:rPr>
          <w:rFonts w:asciiTheme="majorHAnsi" w:hAnsiTheme="majorHAnsi" w:cstheme="majorHAnsi"/>
          <w:u w:val="single"/>
        </w:rPr>
        <w:t xml:space="preserve">a near-term </w:t>
      </w:r>
      <w:r>
        <w:rPr>
          <w:rFonts w:asciiTheme="majorHAnsi" w:hAnsiTheme="majorHAnsi" w:cstheme="majorHAnsi"/>
          <w:b/>
          <w:sz w:val="26"/>
          <w:highlight w:val="cyan"/>
          <w:u w:val="single"/>
        </w:rPr>
        <w:t>rebound</w:t>
      </w:r>
      <w:r>
        <w:rPr>
          <w:rFonts w:asciiTheme="majorHAnsi" w:hAnsiTheme="majorHAnsi" w:cstheme="majorHAnsi"/>
          <w:highlight w:val="cyan"/>
          <w:u w:val="single"/>
        </w:rPr>
        <w:t xml:space="preserve"> </w:t>
      </w:r>
      <w:r>
        <w:rPr>
          <w:rFonts w:asciiTheme="majorHAnsi" w:hAnsiTheme="majorHAnsi" w:cstheme="majorHAnsi"/>
          <w:u w:val="single"/>
        </w:rPr>
        <w:t>in the capex cycle,” he says. “The market has already picked up on that theme because you can see a clear outperformance of capex-intensive stocks compared to the broader market year to date</w:t>
      </w:r>
      <w:r>
        <w:rPr>
          <w:rFonts w:asciiTheme="majorHAnsi" w:hAnsiTheme="majorHAnsi" w:cstheme="majorHAnsi"/>
          <w:sz w:val="16"/>
        </w:rPr>
        <w:t xml:space="preserve">.” Fiscal dominance Van der Welle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For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Pr>
          <w:rFonts w:asciiTheme="majorHAnsi" w:hAnsiTheme="majorHAnsi" w:cstheme="majorHAnsi"/>
          <w:u w:val="single"/>
        </w:rPr>
        <w:t xml:space="preserve">In Europe, the disbursement of the EUR 750 billion EU Recovery Fund is due to start later in July. “An era of </w:t>
      </w:r>
      <w:r>
        <w:rPr>
          <w:rFonts w:asciiTheme="majorHAnsi" w:hAnsiTheme="majorHAnsi" w:cstheme="majorHAnsi"/>
          <w:highlight w:val="cyan"/>
          <w:u w:val="single"/>
        </w:rPr>
        <w:t>f</w:t>
      </w:r>
      <w:r>
        <w:rPr>
          <w:rFonts w:asciiTheme="majorHAnsi" w:hAnsiTheme="majorHAnsi" w:cstheme="majorHAnsi"/>
          <w:b/>
          <w:sz w:val="26"/>
          <w:highlight w:val="cyan"/>
          <w:u w:val="single"/>
        </w:rPr>
        <w:t>iscal dominance</w:t>
      </w:r>
      <w:r>
        <w:rPr>
          <w:rFonts w:asciiTheme="majorHAnsi" w:hAnsiTheme="majorHAnsi" w:cstheme="majorHAnsi"/>
          <w:u w:val="single"/>
        </w:rPr>
        <w:t xml:space="preserve"> is able to </w:t>
      </w:r>
      <w:r>
        <w:rPr>
          <w:rFonts w:asciiTheme="majorHAnsi" w:hAnsiTheme="majorHAnsi" w:cstheme="majorHAnsi"/>
          <w:b/>
          <w:sz w:val="26"/>
          <w:highlight w:val="cyan"/>
          <w:u w:val="single"/>
        </w:rPr>
        <w:t>say goodbye to</w:t>
      </w:r>
      <w:r>
        <w:rPr>
          <w:rFonts w:asciiTheme="majorHAnsi" w:hAnsiTheme="majorHAnsi" w:cstheme="majorHAnsi"/>
          <w:highlight w:val="cyan"/>
          <w:u w:val="single"/>
        </w:rPr>
        <w:t xml:space="preserve"> </w:t>
      </w:r>
      <w:r>
        <w:rPr>
          <w:rFonts w:asciiTheme="majorHAnsi" w:hAnsiTheme="majorHAnsi" w:cstheme="majorHAnsi"/>
          <w:u w:val="single"/>
        </w:rPr>
        <w:t xml:space="preserve">the secular </w:t>
      </w:r>
      <w:r>
        <w:rPr>
          <w:rFonts w:asciiTheme="majorHAnsi" w:hAnsiTheme="majorHAnsi" w:cstheme="majorHAnsi"/>
          <w:b/>
          <w:sz w:val="26"/>
          <w:highlight w:val="cyan"/>
          <w:u w:val="single"/>
        </w:rPr>
        <w:t>stagnation</w:t>
      </w:r>
      <w:r>
        <w:rPr>
          <w:rFonts w:asciiTheme="majorHAnsi" w:hAnsiTheme="majorHAnsi" w:cstheme="majorHAnsi"/>
          <w:highlight w:val="cyan"/>
          <w:u w:val="single"/>
        </w:rPr>
        <w:t xml:space="preserve"> </w:t>
      </w:r>
      <w:r>
        <w:rPr>
          <w:rFonts w:asciiTheme="majorHAnsi" w:hAnsiTheme="majorHAnsi" w:cstheme="majorHAnsi"/>
          <w:u w:val="single"/>
        </w:rPr>
        <w:t>thesis, which holds that the economy is suffering from under-investment,” says Van der Welle.</w:t>
      </w:r>
      <w:r>
        <w:rPr>
          <w:rFonts w:asciiTheme="majorHAnsi" w:hAnsiTheme="majorHAnsi" w:cstheme="majorHAnsi"/>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more sticky as employment prospects continue to improve in the medium term.” Tobin’s Q looks good A third reason to expect higher capex is driven by ‘Tobin’s Q’ – the market value of a company divided by its assets' replacement cost. If this ratio is </w:t>
      </w:r>
      <w:r>
        <w:rPr>
          <w:rFonts w:asciiTheme="majorHAnsi" w:hAnsiTheme="majorHAnsi" w:cstheme="majorHAnsi"/>
          <w:sz w:val="16"/>
        </w:rPr>
        <w:lastRenderedPageBreak/>
        <w:t>above one, then corporates have an incentive to invest directly in the underlying assets rather than buying another company at market value to acquire the same assets. The Tobin’s Q ratio is currently at 1.7 for the US. “So it's very expensive to do M&amp;A, and it is wiser for corporates to invest in the underlying capital goods themselves,” Van der Welle says. “We should therefore expect a gradual move away from M&amp;A activity towards companies making direct investments in capital goods.” Supply-side constraints The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Welle. “</w:t>
      </w:r>
      <w:r>
        <w:rPr>
          <w:rFonts w:asciiTheme="majorHAnsi" w:hAnsiTheme="majorHAnsi" w:cstheme="majorHAnsi"/>
          <w:u w:val="single"/>
        </w:rPr>
        <w:t>Clearly the issue today following the pandemic is not demand related, but supply related. This will also trigger more awareness to push the productivity frontier and incentivize capital expenditure</w:t>
      </w:r>
      <w:r>
        <w:rPr>
          <w:rFonts w:asciiTheme="majorHAnsi" w:hAnsiTheme="majorHAnsi" w:cstheme="majorHAnsi"/>
          <w:sz w:val="16"/>
        </w:rPr>
        <w:t xml:space="preserve">.” Less reliance on labor The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Welle. “When the cost of labor becomes more expensive, substituting labor with capital becomes more attractive for employers. Typically, the inflection point for capex intentions becoming positive is when unit labor costs rise by more than 2% year on year, which is the case today.” </w:t>
      </w:r>
      <w:r>
        <w:rPr>
          <w:rFonts w:asciiTheme="majorHAnsi" w:hAnsiTheme="majorHAnsi" w:cstheme="majorHAnsi"/>
          <w:u w:val="single"/>
        </w:rPr>
        <w:t xml:space="preserve">Capex will lengthen the earnings cycle Regarding earnings, </w:t>
      </w:r>
      <w:r>
        <w:rPr>
          <w:rFonts w:asciiTheme="majorHAnsi" w:hAnsiTheme="majorHAnsi" w:cstheme="majorHAnsi"/>
          <w:b/>
          <w:sz w:val="26"/>
          <w:highlight w:val="cyan"/>
          <w:u w:val="single"/>
        </w:rPr>
        <w:t>there is a</w:t>
      </w:r>
      <w:r>
        <w:rPr>
          <w:rFonts w:asciiTheme="majorHAnsi" w:hAnsiTheme="majorHAnsi" w:cstheme="majorHAnsi"/>
          <w:highlight w:val="cyan"/>
          <w:u w:val="single"/>
        </w:rPr>
        <w:t xml:space="preserve"> </w:t>
      </w:r>
      <w:r>
        <w:rPr>
          <w:rStyle w:val="Emphasis"/>
          <w:rFonts w:cstheme="majorHAnsi"/>
          <w:highlight w:val="cyan"/>
        </w:rPr>
        <w:t>significant</w:t>
      </w:r>
      <w:r>
        <w:rPr>
          <w:rFonts w:asciiTheme="majorHAnsi" w:hAnsiTheme="majorHAnsi" w:cstheme="majorHAnsi"/>
          <w:u w:val="single"/>
        </w:rPr>
        <w:t xml:space="preserve"> </w:t>
      </w:r>
      <w:r>
        <w:rPr>
          <w:rFonts w:asciiTheme="majorHAnsi" w:hAnsiTheme="majorHAnsi" w:cstheme="majorHAnsi"/>
          <w:b/>
          <w:sz w:val="26"/>
          <w:highlight w:val="cyan"/>
          <w:u w:val="single"/>
        </w:rPr>
        <w:t>relationship</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between</w:t>
      </w:r>
      <w:r>
        <w:rPr>
          <w:rFonts w:asciiTheme="majorHAnsi" w:hAnsiTheme="majorHAnsi" w:cstheme="majorHAnsi"/>
          <w:highlight w:val="cyan"/>
          <w:u w:val="single"/>
        </w:rPr>
        <w:t xml:space="preserve"> </w:t>
      </w:r>
      <w:r>
        <w:rPr>
          <w:rFonts w:asciiTheme="majorHAnsi" w:hAnsiTheme="majorHAnsi" w:cstheme="majorHAnsi"/>
          <w:u w:val="single"/>
        </w:rPr>
        <w:t xml:space="preserve">capex intentions and productivity, though the lag from intending to invest to actually getting a realized productivity gain is quite long – up to several years. </w:t>
      </w:r>
      <w:r>
        <w:rPr>
          <w:rFonts w:asciiTheme="majorHAnsi" w:hAnsiTheme="majorHAnsi" w:cstheme="majorHAnsi"/>
          <w:b/>
          <w:sz w:val="26"/>
          <w:highlight w:val="cyan"/>
          <w:u w:val="single"/>
        </w:rPr>
        <w:t>Higher capex that eventually brings higher productivity</w:t>
      </w:r>
      <w:r>
        <w:rPr>
          <w:rFonts w:asciiTheme="majorHAnsi" w:hAnsiTheme="majorHAnsi" w:cstheme="majorHAnsi"/>
          <w:highlight w:val="cyan"/>
          <w:u w:val="single"/>
        </w:rPr>
        <w:t xml:space="preserve"> </w:t>
      </w:r>
      <w:r>
        <w:rPr>
          <w:rFonts w:asciiTheme="majorHAnsi" w:hAnsiTheme="majorHAnsi" w:cstheme="majorHAnsi"/>
          <w:b/>
          <w:sz w:val="26"/>
          <w:highlight w:val="cyan"/>
          <w:u w:val="single"/>
          <w:bdr w:val="single" w:sz="18" w:space="0" w:color="auto" w:frame="1"/>
        </w:rPr>
        <w:t>growth will sustain the earnings cycle</w:t>
      </w:r>
      <w:r>
        <w:rPr>
          <w:rFonts w:asciiTheme="majorHAnsi" w:hAnsiTheme="majorHAnsi" w:cstheme="majorHAnsi"/>
          <w:u w:val="single"/>
        </w:rPr>
        <w:t>, Van der Welle says. Higher productivity gives corporates more pricing power because they suppress unit labor costs, and that means profit margins can stay elevated for longer</w:t>
      </w:r>
      <w:r>
        <w:rPr>
          <w:rFonts w:asciiTheme="majorHAnsi" w:hAnsiTheme="majorHAnsi" w:cstheme="majorHAnsi"/>
          <w:sz w:val="16"/>
        </w:rPr>
        <w:t>.</w:t>
      </w:r>
    </w:p>
    <w:p w14:paraId="142B2AF0" w14:textId="77777777" w:rsidR="009D3FB8" w:rsidRDefault="009D3FB8" w:rsidP="009D3FB8">
      <w:pPr>
        <w:pStyle w:val="Heading4"/>
        <w:rPr>
          <w:rFonts w:asciiTheme="majorHAnsi" w:hAnsiTheme="majorHAnsi" w:cstheme="majorHAnsi"/>
          <w:b w:val="0"/>
        </w:rPr>
      </w:pPr>
      <w:r>
        <w:rPr>
          <w:rFonts w:asciiTheme="majorHAnsi" w:hAnsiTheme="majorHAnsi" w:cstheme="majorHAnsi"/>
        </w:rPr>
        <w:t xml:space="preserve">Business confidence is the </w:t>
      </w:r>
      <w:r>
        <w:rPr>
          <w:rFonts w:asciiTheme="majorHAnsi" w:hAnsiTheme="majorHAnsi" w:cstheme="majorHAnsi"/>
          <w:u w:val="single"/>
        </w:rPr>
        <w:t>best indicator</w:t>
      </w:r>
      <w:r>
        <w:rPr>
          <w:rFonts w:asciiTheme="majorHAnsi" w:hAnsiTheme="majorHAnsi" w:cstheme="majorHAnsi"/>
        </w:rPr>
        <w:t xml:space="preserve"> for growth.</w:t>
      </w:r>
    </w:p>
    <w:p w14:paraId="571B03F7" w14:textId="77777777" w:rsidR="009D3FB8" w:rsidRDefault="009D3FB8" w:rsidP="009D3FB8">
      <w:pPr>
        <w:rPr>
          <w:rFonts w:asciiTheme="majorHAnsi" w:hAnsiTheme="majorHAnsi" w:cstheme="majorHAnsi"/>
        </w:rPr>
      </w:pPr>
      <w:r>
        <w:rPr>
          <w:rStyle w:val="Style13ptBold"/>
          <w:rFonts w:asciiTheme="majorHAnsi" w:hAnsiTheme="majorHAnsi" w:cstheme="majorHAnsi"/>
        </w:rPr>
        <w:t>Khan 20</w:t>
      </w:r>
      <w:r>
        <w:rPr>
          <w:rFonts w:asciiTheme="majorHAnsi" w:hAnsiTheme="majorHAnsi" w:cstheme="majorHAnsi"/>
        </w:rPr>
        <w:t>, Hashmat, and Santosh Upadhayaya. "Does business confidence matter for investment?." Empirical Economics 59.4 (2020): 1633-1665. (Economics Professor at Carleton University)//Elmer</w:t>
      </w:r>
    </w:p>
    <w:p w14:paraId="4273FF36" w14:textId="77777777" w:rsidR="009D3FB8" w:rsidRDefault="009D3FB8" w:rsidP="009D3FB8">
      <w:pPr>
        <w:rPr>
          <w:rFonts w:asciiTheme="majorHAnsi" w:hAnsiTheme="majorHAnsi" w:cstheme="majorHAnsi"/>
          <w:sz w:val="16"/>
        </w:rPr>
      </w:pPr>
      <w:r>
        <w:rPr>
          <w:rFonts w:asciiTheme="majorHAnsi" w:hAnsiTheme="majorHAnsi" w:cstheme="majorHAnsi"/>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Pr>
          <w:rFonts w:asciiTheme="majorHAnsi" w:hAnsiTheme="majorHAnsi" w:cstheme="majorHAnsi"/>
          <w:u w:val="single"/>
        </w:rPr>
        <w:t xml:space="preserve">Our main findings are: (i) </w:t>
      </w:r>
      <w:r>
        <w:rPr>
          <w:rFonts w:asciiTheme="majorHAnsi" w:hAnsiTheme="majorHAnsi" w:cstheme="majorHAnsi"/>
          <w:b/>
          <w:sz w:val="26"/>
          <w:highlight w:val="cyan"/>
          <w:u w:val="single"/>
          <w:bdr w:val="single" w:sz="18" w:space="0" w:color="auto" w:frame="1"/>
        </w:rPr>
        <w:t>business confidence has predictive ability for investment growth</w:t>
      </w:r>
      <w:r>
        <w:rPr>
          <w:rFonts w:asciiTheme="majorHAnsi" w:hAnsiTheme="majorHAnsi" w:cstheme="majorHAnsi"/>
          <w:u w:val="single"/>
        </w:rPr>
        <w:t xml:space="preserve">; (ii) remarkably, business confidence has </w:t>
      </w:r>
      <w:r>
        <w:rPr>
          <w:rFonts w:asciiTheme="majorHAnsi" w:hAnsiTheme="majorHAnsi" w:cstheme="majorHAnsi"/>
          <w:b/>
          <w:sz w:val="26"/>
          <w:highlight w:val="cyan"/>
          <w:u w:val="single"/>
        </w:rPr>
        <w:t>superior</w:t>
      </w:r>
      <w:r>
        <w:rPr>
          <w:rFonts w:asciiTheme="majorHAnsi" w:hAnsiTheme="majorHAnsi" w:cstheme="majorHAnsi"/>
          <w:highlight w:val="cyan"/>
          <w:u w:val="single"/>
        </w:rPr>
        <w:t xml:space="preserve"> </w:t>
      </w:r>
      <w:r>
        <w:rPr>
          <w:rFonts w:asciiTheme="majorHAnsi" w:hAnsiTheme="majorHAnsi" w:cstheme="majorHAnsi"/>
          <w:u w:val="single"/>
        </w:rPr>
        <w:t xml:space="preserve">forecasting power, relative </w:t>
      </w:r>
      <w:r>
        <w:rPr>
          <w:rFonts w:asciiTheme="majorHAnsi" w:hAnsiTheme="majorHAnsi" w:cstheme="majorHAnsi"/>
          <w:b/>
          <w:sz w:val="26"/>
          <w:highlight w:val="cyan"/>
          <w:u w:val="single"/>
        </w:rPr>
        <w:t>to conventional predictors</w:t>
      </w:r>
      <w:r>
        <w:rPr>
          <w:rFonts w:asciiTheme="majorHAnsi" w:hAnsiTheme="majorHAnsi" w:cstheme="majorHAnsi"/>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Pr>
          <w:rFonts w:asciiTheme="majorHAnsi" w:hAnsiTheme="majorHAnsi" w:cstheme="majorHAnsi"/>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Pr>
          <w:rFonts w:asciiTheme="majorHAnsi" w:hAnsiTheme="majorHAnsi" w:cstheme="majorHAnsi"/>
          <w:u w:val="single"/>
        </w:rPr>
        <w:t xml:space="preserve">Our paper fills this gap. We provide a quantitative assessment of the information in business confidence for future investment growth, after </w:t>
      </w:r>
      <w:r>
        <w:rPr>
          <w:rFonts w:asciiTheme="majorHAnsi" w:hAnsiTheme="majorHAnsi" w:cstheme="majorHAnsi"/>
          <w:b/>
          <w:sz w:val="26"/>
          <w:highlight w:val="cyan"/>
          <w:u w:val="single"/>
        </w:rPr>
        <w:t>controlling for</w:t>
      </w:r>
      <w:r>
        <w:rPr>
          <w:rFonts w:asciiTheme="majorHAnsi" w:hAnsiTheme="majorHAnsi" w:cstheme="majorHAnsi"/>
          <w:highlight w:val="cyan"/>
          <w:u w:val="single"/>
        </w:rPr>
        <w:t xml:space="preserve"> </w:t>
      </w:r>
      <w:r>
        <w:rPr>
          <w:rFonts w:asciiTheme="majorHAnsi" w:hAnsiTheme="majorHAnsi" w:cstheme="majorHAnsi"/>
          <w:u w:val="single"/>
        </w:rPr>
        <w:t xml:space="preserve">the conventional determinants such as </w:t>
      </w:r>
      <w:r>
        <w:rPr>
          <w:rFonts w:asciiTheme="majorHAnsi" w:hAnsiTheme="majorHAnsi" w:cstheme="majorHAnsi"/>
          <w:b/>
          <w:sz w:val="26"/>
          <w:highlight w:val="cyan"/>
          <w:u w:val="single"/>
        </w:rPr>
        <w:t>user cost, output, cash flow and stock price</w:t>
      </w:r>
      <w:r>
        <w:rPr>
          <w:rFonts w:asciiTheme="majorHAnsi" w:hAnsiTheme="majorHAnsi" w:cstheme="majorHAnsi"/>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Pr>
          <w:rFonts w:asciiTheme="majorHAnsi" w:hAnsiTheme="majorHAnsi" w:cstheme="majorHAnsi"/>
          <w:b/>
          <w:sz w:val="26"/>
          <w:highlight w:val="cyan"/>
          <w:u w:val="single"/>
        </w:rPr>
        <w:t>business confidence</w:t>
      </w:r>
      <w:r>
        <w:rPr>
          <w:rFonts w:asciiTheme="majorHAnsi" w:hAnsiTheme="majorHAnsi" w:cstheme="majorHAnsi"/>
          <w:u w:val="single"/>
        </w:rPr>
        <w:t xml:space="preserve">—either </w:t>
      </w:r>
      <w:r>
        <w:rPr>
          <w:rFonts w:asciiTheme="majorHAnsi" w:hAnsiTheme="majorHAnsi" w:cstheme="majorHAnsi"/>
          <w:b/>
          <w:sz w:val="26"/>
          <w:highlight w:val="cyan"/>
          <w:u w:val="single"/>
        </w:rPr>
        <w:t>as causal or</w:t>
      </w:r>
      <w:r>
        <w:rPr>
          <w:rFonts w:asciiTheme="majorHAnsi" w:hAnsiTheme="majorHAnsi" w:cstheme="majorHAnsi"/>
          <w:highlight w:val="cyan"/>
          <w:u w:val="single"/>
        </w:rPr>
        <w:t xml:space="preserve"> </w:t>
      </w:r>
      <w:r>
        <w:rPr>
          <w:rFonts w:asciiTheme="majorHAnsi" w:hAnsiTheme="majorHAnsi" w:cstheme="majorHAnsi"/>
          <w:u w:val="single"/>
        </w:rPr>
        <w:t xml:space="preserve">as </w:t>
      </w:r>
      <w:r>
        <w:rPr>
          <w:rFonts w:asciiTheme="majorHAnsi" w:hAnsiTheme="majorHAnsi" w:cstheme="majorHAnsi"/>
          <w:b/>
          <w:sz w:val="26"/>
          <w:highlight w:val="cyan"/>
          <w:u w:val="single"/>
        </w:rPr>
        <w:t>anticipatory</w:t>
      </w:r>
      <w:r>
        <w:rPr>
          <w:rFonts w:asciiTheme="majorHAnsi" w:hAnsiTheme="majorHAnsi" w:cstheme="majorHAnsi"/>
          <w:u w:val="single"/>
        </w:rPr>
        <w:t>—</w:t>
      </w:r>
      <w:r>
        <w:rPr>
          <w:rFonts w:asciiTheme="majorHAnsi" w:hAnsiTheme="majorHAnsi" w:cstheme="majorHAnsi"/>
          <w:b/>
          <w:sz w:val="26"/>
          <w:highlight w:val="cyan"/>
          <w:u w:val="single"/>
        </w:rPr>
        <w:t>in</w:t>
      </w:r>
      <w:r>
        <w:rPr>
          <w:rFonts w:asciiTheme="majorHAnsi" w:hAnsiTheme="majorHAnsi" w:cstheme="majorHAnsi"/>
          <w:highlight w:val="cyan"/>
          <w:u w:val="single"/>
        </w:rPr>
        <w:t xml:space="preserve"> </w:t>
      </w:r>
      <w:r>
        <w:rPr>
          <w:rFonts w:asciiTheme="majorHAnsi" w:hAnsiTheme="majorHAnsi" w:cstheme="majorHAnsi"/>
          <w:u w:val="single"/>
        </w:rPr>
        <w:t xml:space="preserve">theoretical models of </w:t>
      </w:r>
      <w:r>
        <w:rPr>
          <w:rFonts w:asciiTheme="majorHAnsi" w:hAnsiTheme="majorHAnsi" w:cstheme="majorHAnsi"/>
          <w:b/>
          <w:sz w:val="26"/>
          <w:highlight w:val="cyan"/>
          <w:u w:val="single"/>
        </w:rPr>
        <w:t>business cycles</w:t>
      </w:r>
      <w:r>
        <w:rPr>
          <w:rFonts w:asciiTheme="majorHAnsi" w:hAnsiTheme="majorHAnsi" w:cstheme="majorHAnsi"/>
          <w:sz w:val="16"/>
        </w:rPr>
        <w:t xml:space="preserve">. Third, it can help motivate studies on the how investment managers’ social and psychological circumstances influence investment decisions over and beyond rational cost-benefit analyses.Footnote1 We consider the </w:t>
      </w:r>
      <w:r>
        <w:rPr>
          <w:rFonts w:asciiTheme="majorHAnsi" w:hAnsiTheme="majorHAnsi" w:cstheme="majorHAnsi"/>
          <w:sz w:val="16"/>
        </w:rPr>
        <w:lastRenderedPageBreak/>
        <w:t xml:space="preserve">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Heye (1993) examines the relationship between business confidence and labour market conditions in the USA and other industrialized countries. Dasgupta and Lahiri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Matsusaka and Sbordone (1995) reject the hypothesis that consumer sentiment does not predict output. Carroll et al. (1994), Fuhrer (1993), Bram and Ludvigson (1998), Ludvigson (2004) and Cotsomitis and Kwan (2006) find that the consumer attitudes have some additional information about predicting household spending behaviour. Lahiri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Angeletos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Pr>
          <w:rFonts w:asciiTheme="majorHAnsi" w:hAnsiTheme="majorHAnsi" w:cstheme="majorHAnsi"/>
          <w:u w:val="single"/>
        </w:rPr>
        <w:t xml:space="preserve">Our </w:t>
      </w:r>
      <w:r>
        <w:rPr>
          <w:rFonts w:asciiTheme="majorHAnsi" w:hAnsiTheme="majorHAnsi" w:cstheme="majorHAnsi"/>
          <w:b/>
          <w:sz w:val="26"/>
          <w:highlight w:val="cyan"/>
          <w:u w:val="single"/>
        </w:rPr>
        <w:t>empirical analysis shows</w:t>
      </w:r>
      <w:r>
        <w:rPr>
          <w:rFonts w:asciiTheme="majorHAnsi" w:hAnsiTheme="majorHAnsi" w:cstheme="majorHAnsi"/>
          <w:highlight w:val="cyan"/>
          <w:u w:val="single"/>
        </w:rPr>
        <w:t xml:space="preserve"> </w:t>
      </w:r>
      <w:r>
        <w:rPr>
          <w:rFonts w:asciiTheme="majorHAnsi" w:hAnsiTheme="majorHAnsi" w:cstheme="majorHAnsi"/>
          <w:u w:val="single"/>
        </w:rPr>
        <w:t xml:space="preserve">that </w:t>
      </w:r>
      <w:r>
        <w:rPr>
          <w:rFonts w:asciiTheme="majorHAnsi" w:hAnsiTheme="majorHAnsi" w:cstheme="majorHAnsi"/>
          <w:b/>
          <w:sz w:val="26"/>
          <w:highlight w:val="cyan"/>
          <w:u w:val="single"/>
        </w:rPr>
        <w:t>investors’ confidence has</w:t>
      </w:r>
      <w:r>
        <w:rPr>
          <w:rFonts w:asciiTheme="majorHAnsi" w:hAnsiTheme="majorHAnsi" w:cstheme="majorHAnsi"/>
          <w:highlight w:val="cyan"/>
          <w:u w:val="single"/>
        </w:rPr>
        <w:t xml:space="preserve"> </w:t>
      </w:r>
      <w:r>
        <w:rPr>
          <w:rFonts w:asciiTheme="majorHAnsi" w:hAnsiTheme="majorHAnsi" w:cstheme="majorHAnsi"/>
          <w:u w:val="single"/>
        </w:rPr>
        <w:t xml:space="preserve">statistically </w:t>
      </w:r>
      <w:r>
        <w:rPr>
          <w:rFonts w:asciiTheme="majorHAnsi" w:hAnsiTheme="majorHAnsi" w:cstheme="majorHAnsi"/>
          <w:b/>
          <w:sz w:val="26"/>
          <w:highlight w:val="cyan"/>
          <w:u w:val="single"/>
        </w:rPr>
        <w:t>significant predictive power for</w:t>
      </w:r>
      <w:r>
        <w:rPr>
          <w:rFonts w:asciiTheme="majorHAnsi" w:hAnsiTheme="majorHAnsi" w:cstheme="majorHAnsi"/>
          <w:highlight w:val="cyan"/>
          <w:u w:val="single"/>
        </w:rPr>
        <w:t xml:space="preserve"> </w:t>
      </w:r>
      <w:r>
        <w:rPr>
          <w:rFonts w:asciiTheme="majorHAnsi" w:hAnsiTheme="majorHAnsi" w:cstheme="majorHAnsi"/>
          <w:u w:val="single"/>
        </w:rPr>
        <w:t xml:space="preserve">US business investment </w:t>
      </w:r>
      <w:r>
        <w:rPr>
          <w:rFonts w:asciiTheme="majorHAnsi" w:hAnsiTheme="majorHAnsi" w:cstheme="majorHAnsi"/>
          <w:b/>
          <w:sz w:val="26"/>
          <w:highlight w:val="cyan"/>
          <w:u w:val="single"/>
        </w:rPr>
        <w:t>growth</w:t>
      </w:r>
      <w:r>
        <w:rPr>
          <w:rFonts w:asciiTheme="majorHAnsi" w:hAnsiTheme="majorHAnsi" w:cstheme="majorHAnsi"/>
          <w:highlight w:val="cyan"/>
          <w:u w:val="single"/>
        </w:rPr>
        <w:t xml:space="preserve"> </w:t>
      </w:r>
      <w:r>
        <w:rPr>
          <w:rFonts w:asciiTheme="majorHAnsi" w:hAnsiTheme="majorHAnsi" w:cstheme="majorHAnsi"/>
          <w:u w:val="single"/>
        </w:rPr>
        <w:t xml:space="preserve">and its components (equipment and non-residential structures) after </w:t>
      </w:r>
      <w:r>
        <w:rPr>
          <w:rFonts w:asciiTheme="majorHAnsi" w:hAnsiTheme="majorHAnsi" w:cstheme="majorHAnsi"/>
          <w:b/>
          <w:bCs/>
          <w:u w:val="single"/>
          <w:bdr w:val="single" w:sz="18" w:space="0" w:color="auto" w:frame="1"/>
        </w:rPr>
        <w:t>controlling for other determinants of investment</w:t>
      </w:r>
      <w:r>
        <w:rPr>
          <w:rFonts w:asciiTheme="majorHAnsi" w:hAnsiTheme="majorHAnsi" w:cstheme="majorHAnsi"/>
          <w:sz w:val="16"/>
        </w:rPr>
        <w:t>.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probit forecasting model, we assess the OOS forecasting ability of business confidence for investment downturns for 1990Q1–2016Q4. A key finding of this approach in the literature is that term spread and stock price contain information for forecasting US recessions (Estrella and Mishkin 1998; Nyberg 2010; Kauppi and Saikkonen 2008). We follow a similar approach and find that business confidence has statistically significant forecasting power for investment downturns over 1–4-quarter forecast horizons in the US economy.</w:t>
      </w:r>
      <w:r>
        <w:rPr>
          <w:rFonts w:asciiTheme="majorHAnsi" w:hAnsiTheme="majorHAnsi" w:cstheme="majorHAnsi"/>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77128458" w14:textId="77777777" w:rsidR="009D3FB8" w:rsidRDefault="009D3FB8" w:rsidP="009D3FB8">
      <w:pPr>
        <w:pStyle w:val="Heading4"/>
        <w:rPr>
          <w:rFonts w:asciiTheme="majorHAnsi" w:hAnsiTheme="majorHAnsi" w:cstheme="majorHAnsi"/>
          <w:b w:val="0"/>
        </w:rPr>
      </w:pPr>
      <w:r>
        <w:rPr>
          <w:rFonts w:asciiTheme="majorHAnsi" w:hAnsiTheme="majorHAnsi" w:cstheme="majorHAnsi"/>
        </w:rPr>
        <w:t xml:space="preserve">Economic decline results in </w:t>
      </w:r>
      <w:r>
        <w:rPr>
          <w:rFonts w:asciiTheme="majorHAnsi" w:hAnsiTheme="majorHAnsi" w:cstheme="majorHAnsi"/>
          <w:u w:val="single"/>
        </w:rPr>
        <w:t>multilateral breakdown</w:t>
      </w:r>
      <w:r>
        <w:rPr>
          <w:rFonts w:asciiTheme="majorHAnsi" w:hAnsiTheme="majorHAnsi" w:cstheme="majorHAnsi"/>
        </w:rPr>
        <w:t xml:space="preserve"> that causes </w:t>
      </w:r>
      <w:r>
        <w:rPr>
          <w:rFonts w:asciiTheme="majorHAnsi" w:hAnsiTheme="majorHAnsi" w:cstheme="majorHAnsi"/>
          <w:u w:val="single"/>
        </w:rPr>
        <w:t>state collapse</w:t>
      </w:r>
      <w:r>
        <w:rPr>
          <w:rFonts w:asciiTheme="majorHAnsi" w:hAnsiTheme="majorHAnsi" w:cstheme="majorHAnsi"/>
        </w:rPr>
        <w:t xml:space="preserve">, </w:t>
      </w:r>
      <w:r>
        <w:rPr>
          <w:rFonts w:asciiTheme="majorHAnsi" w:hAnsiTheme="majorHAnsi" w:cstheme="majorHAnsi"/>
          <w:u w:val="single"/>
        </w:rPr>
        <w:t>conflict</w:t>
      </w:r>
      <w:r>
        <w:rPr>
          <w:rFonts w:asciiTheme="majorHAnsi" w:hAnsiTheme="majorHAnsi" w:cstheme="majorHAnsi"/>
        </w:rPr>
        <w:t xml:space="preserve">, </w:t>
      </w:r>
      <w:r>
        <w:rPr>
          <w:rFonts w:asciiTheme="majorHAnsi" w:hAnsiTheme="majorHAnsi" w:cstheme="majorHAnsi"/>
          <w:u w:val="single"/>
        </w:rPr>
        <w:t>climate change</w:t>
      </w:r>
      <w:r>
        <w:rPr>
          <w:rFonts w:asciiTheme="majorHAnsi" w:hAnsiTheme="majorHAnsi" w:cstheme="majorHAnsi"/>
        </w:rPr>
        <w:t xml:space="preserve">, and </w:t>
      </w:r>
      <w:r>
        <w:rPr>
          <w:rFonts w:asciiTheme="majorHAnsi" w:hAnsiTheme="majorHAnsi" w:cstheme="majorHAnsi"/>
          <w:u w:val="single"/>
        </w:rPr>
        <w:t>Arctic</w:t>
      </w:r>
      <w:r>
        <w:rPr>
          <w:rFonts w:asciiTheme="majorHAnsi" w:hAnsiTheme="majorHAnsi" w:cstheme="majorHAnsi"/>
        </w:rPr>
        <w:t xml:space="preserve"> and </w:t>
      </w:r>
      <w:r>
        <w:rPr>
          <w:rFonts w:asciiTheme="majorHAnsi" w:hAnsiTheme="majorHAnsi" w:cstheme="majorHAnsi"/>
          <w:u w:val="single"/>
        </w:rPr>
        <w:t>Space War</w:t>
      </w:r>
      <w:r>
        <w:rPr>
          <w:rFonts w:asciiTheme="majorHAnsi" w:hAnsiTheme="majorHAnsi" w:cstheme="majorHAnsi"/>
        </w:rPr>
        <w:t>.</w:t>
      </w:r>
    </w:p>
    <w:p w14:paraId="1C6C19FC" w14:textId="77777777" w:rsidR="009D3FB8" w:rsidRDefault="009D3FB8" w:rsidP="009D3FB8">
      <w:pPr>
        <w:rPr>
          <w:rFonts w:asciiTheme="majorHAnsi" w:hAnsiTheme="majorHAnsi" w:cstheme="majorHAnsi"/>
        </w:rPr>
      </w:pPr>
      <w:r>
        <w:rPr>
          <w:rStyle w:val="Style13ptBold"/>
          <w:rFonts w:asciiTheme="majorHAnsi" w:hAnsiTheme="majorHAnsi"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4E4D9259" w14:textId="74469406" w:rsidR="009D3FB8" w:rsidRDefault="009D3FB8" w:rsidP="009D3FB8">
      <w:pPr>
        <w:rPr>
          <w:rFonts w:asciiTheme="majorHAnsi" w:hAnsiTheme="majorHAnsi" w:cstheme="majorHAnsi"/>
          <w:sz w:val="26"/>
          <w:szCs w:val="26"/>
          <w:u w:val="single"/>
        </w:rPr>
      </w:pPr>
      <w:r>
        <w:rPr>
          <w:rFonts w:asciiTheme="majorHAnsi" w:hAnsiTheme="majorHAnsi" w:cstheme="majorHAnsi"/>
          <w:sz w:val="16"/>
          <w:szCs w:val="26"/>
        </w:rPr>
        <w:lastRenderedPageBreak/>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 w:val="16"/>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r>
        <w:rPr>
          <w:rFonts w:asciiTheme="majorHAnsi" w:hAnsiTheme="majorHAnsi" w:cstheme="majorHAnsi"/>
          <w:b/>
          <w:sz w:val="26"/>
          <w:szCs w:val="26"/>
          <w:highlight w:val="cyan"/>
          <w:u w:val="single"/>
        </w:rPr>
        <w:t>behaviour</w:t>
      </w:r>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 xml:space="preserve"> as they navigate geopolitical competition</w:t>
      </w:r>
      <w:r>
        <w:rPr>
          <w:rFonts w:asciiTheme="majorHAnsi" w:hAnsiTheme="majorHAnsi" w:cstheme="majorHAnsi"/>
          <w:sz w:val="16"/>
          <w:szCs w:val="26"/>
        </w:rPr>
        <w:t xml:space="preserve">. </w:t>
      </w:r>
      <w:r>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 w:val="16"/>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 w:val="16"/>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 w:val="16"/>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 w:val="16"/>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 w:val="16"/>
          <w:szCs w:val="26"/>
          <w:highlight w:val="cyan"/>
        </w:rPr>
        <w:t xml:space="preserve"> </w:t>
      </w:r>
      <w:r>
        <w:rPr>
          <w:rFonts w:asciiTheme="majorHAnsi" w:hAnsiTheme="majorHAnsi" w:cstheme="majorHAnsi"/>
          <w:sz w:val="16"/>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 w:val="16"/>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 w:val="16"/>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 w:val="16"/>
          <w:szCs w:val="26"/>
        </w:rPr>
        <w:t xml:space="preserve"> If the global superpowers continue to accumulate economic, military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Nagorno-Karabakh or the Galwan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t>
      </w:r>
      <w:r>
        <w:rPr>
          <w:rFonts w:asciiTheme="majorHAnsi" w:hAnsiTheme="majorHAnsi" w:cstheme="majorHAnsi"/>
          <w:sz w:val="26"/>
          <w:szCs w:val="26"/>
          <w:u w:val="single"/>
        </w:rPr>
        <w:lastRenderedPageBreak/>
        <w:t xml:space="preserve">with weakened middle powers less willing or less able to step in to find a peaceful solution. </w:t>
      </w:r>
    </w:p>
    <w:p w14:paraId="4F42A2A5" w14:textId="6FB5FBAC" w:rsidR="009D3FB8" w:rsidRDefault="009D3FB8" w:rsidP="009D3FB8">
      <w:pPr>
        <w:pStyle w:val="Heading2"/>
      </w:pPr>
      <w:r>
        <w:lastRenderedPageBreak/>
        <w:t>2</w:t>
      </w:r>
    </w:p>
    <w:p w14:paraId="4A667426" w14:textId="77777777" w:rsidR="009D3FB8" w:rsidRDefault="009D3FB8" w:rsidP="009D3FB8">
      <w:pPr>
        <w:pStyle w:val="Heading4"/>
      </w:pPr>
      <w:r w:rsidRPr="00422164">
        <w:t xml:space="preserve">Covid has supercharged tech innovation but sustained development is key to ensure further development. </w:t>
      </w:r>
    </w:p>
    <w:p w14:paraId="5782B856" w14:textId="77777777" w:rsidR="009D3FB8" w:rsidRPr="00422164" w:rsidRDefault="009D3FB8" w:rsidP="009D3FB8">
      <w:r w:rsidRPr="00422164">
        <w:rPr>
          <w:rStyle w:val="Style13ptBold"/>
        </w:rPr>
        <w:t>Neuwahl Tannen 8/18</w:t>
      </w:r>
      <w:r>
        <w:t xml:space="preserve"> </w:t>
      </w:r>
      <w:r w:rsidRPr="00422164">
        <w:t>Neuwahl Tannen, Janette. “Pandemic Spurs a Burst of Technology Innovation.” University of Miami News and Events, 18 Aug. 2020, news.miami.edu/stories/2020/08/pandemic-spurs-a-burst-of-technology-innovation.html. SJEP</w:t>
      </w:r>
    </w:p>
    <w:p w14:paraId="4CE68F9C" w14:textId="77777777" w:rsidR="009D3FB8" w:rsidRPr="00422164" w:rsidRDefault="009D3FB8" w:rsidP="009D3FB8">
      <w:pPr>
        <w:spacing w:before="100" w:beforeAutospacing="1" w:after="100" w:afterAutospacing="1" w:line="240" w:lineRule="auto"/>
        <w:rPr>
          <w:rStyle w:val="Emphasis"/>
          <w:rFonts w:ascii="Times New Roman" w:eastAsia="Times New Roman" w:hAnsi="Times New Roman" w:cs="Times New Roman"/>
          <w:b w:val="0"/>
          <w:iCs w:val="0"/>
          <w:color w:val="000000"/>
          <w:sz w:val="24"/>
          <w:lang w:eastAsia="zh-CN"/>
        </w:rPr>
      </w:pPr>
      <w:r w:rsidRPr="00047D18">
        <w:t>Since the novel coronavirus put its grip on the United States, daily life has changed in countless ways.</w:t>
      </w:r>
      <w:r>
        <w:t xml:space="preserve"> </w:t>
      </w:r>
      <w:r w:rsidRPr="00047D18">
        <w:t>Those who can, work from home. Those who rarely cooked now have little choice. And the days of enjoying sports events or concerts among a throng of people seem like distant memories.</w:t>
      </w:r>
      <w:r>
        <w:t xml:space="preserve"> </w:t>
      </w:r>
      <w:r w:rsidRPr="00047D18">
        <w:rPr>
          <w:rStyle w:val="Emphasis"/>
        </w:rPr>
        <w:t xml:space="preserve">But </w:t>
      </w:r>
      <w:r w:rsidRPr="00047D18">
        <w:rPr>
          <w:rStyle w:val="Emphasis"/>
          <w:highlight w:val="green"/>
        </w:rPr>
        <w:t>COVID-19</w:t>
      </w:r>
      <w:r w:rsidRPr="00047D18">
        <w:rPr>
          <w:rStyle w:val="Emphasis"/>
        </w:rPr>
        <w:t xml:space="preserve"> </w:t>
      </w:r>
      <w:r w:rsidRPr="00047D18">
        <w:rPr>
          <w:rStyle w:val="Emphasis"/>
          <w:highlight w:val="green"/>
        </w:rPr>
        <w:t>has been a boon for technology</w:t>
      </w:r>
      <w:r w:rsidRPr="00047D18">
        <w:rPr>
          <w:rStyle w:val="Emphasis"/>
        </w:rPr>
        <w:t xml:space="preserve"> </w:t>
      </w:r>
      <w:r w:rsidRPr="00047D18">
        <w:rPr>
          <w:rStyle w:val="Emphasis"/>
          <w:highlight w:val="green"/>
        </w:rPr>
        <w:t>and, according to</w:t>
      </w:r>
      <w:r w:rsidRPr="00047D18">
        <w:rPr>
          <w:rStyle w:val="Emphasis"/>
        </w:rPr>
        <w:t xml:space="preserve"> University of Miami </w:t>
      </w:r>
      <w:r w:rsidRPr="00047D18">
        <w:rPr>
          <w:rStyle w:val="Emphasis"/>
          <w:highlight w:val="green"/>
        </w:rPr>
        <w:t>experts</w:t>
      </w:r>
      <w:r w:rsidRPr="00047D18">
        <w:rPr>
          <w:rStyle w:val="Emphasis"/>
        </w:rPr>
        <w:t xml:space="preserve">, these </w:t>
      </w:r>
      <w:r w:rsidRPr="00047D18">
        <w:rPr>
          <w:rStyle w:val="Emphasis"/>
          <w:highlight w:val="green"/>
        </w:rPr>
        <w:t>innovations</w:t>
      </w:r>
      <w:r w:rsidRPr="00047D18">
        <w:rPr>
          <w:rStyle w:val="Emphasis"/>
        </w:rPr>
        <w:t xml:space="preserve"> are destined to </w:t>
      </w:r>
      <w:r w:rsidRPr="00047D18">
        <w:rPr>
          <w:rStyle w:val="Emphasis"/>
          <w:highlight w:val="green"/>
        </w:rPr>
        <w:t xml:space="preserve">transform </w:t>
      </w:r>
      <w:r w:rsidRPr="00047D18">
        <w:rPr>
          <w:rStyle w:val="Emphasis"/>
        </w:rPr>
        <w:t xml:space="preserve">how we do </w:t>
      </w:r>
      <w:r w:rsidRPr="00047D18">
        <w:rPr>
          <w:rStyle w:val="Emphasis"/>
          <w:highlight w:val="green"/>
        </w:rPr>
        <w:t>business</w:t>
      </w:r>
      <w:r w:rsidRPr="00047D18">
        <w:rPr>
          <w:rStyle w:val="Emphasis"/>
        </w:rPr>
        <w:t xml:space="preserve"> and almost every other facet of life—from how we communicate, educate, recreate, and entertain to how we seek medical care, design new homes, and perhaps even choose who we live with. “Tech companies are enabling digital productivity,” said Ernie Fernandez, vice president of information technology and the University’s chief information officer. “And this is not just a temporary COVID-19 response—these </w:t>
      </w:r>
      <w:r w:rsidRPr="00047D18">
        <w:rPr>
          <w:rStyle w:val="Emphasis"/>
          <w:highlight w:val="green"/>
        </w:rPr>
        <w:t>companies will</w:t>
      </w:r>
      <w:r w:rsidRPr="00047D18">
        <w:rPr>
          <w:rStyle w:val="Emphasis"/>
        </w:rPr>
        <w:t xml:space="preserve"> continue to </w:t>
      </w:r>
      <w:r w:rsidRPr="00047D18">
        <w:rPr>
          <w:rStyle w:val="Emphasis"/>
          <w:highlight w:val="green"/>
        </w:rPr>
        <w:t>provide value in a world</w:t>
      </w:r>
      <w:r w:rsidRPr="00047D18">
        <w:rPr>
          <w:rStyle w:val="Emphasis"/>
        </w:rPr>
        <w:t xml:space="preserve"> </w:t>
      </w:r>
      <w:r w:rsidRPr="00047D18">
        <w:rPr>
          <w:rStyle w:val="Emphasis"/>
          <w:highlight w:val="green"/>
        </w:rPr>
        <w:t>where</w:t>
      </w:r>
      <w:r w:rsidRPr="00047D18">
        <w:rPr>
          <w:rStyle w:val="Emphasis"/>
        </w:rPr>
        <w:t xml:space="preserve"> digital </w:t>
      </w:r>
      <w:r w:rsidRPr="00047D18">
        <w:rPr>
          <w:rStyle w:val="Emphasis"/>
          <w:highlight w:val="green"/>
        </w:rPr>
        <w:t>technology</w:t>
      </w:r>
      <w:r w:rsidRPr="00047D18">
        <w:rPr>
          <w:rStyle w:val="Emphasis"/>
        </w:rPr>
        <w:t xml:space="preserve"> is going to </w:t>
      </w:r>
      <w:r w:rsidRPr="00047D18">
        <w:rPr>
          <w:rStyle w:val="Emphasis"/>
          <w:highlight w:val="green"/>
        </w:rPr>
        <w:t>persist</w:t>
      </w:r>
      <w:r w:rsidRPr="00047D18">
        <w:rPr>
          <w:rStyle w:val="Emphasis"/>
        </w:rPr>
        <w:t>.” Geoff Sutcliffe, a computer science professor, added that amid the unfortunate misery and death, the pandemic has some silver linings. “We are privileged to be living through an industrial revolution, with computing at the core of it,” he said.</w:t>
      </w:r>
      <w:r w:rsidRPr="00047D18">
        <w:t xml:space="preserve"> “Suddenly, this is how we do life and it will change our economic lives completely.”</w:t>
      </w:r>
      <w:r>
        <w:t xml:space="preserve"> </w:t>
      </w:r>
      <w:r w:rsidRPr="00047D18">
        <w:t>Health care</w:t>
      </w:r>
      <w:r>
        <w:t xml:space="preserve">. </w:t>
      </w:r>
      <w:r w:rsidRPr="00047D18">
        <w:t>The health care sector is one area undergoing massive technological growth. Not only are several companies developing contact tracing applications for COVID-19, but the pandemic has dramatically increased the acceptance of telehealth visits. Not long ago, insurance companies refused to reimburse doctors for remote exams conducted over a computer screen, yet COVID-19 has given them no choice, said Sara Rushinek, professor of business technology and health informatics in the Miami Herbert Business School.</w:t>
      </w:r>
      <w:r>
        <w:t xml:space="preserve"> </w:t>
      </w:r>
      <w:r w:rsidRPr="00047D18">
        <w:t>Beginning with its football team and other student-athletes, the University is the first in the nation to use Tyto Care kits to diagnose or monitor patients who may have been exposed to COVID-19 or who are recovering from the disease. The handheld devices allow health care providers to remotely peer down a person’s throat, inspect their ears, listen to their lungs, and heart, even measure the oxygen in their blood. Rushinek expects the number of such devices that relay patient data to physicians will flourish with time.</w:t>
      </w:r>
      <w:r>
        <w:t xml:space="preserve"> </w:t>
      </w:r>
      <w:r w:rsidRPr="00047D18">
        <w:t>Nicholas Tsinoremas, who directs the University’s </w:t>
      </w:r>
      <w:hyperlink r:id="rId11" w:history="1">
        <w:r w:rsidRPr="00047D18">
          <w:rPr>
            <w:rStyle w:val="Hyperlink"/>
          </w:rPr>
          <w:t>Institute for Data Science and Computing</w:t>
        </w:r>
      </w:hyperlink>
      <w:r w:rsidRPr="00047D18">
        <w:t> (IDSC), and Yelena Yesha, distinguished visiting professor of computer science, who is serving as IDSC’s chief innovation officer, also see the opportunity for technology to improve health care.</w:t>
      </w:r>
      <w:r>
        <w:t xml:space="preserve"> </w:t>
      </w:r>
      <w:r w:rsidRPr="00047D18">
        <w:t xml:space="preserve">“We may still go to the hospital, but there will be a lot of digital therapeutic devices to manage the patient outside of the doctor’s office,” </w:t>
      </w:r>
      <w:r w:rsidRPr="00047D18">
        <w:rPr>
          <w:rStyle w:val="Emphasis"/>
        </w:rPr>
        <w:t xml:space="preserve">Tsinoremas said. </w:t>
      </w:r>
      <w:r w:rsidRPr="00047D18">
        <w:rPr>
          <w:rStyle w:val="Emphasis"/>
          <w:highlight w:val="green"/>
        </w:rPr>
        <w:t>Scientists</w:t>
      </w:r>
      <w:r w:rsidRPr="00047D18">
        <w:rPr>
          <w:rStyle w:val="Emphasis"/>
        </w:rPr>
        <w:t xml:space="preserve"> are also </w:t>
      </w:r>
      <w:r w:rsidRPr="00047D18">
        <w:rPr>
          <w:rStyle w:val="Emphasis"/>
          <w:highlight w:val="green"/>
        </w:rPr>
        <w:t>harnessing artificial intelligence</w:t>
      </w:r>
      <w:r w:rsidRPr="00047D18">
        <w:rPr>
          <w:rStyle w:val="Emphasis"/>
        </w:rPr>
        <w:t xml:space="preserve"> </w:t>
      </w:r>
      <w:r w:rsidRPr="00047D18">
        <w:rPr>
          <w:rStyle w:val="Emphasis"/>
          <w:highlight w:val="green"/>
        </w:rPr>
        <w:t>to uncover</w:t>
      </w:r>
      <w:r w:rsidRPr="00047D18">
        <w:rPr>
          <w:rStyle w:val="Emphasis"/>
        </w:rPr>
        <w:t xml:space="preserve"> </w:t>
      </w:r>
      <w:r w:rsidRPr="00047D18">
        <w:rPr>
          <w:rStyle w:val="Emphasis"/>
          <w:highlight w:val="green"/>
        </w:rPr>
        <w:t>patterns</w:t>
      </w:r>
      <w:r w:rsidRPr="00047D18">
        <w:rPr>
          <w:rStyle w:val="Emphasis"/>
        </w:rPr>
        <w:t xml:space="preserve"> among those infected </w:t>
      </w:r>
      <w:r w:rsidRPr="00047D18">
        <w:rPr>
          <w:rStyle w:val="Emphasis"/>
          <w:highlight w:val="green"/>
        </w:rPr>
        <w:t>with COVID-19</w:t>
      </w:r>
      <w:r w:rsidRPr="00047D18">
        <w:rPr>
          <w:rStyle w:val="Emphasis"/>
        </w:rPr>
        <w:t xml:space="preserve"> and to determine why some people are asymptomatic, why others die, and how the virus interacts with other ailments—such as liver disease—to affect a person’s immune response, Yesha said. Kenneth Goodman, professor of medicine and director of the Miller School of Medicine’s Institute for Bioethics and Health Policy, said the pandemic is fostering an accelerated digitalization of patient health histories and stimulating the creation of tools to allow these records to be shared more easily for both public health and clinical care. “Health system computers need to talk to each other better,” said Goodman, who also </w:t>
      </w:r>
      <w:r w:rsidRPr="00047D18">
        <w:rPr>
          <w:rStyle w:val="Emphasis"/>
        </w:rPr>
        <w:lastRenderedPageBreak/>
        <w:t xml:space="preserve">co-directs the University’s Ethics Programs and IDSC’s Data Ethics and Society Center. </w:t>
      </w:r>
      <w:r w:rsidRPr="00047D18">
        <w:t>“Systems must become more interoperable; so that patients who move or are transferred can share their records seamlessly and securely.”</w:t>
      </w:r>
      <w:r>
        <w:t xml:space="preserve"> </w:t>
      </w:r>
      <w:r w:rsidRPr="00047D18">
        <w:t>Education and Business</w:t>
      </w:r>
      <w:r>
        <w:t xml:space="preserve"> </w:t>
      </w:r>
      <w:r w:rsidRPr="00047D18">
        <w:t>When offices and classrooms shuttered almost overnight, workplaces and school districts were forced to adopt collaborative platforms like Zoom, Blackboard Collaborate, or Microsoft Teams. Once used occasionally, such tools are now almost essential for everyday survival, and they are being updated constantly, experts said.</w:t>
      </w:r>
      <w:r>
        <w:t xml:space="preserve"> </w:t>
      </w:r>
      <w:r w:rsidRPr="00047D18">
        <w:t>“We are learning that some of the things we were doing are not the best way to have an impact,” Tsinoremas said. “Why get on an airplane, when you can just have a virtual meeting?”</w:t>
      </w:r>
      <w:r>
        <w:t xml:space="preserve"> </w:t>
      </w:r>
      <w:r w:rsidRPr="00047D18">
        <w:t>Sutcliffe, who has been able to attend several digital conferences this summer and is planning one of his own in October, sees the change as an advantage for students and faculty alike.</w:t>
      </w:r>
      <w:r>
        <w:t xml:space="preserve"> </w:t>
      </w:r>
      <w:r w:rsidRPr="00047D18">
        <w:t>“They can now attend high-end conferences with experts in their field at a very low cost or sometimes for free,” he said.</w:t>
      </w:r>
      <w:r>
        <w:t xml:space="preserve"> </w:t>
      </w:r>
      <w:r w:rsidRPr="00047D18">
        <w:rPr>
          <w:rStyle w:val="Emphasis"/>
          <w:highlight w:val="green"/>
        </w:rPr>
        <w:t>The growing presence of 5G networking</w:t>
      </w:r>
      <w:r w:rsidRPr="00047D18">
        <w:rPr>
          <w:rStyle w:val="Emphasis"/>
        </w:rPr>
        <w:t xml:space="preserve"> amid the pandemic also could </w:t>
      </w:r>
      <w:r w:rsidRPr="00047D18">
        <w:rPr>
          <w:rStyle w:val="Emphasis"/>
          <w:highlight w:val="green"/>
        </w:rPr>
        <w:t>spur an explosion of technological</w:t>
      </w:r>
      <w:r w:rsidRPr="00047D18">
        <w:rPr>
          <w:rStyle w:val="Emphasis"/>
        </w:rPr>
        <w:t xml:space="preserve"> </w:t>
      </w:r>
      <w:r w:rsidRPr="00047D18">
        <w:rPr>
          <w:rStyle w:val="Emphasis"/>
          <w:highlight w:val="green"/>
        </w:rPr>
        <w:t>innovation</w:t>
      </w:r>
      <w:r w:rsidRPr="00047D18">
        <w:rPr>
          <w:rStyle w:val="Emphasis"/>
        </w:rPr>
        <w:t xml:space="preserve">, Tsinoremas said. </w:t>
      </w:r>
      <w:r w:rsidRPr="00047D18">
        <w:rPr>
          <w:rStyle w:val="Emphasis"/>
          <w:highlight w:val="green"/>
        </w:rPr>
        <w:t>With more advanced computing</w:t>
      </w:r>
      <w:r w:rsidRPr="00047D18">
        <w:rPr>
          <w:rStyle w:val="Emphasis"/>
        </w:rPr>
        <w:t xml:space="preserve"> and quicker video streaming, co-workers may forgo Zoom and simply meet with 3D avatars of themselves. “It sounds like science fiction, but with a crisis like COVID, this may come much sooner than we all think,” Tsinoremas said. “We can have a virtual meeting, or you could have your own 3-D model there.” In science classes, virtual labs will likely be more interactive, with instructors sharing multiple screens with the students—one with directions and another demonstrating experiments, Tsinoremas pointed out. </w:t>
      </w:r>
      <w:r w:rsidRPr="00047D18">
        <w:rPr>
          <w:rStyle w:val="Emphasis"/>
          <w:highlight w:val="green"/>
        </w:rPr>
        <w:t>Many companies and research</w:t>
      </w:r>
      <w:r w:rsidRPr="00047D18">
        <w:rPr>
          <w:rStyle w:val="Emphasis"/>
        </w:rPr>
        <w:t xml:space="preserve"> </w:t>
      </w:r>
      <w:r w:rsidRPr="00047D18">
        <w:rPr>
          <w:rStyle w:val="Emphasis"/>
          <w:highlight w:val="green"/>
        </w:rPr>
        <w:t>centers</w:t>
      </w:r>
      <w:r w:rsidRPr="00047D18">
        <w:rPr>
          <w:rStyle w:val="Emphasis"/>
        </w:rPr>
        <w:t xml:space="preserve"> are also </w:t>
      </w:r>
      <w:r w:rsidRPr="00047D18">
        <w:rPr>
          <w:rStyle w:val="Emphasis"/>
          <w:highlight w:val="green"/>
        </w:rPr>
        <w:t>improving decision-support software</w:t>
      </w:r>
      <w:r w:rsidRPr="00047D18">
        <w:rPr>
          <w:rStyle w:val="Emphasis"/>
        </w:rPr>
        <w:t xml:space="preserve"> </w:t>
      </w:r>
      <w:r w:rsidRPr="00047D18">
        <w:rPr>
          <w:rStyle w:val="Emphasis"/>
          <w:highlight w:val="green"/>
        </w:rPr>
        <w:t>to help humans</w:t>
      </w:r>
      <w:r w:rsidRPr="00047D18">
        <w:rPr>
          <w:rStyle w:val="Emphasis"/>
        </w:rPr>
        <w:t xml:space="preserve"> make more accurate, efficient, and sometimes safer decisions, Goodman said. An example is shown among the features now offered in cars to alert drivers of potential safety hazards. But the software—driven increasingly by machine-learning algorithms—is already improving some physicians’ diagnostic accuracy and might reduce error. “The future will bring an expanded use of computer decision support, which raises difficult ethical issues about whether to—and who should—use those tools,” Goodman said. “Indeed, such </w:t>
      </w:r>
      <w:r w:rsidRPr="00047D18">
        <w:rPr>
          <w:rStyle w:val="Emphasis"/>
          <w:highlight w:val="green"/>
        </w:rPr>
        <w:t>software is</w:t>
      </w:r>
      <w:r w:rsidRPr="00047D18">
        <w:rPr>
          <w:rStyle w:val="Emphasis"/>
        </w:rPr>
        <w:t xml:space="preserve"> already </w:t>
      </w:r>
      <w:r w:rsidRPr="00047D18">
        <w:rPr>
          <w:rStyle w:val="Emphasis"/>
          <w:highlight w:val="green"/>
        </w:rPr>
        <w:t>transforming science, commerce, and transportation</w:t>
      </w:r>
      <w:r w:rsidRPr="00047D18">
        <w:rPr>
          <w:rStyle w:val="Emphasis"/>
        </w:rPr>
        <w:t xml:space="preserve">. For instance, autonomous cars are rolling decision-support systems.” Yesha envisions a day when block chain technology, which enables the creation of secure and permanent records of transactions, will protect the nation’s supply chains, many of which were paralyzed at the onset of the pandemic. </w:t>
      </w:r>
    </w:p>
    <w:p w14:paraId="442041BE" w14:textId="77777777" w:rsidR="009D3FB8" w:rsidRPr="00836939" w:rsidRDefault="009D3FB8" w:rsidP="009D3FB8"/>
    <w:p w14:paraId="2486E958" w14:textId="77777777" w:rsidR="009D3FB8" w:rsidRDefault="009D3FB8" w:rsidP="009D3FB8">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6B2AE35" w14:textId="77777777" w:rsidR="009D3FB8" w:rsidRPr="0075069A" w:rsidRDefault="009D3FB8" w:rsidP="009D3FB8">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2" w:history="1">
        <w:r w:rsidRPr="00540FF3">
          <w:rPr>
            <w:rStyle w:val="Hyperlink"/>
          </w:rPr>
          <w:t>https://www.supplywisdom.com/resources/the-union-strikes-the-good-the-bad-and-the-ugly/</w:t>
        </w:r>
      </w:hyperlink>
      <w:r>
        <w:t>] Justin</w:t>
      </w:r>
    </w:p>
    <w:p w14:paraId="6FD20DE7" w14:textId="77777777" w:rsidR="009D3FB8" w:rsidRPr="0075069A" w:rsidRDefault="009D3FB8" w:rsidP="009D3FB8">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86C5146" w14:textId="77777777" w:rsidR="009D3FB8" w:rsidRPr="0075069A" w:rsidRDefault="009D3FB8" w:rsidP="009D3FB8">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lastRenderedPageBreak/>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1E76DC19" w14:textId="77777777" w:rsidR="009D3FB8" w:rsidRPr="0075069A" w:rsidRDefault="009D3FB8" w:rsidP="009D3FB8">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14:paraId="50E6739D" w14:textId="77777777" w:rsidR="009D3FB8" w:rsidRPr="0075069A" w:rsidRDefault="009D3FB8" w:rsidP="009D3FB8">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33EE2148" w14:textId="77777777" w:rsidR="009D3FB8" w:rsidRPr="0075069A" w:rsidRDefault="009D3FB8" w:rsidP="009D3FB8">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17F996D" w14:textId="77777777" w:rsidR="009D3FB8" w:rsidRPr="0075069A" w:rsidRDefault="009D3FB8" w:rsidP="009D3FB8">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72DD55F" w14:textId="77777777" w:rsidR="009D3FB8" w:rsidRDefault="009D3FB8" w:rsidP="009D3FB8">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245F7122" w14:textId="77777777" w:rsidR="009D3FB8" w:rsidRDefault="009D3FB8" w:rsidP="009D3FB8"/>
    <w:p w14:paraId="7C83F419" w14:textId="77777777" w:rsidR="009D3FB8" w:rsidRDefault="009D3FB8" w:rsidP="009D3FB8">
      <w:pPr>
        <w:pStyle w:val="Heading4"/>
      </w:pPr>
      <w:r>
        <w:t xml:space="preserve">Victories like the aff </w:t>
      </w:r>
      <w:r w:rsidRPr="000D44EE">
        <w:rPr>
          <w:u w:val="single"/>
        </w:rPr>
        <w:t>mobilizes unions</w:t>
      </w:r>
      <w:r>
        <w:t xml:space="preserve"> in the </w:t>
      </w:r>
      <w:r w:rsidRPr="00F1306B">
        <w:rPr>
          <w:u w:val="single"/>
        </w:rPr>
        <w:t>IT sector</w:t>
      </w:r>
      <w:r>
        <w:t>.</w:t>
      </w:r>
    </w:p>
    <w:p w14:paraId="6D385F9C" w14:textId="77777777" w:rsidR="009D3FB8" w:rsidRPr="000D44EE" w:rsidRDefault="009D3FB8" w:rsidP="009D3FB8">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3" w:history="1">
        <w:r w:rsidRPr="00540FF3">
          <w:rPr>
            <w:rStyle w:val="Hyperlink"/>
          </w:rPr>
          <w:t>https://www.washingtonpost.com/technology/2021/01/26/tech-unions-explainer/</w:t>
        </w:r>
      </w:hyperlink>
      <w:r>
        <w:t>] Justin</w:t>
      </w:r>
    </w:p>
    <w:p w14:paraId="26B8DFAE" w14:textId="77777777" w:rsidR="009D3FB8" w:rsidRDefault="009D3FB8" w:rsidP="009D3FB8">
      <w:pPr>
        <w:rPr>
          <w:u w:val="single"/>
        </w:rPr>
      </w:pPr>
      <w:r w:rsidRPr="00F1306B">
        <w:rPr>
          <w:u w:val="single"/>
        </w:rPr>
        <w:lastRenderedPageBreak/>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1D69E15E" w14:textId="77777777" w:rsidR="009D3FB8" w:rsidRDefault="009D3FB8" w:rsidP="009D3FB8">
      <w:pPr>
        <w:rPr>
          <w:u w:val="single"/>
        </w:rPr>
      </w:pPr>
    </w:p>
    <w:p w14:paraId="01F78DBF" w14:textId="77777777" w:rsidR="009D3FB8" w:rsidRDefault="009D3FB8" w:rsidP="009D3FB8">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11058D84" w14:textId="77777777" w:rsidR="009D3FB8" w:rsidRDefault="009D3FB8" w:rsidP="009D3FB8">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1D12AC1E" w14:textId="7EED6FDA" w:rsidR="009D3FB8" w:rsidRDefault="009D3FB8" w:rsidP="009D3FB8">
      <w:pPr>
        <w:rPr>
          <w:rStyle w:val="StyleUnderlin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Einsteins”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w:t>
      </w:r>
      <w:r w:rsidRPr="00156B25">
        <w:rPr>
          <w:sz w:val="16"/>
        </w:rPr>
        <w:lastRenderedPageBreak/>
        <w:t xml:space="preserve">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75E90091" w14:textId="06C7BCFB" w:rsidR="009D3FB8" w:rsidRPr="008C40B7" w:rsidRDefault="009D3FB8" w:rsidP="009D3FB8">
      <w:pPr>
        <w:pStyle w:val="Heading2"/>
      </w:pPr>
      <w:r>
        <w:lastRenderedPageBreak/>
        <w:t>3</w:t>
      </w:r>
    </w:p>
    <w:p w14:paraId="7DE02B0C" w14:textId="5004EC91" w:rsidR="009D3FB8" w:rsidRDefault="009D3FB8" w:rsidP="009D3FB8">
      <w:pPr>
        <w:pStyle w:val="Heading4"/>
      </w:pPr>
      <w:bookmarkStart w:id="0" w:name="OLE_LINK1"/>
      <w:bookmarkStart w:id="1" w:name="OLE_LINK2"/>
      <w:r w:rsidRPr="006109AD">
        <w:t xml:space="preserve">Counterplan text </w:t>
      </w:r>
      <w:r>
        <w:t xml:space="preserve">– a just government ought to </w:t>
      </w:r>
    </w:p>
    <w:p w14:paraId="1BE05F33" w14:textId="77777777" w:rsidR="009D3FB8" w:rsidRDefault="009D3FB8" w:rsidP="009D3FB8">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09B0FA7A" w14:textId="77777777" w:rsidR="009D3FB8" w:rsidRDefault="009D3FB8" w:rsidP="009D3FB8">
      <w:pPr>
        <w:pStyle w:val="Heading4"/>
      </w:pPr>
      <w:r>
        <w:t>---pass a concurrent resolution that non-compliance with the International Court of Justice’s ruling constitutes an enforceable violation of Charter obligations.</w:t>
      </w:r>
    </w:p>
    <w:p w14:paraId="6585D0B7" w14:textId="77777777" w:rsidR="009D3FB8" w:rsidRPr="00B002D7" w:rsidRDefault="009D3FB8" w:rsidP="009D3FB8"/>
    <w:p w14:paraId="59A4F7BC" w14:textId="77777777" w:rsidR="009D3FB8" w:rsidRDefault="009D3FB8" w:rsidP="009D3FB8">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28C0DFC9" w14:textId="77777777" w:rsidR="009D3FB8" w:rsidRPr="00D2046C" w:rsidRDefault="009D3FB8" w:rsidP="009D3FB8">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0A55D87F" w14:textId="77777777" w:rsidR="009D3FB8" w:rsidRPr="00C855A4" w:rsidRDefault="009D3FB8" w:rsidP="009D3FB8">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w:t>
      </w:r>
      <w:r w:rsidRPr="00C855A4">
        <w:rPr>
          <w:sz w:val="16"/>
        </w:rPr>
        <w:lastRenderedPageBreak/>
        <w:t xml:space="preserve">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A5F35A3" w14:textId="77777777" w:rsidR="009D3FB8" w:rsidRDefault="009D3FB8" w:rsidP="009D3FB8"/>
    <w:p w14:paraId="51997C37" w14:textId="77777777" w:rsidR="009D3FB8" w:rsidRDefault="009D3FB8" w:rsidP="009D3FB8">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083F2732" w14:textId="77777777" w:rsidR="009D3FB8" w:rsidRPr="00B002D7" w:rsidRDefault="009D3FB8" w:rsidP="009D3FB8">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w:t>
      </w:r>
      <w:r>
        <w:t>; “</w:t>
      </w:r>
      <w:r w:rsidRPr="00B002D7">
        <w:t xml:space="preserve">It ain’t over ‘til it’s over: the right to strike and the mandate of the ILO </w:t>
      </w:r>
      <w:r w:rsidRPr="00B002D7">
        <w:lastRenderedPageBreak/>
        <w:t>Committee of Experts revisited</w:t>
      </w:r>
      <w:r>
        <w:t xml:space="preserve">,” </w:t>
      </w:r>
      <w:hyperlink r:id="rId15" w:history="1">
        <w:r w:rsidRPr="00270F2A">
          <w:rPr>
            <w:rStyle w:val="Hyperlink"/>
          </w:rPr>
          <w:t>https://global-labour-university.org/fileadmin/GLU_Working_Papers/GLU_WP_No.40.pdf</w:t>
        </w:r>
      </w:hyperlink>
      <w:r>
        <w:t xml:space="preserve">] Justin </w:t>
      </w:r>
    </w:p>
    <w:p w14:paraId="79CF5B23" w14:textId="77777777" w:rsidR="009D3FB8" w:rsidRDefault="009D3FB8" w:rsidP="009D3FB8">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22E853D7" w14:textId="77777777" w:rsidR="009D3FB8" w:rsidRDefault="009D3FB8" w:rsidP="009D3FB8"/>
    <w:p w14:paraId="45E517FA" w14:textId="77777777" w:rsidR="009D3FB8" w:rsidRDefault="009D3FB8" w:rsidP="009D3FB8">
      <w:pPr>
        <w:pStyle w:val="Heading4"/>
      </w:pPr>
      <w:r>
        <w:t xml:space="preserve">UN Charter solves – </w:t>
      </w:r>
      <w:r w:rsidRPr="00B621A4">
        <w:rPr>
          <w:u w:val="single"/>
        </w:rPr>
        <w:t>empirics</w:t>
      </w:r>
      <w:r>
        <w:t>.</w:t>
      </w:r>
    </w:p>
    <w:p w14:paraId="00D5A67E" w14:textId="77777777" w:rsidR="009D3FB8" w:rsidRPr="002C5DE6" w:rsidRDefault="009D3FB8" w:rsidP="009D3FB8">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1F60ECFE" w14:textId="77777777" w:rsidR="009D3FB8" w:rsidRPr="00B621A4" w:rsidRDefault="009D3FB8" w:rsidP="009D3FB8">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w:t>
      </w:r>
      <w:r w:rsidRPr="00B621A4">
        <w:lastRenderedPageBreak/>
        <w:t>Nations, or even from the United Nations in General in addition to the penalty of a fine of $100,000 (one hundred thousand dollars) within 3 months of non-compliance.</w:t>
      </w:r>
    </w:p>
    <w:p w14:paraId="64708F1C" w14:textId="77777777" w:rsidR="009D3FB8" w:rsidRDefault="009D3FB8" w:rsidP="009D3FB8"/>
    <w:p w14:paraId="4D2F0B69" w14:textId="77777777" w:rsidR="009D3FB8" w:rsidRPr="006109AD" w:rsidRDefault="009D3FB8" w:rsidP="009D3FB8">
      <w:pPr>
        <w:pStyle w:val="Heading4"/>
      </w:pPr>
      <w:r w:rsidRPr="006109AD">
        <w:t>ICJ legitimacy is key to global multilateralism and crisis stability – it’s declining now.</w:t>
      </w:r>
    </w:p>
    <w:p w14:paraId="20D5A266" w14:textId="77777777" w:rsidR="009D3FB8" w:rsidRPr="006109AD" w:rsidRDefault="009D3FB8" w:rsidP="009D3FB8">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6" w:history="1">
        <w:r w:rsidRPr="00270F2A">
          <w:rPr>
            <w:rStyle w:val="Hyperlink"/>
          </w:rPr>
          <w:t>https://www.un.org/pga/73/2018/10/25/report-of-the-international-court-of-justice/</w:t>
        </w:r>
      </w:hyperlink>
      <w:r>
        <w:t>] Recut Justin</w:t>
      </w:r>
    </w:p>
    <w:p w14:paraId="3EC3E212" w14:textId="77777777" w:rsidR="009D3FB8" w:rsidRDefault="009D3FB8" w:rsidP="009D3FB8">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7BC49D29" w14:textId="77777777" w:rsidR="009D3FB8" w:rsidRPr="006109AD" w:rsidRDefault="009D3FB8" w:rsidP="009D3FB8"/>
    <w:p w14:paraId="40CE18D1" w14:textId="77777777" w:rsidR="009D3FB8" w:rsidRPr="006109AD" w:rsidRDefault="009D3FB8" w:rsidP="009D3FB8">
      <w:pPr>
        <w:pStyle w:val="Heading4"/>
      </w:pPr>
      <w:r w:rsidRPr="006109AD">
        <w:lastRenderedPageBreak/>
        <w:t xml:space="preserve">Multilateralism solves </w:t>
      </w:r>
      <w:r>
        <w:t>a bunch of impacts – even a tiny net benefit is enough to o/w the AFF</w:t>
      </w:r>
    </w:p>
    <w:p w14:paraId="3D9AEB8F" w14:textId="77777777" w:rsidR="009D3FB8" w:rsidRPr="006109AD" w:rsidRDefault="009D3FB8" w:rsidP="009D3FB8">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7" w:history="1">
        <w:r w:rsidRPr="00270F2A">
          <w:rPr>
            <w:rStyle w:val="Hyperlink"/>
            <w:rFonts w:eastAsia="Calibri"/>
          </w:rPr>
          <w:t>http://transatlantic.sais-jhu.edu/publications/books/Smarter%20Power/Chapter%204%20brimmer.pdf</w:t>
        </w:r>
      </w:hyperlink>
      <w:r>
        <w:rPr>
          <w:rFonts w:eastAsia="Calibri"/>
        </w:rPr>
        <w:t>] Recut Justin</w:t>
      </w:r>
    </w:p>
    <w:p w14:paraId="7B4B9A6C" w14:textId="77777777" w:rsidR="009D3FB8" w:rsidRDefault="009D3FB8" w:rsidP="009D3FB8">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 xml:space="preserve">States that </w:t>
      </w:r>
      <w:r w:rsidRPr="006109AD">
        <w:rPr>
          <w:rFonts w:eastAsia="Calibri"/>
          <w:u w:val="single"/>
        </w:rPr>
        <w:lastRenderedPageBreak/>
        <w:t>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1E701A65" w14:textId="77777777" w:rsidR="009D3FB8" w:rsidRPr="00F601E6" w:rsidRDefault="009D3FB8" w:rsidP="009D3FB8"/>
    <w:p w14:paraId="4DB16397" w14:textId="77777777" w:rsidR="009D3FB8" w:rsidRPr="006109AD" w:rsidRDefault="009D3FB8" w:rsidP="009D3FB8">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29467BF6" w14:textId="77777777" w:rsidR="009D3FB8" w:rsidRPr="006109AD" w:rsidRDefault="009D3FB8" w:rsidP="009D3FB8">
      <w:pPr>
        <w:rPr>
          <w:rFonts w:eastAsia="Cambria"/>
        </w:rPr>
      </w:pPr>
      <w:r w:rsidRPr="006109AD">
        <w:rPr>
          <w:rStyle w:val="Style13ptBold"/>
        </w:rPr>
        <w:t>Shany,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Yuval, Hersch Lauterpacht Chair in Public International Law and Dean, Hebrew U of Jerusalem, Assessing the Effectiveness of International Courts, Google Books, p. 103-109</w:t>
      </w:r>
      <w:r>
        <w:rPr>
          <w:rFonts w:eastAsia="Cambria"/>
        </w:rPr>
        <w:t>] Recut Justin</w:t>
      </w:r>
    </w:p>
    <w:p w14:paraId="100E599F" w14:textId="77777777" w:rsidR="009D3FB8" w:rsidRPr="006109AD" w:rsidRDefault="009D3FB8" w:rsidP="009D3FB8">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All of these notions do not cover, however, the outputs and outcomes of adjudication per se. We have no way of ascertaining merely on the basis of the contents of an international courts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(ie,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courts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render them more or less credible</w:t>
      </w:r>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modify these courts goal attainment potential</w:t>
      </w:r>
      <w:r w:rsidRPr="00C855A4">
        <w:rPr>
          <w:rFonts w:eastAsia="Cambria"/>
          <w:sz w:val="16"/>
        </w:rPr>
        <w:t xml:space="preserve">.28 Note, </w:t>
      </w:r>
      <w:r w:rsidRPr="00C855A4">
        <w:rPr>
          <w:rFonts w:eastAsia="Cambria"/>
          <w:sz w:val="16"/>
        </w:rPr>
        <w:lastRenderedPageBreak/>
        <w:t xml:space="preserve">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South West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1190E6A8" w14:textId="77777777" w:rsidR="009D3FB8" w:rsidRDefault="009D3FB8" w:rsidP="009D3FB8">
      <w:pPr>
        <w:spacing w:after="0" w:line="240" w:lineRule="auto"/>
        <w:rPr>
          <w:rFonts w:asciiTheme="minorHAnsi" w:hAnsiTheme="minorHAnsi"/>
          <w:sz w:val="24"/>
        </w:rPr>
      </w:pPr>
    </w:p>
    <w:p w14:paraId="52A99840" w14:textId="77777777" w:rsidR="009D3FB8" w:rsidRPr="009D3FB8" w:rsidRDefault="009D3FB8" w:rsidP="009D3FB8">
      <w:pPr>
        <w:rPr>
          <w:rFonts w:asciiTheme="majorHAnsi" w:hAnsiTheme="majorHAnsi" w:cstheme="majorHAnsi"/>
          <w:sz w:val="26"/>
          <w:szCs w:val="26"/>
          <w:u w:val="single"/>
        </w:rPr>
      </w:pPr>
    </w:p>
    <w:p w14:paraId="4EDCC09E" w14:textId="3062CD51" w:rsidR="009D3FB8" w:rsidRPr="009D3FB8" w:rsidRDefault="009D3FB8" w:rsidP="009D3FB8">
      <w:pPr>
        <w:pStyle w:val="Heading2"/>
      </w:pPr>
      <w:r w:rsidRPr="009D3FB8">
        <w:lastRenderedPageBreak/>
        <w:t>FW</w:t>
      </w:r>
    </w:p>
    <w:p w14:paraId="05D63F4D" w14:textId="77777777" w:rsidR="009D3FB8" w:rsidRPr="00CE11B7" w:rsidRDefault="009D3FB8" w:rsidP="009D3FB8">
      <w:pPr>
        <w:pStyle w:val="Heading4"/>
      </w:pPr>
      <w:r w:rsidRPr="00CE11B7">
        <w:t>The standard is maximizing life. Prefer it:</w:t>
      </w:r>
    </w:p>
    <w:p w14:paraId="07470E8B" w14:textId="77777777" w:rsidR="009D3FB8" w:rsidRDefault="009D3FB8" w:rsidP="009D3FB8">
      <w:pPr>
        <w:pStyle w:val="Heading4"/>
      </w:pPr>
      <w:r w:rsidRPr="00CE11B7">
        <w:t xml:space="preserve">[1] Actor </w:t>
      </w:r>
      <w:r>
        <w:t>spec</w:t>
      </w:r>
      <w:r w:rsidRPr="00CE11B7">
        <w:t xml:space="preserve">: util is the best for governments, which is the actor in the rez – multiple warrants: </w:t>
      </w:r>
    </w:p>
    <w:p w14:paraId="4C05AC5C" w14:textId="77777777" w:rsidR="009D3FB8" w:rsidRDefault="009D3FB8" w:rsidP="009D3FB8">
      <w:pPr>
        <w:pStyle w:val="Heading4"/>
      </w:pPr>
      <w:r w:rsidRPr="00CE11B7">
        <w:t>[a] Governments must aggregate since every policy benefits some and harms others, which also means side constraints freeze action.</w:t>
      </w:r>
    </w:p>
    <w:p w14:paraId="0F2B0066" w14:textId="3FEB7700" w:rsidR="009D3FB8" w:rsidRDefault="009D3FB8" w:rsidP="009D3FB8">
      <w:pPr>
        <w:pStyle w:val="Heading4"/>
        <w:ind w:left="720"/>
        <w:rPr>
          <w:rFonts w:eastAsia="Times New Roman"/>
          <w:shd w:val="clear" w:color="auto" w:fill="FFFFFF"/>
        </w:rPr>
      </w:pPr>
      <w:r w:rsidRPr="00CE11B7">
        <w:rPr>
          <w:rFonts w:eastAsia="Times New Roman"/>
          <w:shd w:val="clear" w:color="auto" w:fill="FFFFFF"/>
        </w:rPr>
        <w:t>[</w:t>
      </w:r>
      <w:r w:rsidR="000E4D22">
        <w:rPr>
          <w:rFonts w:eastAsia="Times New Roman"/>
          <w:shd w:val="clear" w:color="auto" w:fill="FFFFFF"/>
        </w:rPr>
        <w:t>b</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FBAFCD4" w14:textId="4BF692FA" w:rsidR="009D3FB8" w:rsidRPr="0010606C" w:rsidRDefault="009D3FB8" w:rsidP="009D3FB8">
      <w:pPr>
        <w:pStyle w:val="Heading4"/>
        <w:ind w:left="720"/>
      </w:pPr>
      <w:r>
        <w:t>[</w:t>
      </w:r>
      <w:r w:rsidR="000E4D22">
        <w:t>c</w:t>
      </w:r>
      <w:r>
        <w:t>] Reject calc indicts—they’re functionally NIBs that everyone knows are silly but skew the aff and move the debate away from the topic and actual philosophical debate, killing valuable education. All indicts assume the Aff is true.</w:t>
      </w:r>
    </w:p>
    <w:p w14:paraId="43823E90" w14:textId="576724AA" w:rsidR="009D3FB8" w:rsidRPr="001A154F" w:rsidRDefault="009D3FB8" w:rsidP="009D3FB8">
      <w:pPr>
        <w:pStyle w:val="Heading4"/>
        <w:ind w:left="720"/>
      </w:pPr>
      <w:r w:rsidRPr="00CE11B7">
        <w:t>[</w:t>
      </w:r>
      <w:r w:rsidR="000E4D22">
        <w:t>d</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aff is bad under </w:t>
      </w:r>
      <w:r>
        <w:t>Kant</w:t>
      </w:r>
      <w:r w:rsidRPr="00793D6D">
        <w:t xml:space="preserve">. </w:t>
      </w:r>
      <w:r>
        <w:t>Framing issues don’t exclude the offense.</w:t>
      </w:r>
    </w:p>
    <w:p w14:paraId="76A6E35D" w14:textId="77777777" w:rsidR="009D3FB8" w:rsidRPr="00CE11B7" w:rsidRDefault="009D3FB8" w:rsidP="009D3FB8">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7B6D6ACE" w14:textId="77777777" w:rsidR="009D3FB8" w:rsidRPr="00CE11B7" w:rsidRDefault="009D3FB8" w:rsidP="009D3FB8">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2FA76323" w14:textId="77777777" w:rsidR="009D3FB8" w:rsidRPr="00CE11B7" w:rsidRDefault="009D3FB8" w:rsidP="009D3FB8">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B65EF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3F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4D22"/>
    <w:rsid w:val="00100B28"/>
    <w:rsid w:val="00117316"/>
    <w:rsid w:val="001209B4"/>
    <w:rsid w:val="001403C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7744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FB8"/>
    <w:rsid w:val="009E160D"/>
    <w:rsid w:val="009F1CBB"/>
    <w:rsid w:val="009F3305"/>
    <w:rsid w:val="009F6FB2"/>
    <w:rsid w:val="00A071C0"/>
    <w:rsid w:val="00A22670"/>
    <w:rsid w:val="00A24B35"/>
    <w:rsid w:val="00A271BA"/>
    <w:rsid w:val="00A27F86"/>
    <w:rsid w:val="00A306E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27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F1CB9"/>
  <w14:defaultImageDpi w14:val="300"/>
  <w15:docId w15:val="{0698886E-0721-F34C-AF22-825CC142B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127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12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12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812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812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12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1274"/>
  </w:style>
  <w:style w:type="character" w:customStyle="1" w:styleId="Heading1Char">
    <w:name w:val="Heading 1 Char"/>
    <w:aliases w:val="Pocket Char"/>
    <w:basedOn w:val="DefaultParagraphFont"/>
    <w:link w:val="Heading1"/>
    <w:uiPriority w:val="9"/>
    <w:rsid w:val="00E812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127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8127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812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127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E8127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8127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12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
    <w:basedOn w:val="DefaultParagraphFont"/>
    <w:link w:val="Card"/>
    <w:uiPriority w:val="99"/>
    <w:unhideWhenUsed/>
    <w:rsid w:val="00E81274"/>
    <w:rPr>
      <w:color w:val="auto"/>
      <w:u w:val="none"/>
    </w:rPr>
  </w:style>
  <w:style w:type="paragraph" w:styleId="DocumentMap">
    <w:name w:val="Document Map"/>
    <w:basedOn w:val="Normal"/>
    <w:link w:val="DocumentMapChar"/>
    <w:uiPriority w:val="99"/>
    <w:semiHidden/>
    <w:unhideWhenUsed/>
    <w:rsid w:val="00E812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1274"/>
    <w:rPr>
      <w:rFonts w:ascii="Lucida Grande" w:hAnsi="Lucida Grande" w:cs="Lucida Grande"/>
    </w:rPr>
  </w:style>
  <w:style w:type="paragraph" w:customStyle="1" w:styleId="textbold">
    <w:name w:val="text bold"/>
    <w:basedOn w:val="Normal"/>
    <w:link w:val="Emphasis"/>
    <w:uiPriority w:val="20"/>
    <w:qFormat/>
    <w:rsid w:val="009D3FB8"/>
    <w:pPr>
      <w:widowControl w:val="0"/>
      <w:ind w:left="720"/>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9D3FB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D3FB8"/>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D3FB8"/>
    <w:rPr>
      <w:sz w:val="22"/>
      <w:u w:val="single"/>
    </w:rPr>
  </w:style>
  <w:style w:type="paragraph" w:styleId="NoSpacing">
    <w:name w:val="No Spacing"/>
    <w:aliases w:val="Card Format,ClearFormatting,Clear,DDI Tag,Tag Title,No Spacing6,No Spacing7,No Spacing8,Dont u,No Spacing311,No Spacing51,CD - Cite"/>
    <w:basedOn w:val="Heading1"/>
    <w:autoRedefine/>
    <w:uiPriority w:val="99"/>
    <w:qFormat/>
    <w:rsid w:val="001403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technology/2021/01/26/tech-unions-explain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pplywisdom.com/resources/the-union-strikes-the-good-the-bad-and-the-ugly/" TargetMode="External"/><Relationship Id="rId17"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6" Type="http://schemas.openxmlformats.org/officeDocument/2006/relationships/hyperlink" Target="https://www.un.org/pga/73/2018/10/25/report-of-the-international-court-of-just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c.miami.edu/" TargetMode="External"/><Relationship Id="rId5" Type="http://schemas.openxmlformats.org/officeDocument/2006/relationships/numbering" Target="numbering.xml"/><Relationship Id="rId15" Type="http://schemas.openxmlformats.org/officeDocument/2006/relationships/hyperlink" Target="https://global-labour-university.org/fileadmin/GLU_Working_Papers/GLU_WP_No.40.pdf" TargetMode="External"/><Relationship Id="rId10" Type="http://schemas.openxmlformats.org/officeDocument/2006/relationships/hyperlink" Target="https://www.robeco.com/latam/en/insights/2021/07/how-capex-holds-the-key-to-a-self-sustaining-economic-recovery.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caew.com/about-icaew/news/press-release-archive/2021-news-releases/business-confidence-remains-at-record-high-as-economy-gets-sales-boost"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11843</Words>
  <Characters>67508</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2</cp:revision>
  <dcterms:created xsi:type="dcterms:W3CDTF">2021-12-04T19:38:00Z</dcterms:created>
  <dcterms:modified xsi:type="dcterms:W3CDTF">2021-12-04T19:38:00Z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